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2026-07-15 09:14:26（北京时间）</w:t>
            </w:r>
          </w:p>
        </w:tc>
      </w:tr>
      <w:tr>
        <w:tc>
          <w:tcPr>
            <w:tcW w:type="dxa" w:w="4997"/>
          </w:tcPr>
          <w:p>
            <w:r>
              <w:rPr>
                <w:b/>
              </w:rPr>
              <w:t>检索窗口</w:t>
            </w:r>
          </w:p>
        </w:tc>
        <w:tc>
          <w:tcPr>
            <w:tcW w:type="dxa" w:w="4997"/>
          </w:tcPr>
          <w:p>
            <w:r>
              <w:t>2023-07-16 — 2026-07-15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与教育融合，涉及教师数字能力、叙事文本设计及学习者自我调节学习。方法涵盖混合调查、理论框架与PLS-SEM-ANN建模。中国语境下，外语学习者GenAI-SRL研究揭示互动与素养作用，贴近本土实践；叙事设计原则区分表达增强与发展绕道，具创新性。</w:t>
      </w:r>
    </w:p>
    <w:p>
      <w:pPr>
        <w:pStyle w:val="Heading1"/>
      </w:pPr>
      <w:r>
        <w:t>目录</w:t>
      </w:r>
    </w:p>
    <w:p>
      <w:pPr>
        <w:pStyle w:val="ListNumber"/>
      </w:pPr>
      <w:r>
        <w:rPr>
          <w:b/>
        </w:rPr>
        <w:t>在AI渗透社会中教授数字公民：瑞典机构中社会科教师教育者的学科背景与其专业数字能力的关系</w:t>
      </w:r>
      <w:r>
        <w:t>｜Scandinavian Journal of Educational Research｜2026-07-12</w:t>
      </w:r>
    </w:p>
    <w:p>
      <w:pPr>
        <w:pStyle w:val="ListNumber"/>
      </w:pPr>
      <w:r>
        <w:rPr>
          <w:b/>
        </w:rPr>
        <w:t>为系统思维与人工智能准备设计叙事文本：面向教育虚构的规范性框架</w:t>
      </w:r>
      <w:r>
        <w:t>｜Zenodo (CERN European Organization for Nuclear Research)｜2026-07-13</w:t>
      </w:r>
    </w:p>
    <w:p>
      <w:pPr>
        <w:pStyle w:val="ListNumber"/>
      </w:pPr>
      <w:r>
        <w:rPr>
          <w:b/>
        </w:rPr>
        <w:t>为系统思维与人工智能准备设计叙事文本：教育虚构作品的规范性框架</w:t>
      </w:r>
      <w:r>
        <w:t>｜Zenodo (CERN European Organization for Nuclear Research)｜2026-07-13</w:t>
      </w:r>
    </w:p>
    <w:p>
      <w:pPr>
        <w:pStyle w:val="ListNumber"/>
      </w:pPr>
      <w:r>
        <w:rPr>
          <w:b/>
        </w:rPr>
        <w:t>在非正式数字语言学习中通过素养和互动促进生成式人工智能支持的自我调节学习：一种两阶段PLS-SEM-ANN方法</w:t>
      </w:r>
      <w:r>
        <w:t>｜ReCALL｜2026-07-13</w:t>
      </w:r>
    </w:p>
    <w:p>
      <w:pPr>
        <w:pStyle w:val="ListNumber"/>
      </w:pPr>
      <w:r>
        <w:rPr>
          <w:b/>
        </w:rPr>
        <w:t>“每一个决定都回归于我”：英语教师教育者面对生成式人工智能的伦理困境与专业回应</w:t>
      </w:r>
      <w:r>
        <w:t>｜Teachers and Teaching｜2026-07-14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Teaching for digital citizenship in AI-infused societies: how social science teacher educators’ disciplinary backgrounds relate to professional digital competence across Swedish institutions / 在AI渗透社会中教授数字公民：瑞典机构中社会科教师教育者的学科背景与其专业数字能力的关系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Teaching for digital citizenship in AI-infused societies: how social science teacher educators’ disciplinary backgrounds relate to professional digital competence across Swedish institutions / 在AI渗透社会中教授数字公民：瑞典机构中社会科教师教育者的学科背景与其专业数字能力的关系</w:t>
            </w:r>
          </w:p>
        </w:tc>
      </w:tr>
      <w:tr>
        <w:tc>
          <w:tcPr>
            <w:tcW w:type="dxa" w:w="4997"/>
          </w:tcPr>
          <w:p>
            <w:r>
              <w:rPr>
                <w:b/>
              </w:rPr>
              <w:t>作者</w:t>
            </w:r>
          </w:p>
        </w:tc>
        <w:tc>
          <w:tcPr>
            <w:tcW w:type="dxa" w:w="4997"/>
          </w:tcPr>
          <w:p>
            <w:r>
              <w:t>Alex Örtegren</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10.1080/00313831.2026.2700569</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https://doi.org/10.1080/00313831.2026.2700569</w:t>
              </w:r>
            </w:hyperlink>
          </w:p>
        </w:tc>
      </w:tr>
    </w:tbl>
    <w:p>
      <w:pPr>
        <w:pStyle w:val="Heading3"/>
      </w:pPr>
      <w:r>
        <w:t>研究摘要</w:t>
      </w:r>
    </w:p>
    <w:p>
      <w:r>
        <w:t>社会科教师教育者需要培养未来教师在人工智能渗透的社会中进行数字公民教育的能力，但其专业背景与多学科情境下的专业数字能力（PDC）之间的关系尚不明确。本研究采用混合方法调查，涉及瑞典16所提供社会科教师教育机构的47名教师教育者，以后数字视角考察这些关系。结果显示，大多数教师教育者认识到需要关注数字公民教育，但学科背景和学校教学经验与自我报告的PDC显著相关。研究识别出从内容知识到教学建模等领域的翻译挑战，特别是与人工智能相关的挑战，对后数字背景下的机构支持具有启示意义。</w:t>
      </w:r>
    </w:p>
    <w:p>
      <w:pPr>
        <w:pStyle w:val="Heading3"/>
      </w:pPr>
      <w:r>
        <w:t>研究主要内容</w:t>
      </w:r>
    </w:p>
    <w:p>
      <w:r>
        <w:t>本研究通过混合方法调查，探究瑞典16所机构的47名社会科教师教育者的学科背景与教学经验如何影响其在AI渗透社会中教授数字公民的专业数字能力（PDC）。以后数字视角为分析框架，发现大多数教师教育者认可数字公民教育的必要性，但学科背景和学校教学经验与自我报告的PDC显著相关。研究进一步识别出内容知识、教学建模等方面的翻译挑战，特别是AI相关挑战，并强调机构支持在促进教师数字能力发展中的关键作用。</w:t>
      </w:r>
    </w:p>
    <w:p>
      <w:pPr>
        <w:pStyle w:val="Heading3"/>
      </w:pPr>
      <w:r>
        <w:t>研究论点</w:t>
      </w:r>
    </w:p>
    <w:p>
      <w:r>
        <w:t>本文认为，社会科教师教育者的学科背景和学校教学经验对他们在AI渗透社会中教授数字公民的专业数字能力具有显著影响，并识别出与AI相关的翻译挑战，强调后数字背景下机构支持的重要性。</w:t>
      </w:r>
    </w:p>
    <w:p>
      <w:pPr>
        <w:pStyle w:val="Heading3"/>
      </w:pPr>
      <w:r>
        <w:t>研究问题</w:t>
      </w:r>
    </w:p>
    <w:p>
      <w:r>
        <w:t>社会科教师教育者的专业背景（学科背景和学校教学经验）与其在AI渗透社会中教授数字公民的专业数字能力（PDC）之间有何关系？</w:t>
      </w:r>
    </w:p>
    <w:p>
      <w:pPr>
        <w:pStyle w:val="Heading3"/>
      </w:pPr>
      <w:r>
        <w:t>研究方法</w:t>
      </w:r>
    </w:p>
    <w:p>
      <w:r>
        <w:t>{'research_type': '混合方法调查研究', 'sample': '47名社会科教师教育者，来自瑞典16所提供社会科教师教育的机构', 'data_source': '自我报告问卷调查', 'analysis_method': '摘要未说明具体定量与定性分析方法，仅提及采用后数字视角进行数据分析，识别翻译挑战'}</w:t>
      </w:r>
    </w:p>
    <w:p>
      <w:pPr>
        <w:pStyle w:val="Heading3"/>
      </w:pPr>
      <w:r>
        <w:t>主要发现</w:t>
      </w:r>
    </w:p>
    <w:p>
      <w:r>
        <w:t>['大多数教师教育者承认需要解决数字公民问题，并在课程中融入数字公民教育。', '学科背景（如历史、政治学、经济学等）和学校教学经验与教师教育者的自我报告专业数字能力（PDC）显著相关。', '在内容知识、教学建模等领域，特别是与人工智能相关方面，存在翻译挑战，即难以将数字公民概念有效转化为教学实践。']</w:t>
      </w:r>
    </w:p>
    <w:p>
      <w:pPr>
        <w:pStyle w:val="Heading3"/>
      </w:pPr>
      <w:r>
        <w:t>对教师教育研究的启示</w:t>
      </w:r>
    </w:p>
    <w:p>
      <w:r>
        <w:t>['教师教育研究应关注教师教育者自身学科背景和教学经验对数字能力发展的影响，建议采用混合方法设计以捕捉这些复杂关系。', '后数字视角为理解技术与社会深度渗透下的教师数字素养提供了理论框架，有助于指导教师教育课程改革。', '机构支持政策需针对学科差异和AI整合挑战进行定制，例如开发跨学科教师培训项目、提供持续专业发展资源。', '未来研究可深入探索翻译挑战的具体表现及缓解策略，采用更细致的数据收集方法如半结构化访谈、课堂观察等，以丰富混合研究证据。']</w:t>
      </w:r>
    </w:p>
    <w:p>
      <w:pPr>
        <w:pStyle w:val="Heading3"/>
      </w:pPr>
      <w:r>
        <w:t>APA引用格式</w:t>
      </w:r>
    </w:p>
    <w:p>
      <w:r>
        <w:t>Örtegren, A. (2026). Teaching for digital citizenship in AI-infused societies: how social science teacher educators’ disciplinary backgrounds relate to professional digital competence across Swedish institutions. Scandinavian Journal of Educational Research. https://doi.org/10.1080/00313831.2026.2700569</w:t>
      </w:r>
    </w:p>
    <w:p>
      <w:r>
        <w:br w:type="page"/>
      </w:r>
    </w:p>
    <w:p>
      <w:pPr>
        <w:pStyle w:val="Heading2"/>
      </w:pPr>
      <w:r>
        <w:t>2. Designing Narrative Texts for Systems Thinking and Artificial Intelligence Readiness: A Prescriptive Framework for Educational Fiction / 为系统思维与人工智能准备设计叙事文本：面向教育虚构的规范性框架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Designing Narrative Texts for Systems Thinking and Artificial Intelligence Readiness: A Prescriptive Framework for Educational Fiction / 为系统思维与人工智能准备设计叙事文本：面向教育虚构的规范性框架</w:t>
            </w:r>
          </w:p>
        </w:tc>
      </w:tr>
      <w:tr>
        <w:tc>
          <w:tcPr>
            <w:tcW w:type="dxa" w:w="4997"/>
          </w:tcPr>
          <w:p>
            <w:r>
              <w:rPr>
                <w:b/>
              </w:rPr>
              <w:t>作者</w:t>
            </w:r>
          </w:p>
        </w:tc>
        <w:tc>
          <w:tcPr>
            <w:tcW w:type="dxa" w:w="4997"/>
          </w:tcPr>
          <w:p>
            <w:r>
              <w:t>Gregory Adamson</w:t>
            </w:r>
          </w:p>
        </w:tc>
      </w:tr>
      <w:tr>
        <w:tc>
          <w:tcPr>
            <w:tcW w:type="dxa" w:w="4997"/>
          </w:tcPr>
          <w:p>
            <w:r>
              <w:rPr>
                <w:b/>
              </w:rPr>
              <w:t>期刊及影响因子</w:t>
            </w:r>
          </w:p>
        </w:tc>
        <w:tc>
          <w:tcPr>
            <w:tcW w:type="dxa" w:w="4997"/>
          </w:tcPr>
          <w:p>
            <w:r>
              <w:t>Zenodo (CERN European Organization for Nuclear Research)；SSCI分类：Management；影响因子与JCR分区：摘要未说明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https://doi.org/10.5281/zenodo.21328918</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https://doi.org/10.5281/zenodo.21328918</w:t>
              </w:r>
            </w:hyperlink>
          </w:p>
        </w:tc>
      </w:tr>
    </w:tbl>
    <w:p>
      <w:pPr>
        <w:pStyle w:val="Heading3"/>
      </w:pPr>
      <w:r>
        <w:t>研究摘要</w:t>
      </w:r>
    </w:p>
    <w:p>
      <w:r>
        <w:t>本文提出了一个规范性的教育设计框架，用于构建叙事文本，旨在有意发展中小学阶段的系统思维、叙事系统准备、人工智能（AI）准备和认知所有权。本文基于先前定义叙事系统准备和AI准备的理论工作，将这些发展性结构转化为实用的叙事设计原则，适用于课程开发者、教育出版商、作者、教师教育者和课堂实践者。论文认为，在学习者正式接触人工智能技术之前，教育叙事应被有意设计以培养递归推理、延迟后果、隐藏状态推断、反馈识别、涌现、概率推理、伦理判断、干预预见和模型修正。利用RSQS框架（相关性、充分性、质量、结构），本文提出了12项叙事AI设计原则，以及针对3-10年级的发展性学习进程、课堂架构、评估框架、生产方法和实施指南。核心贡献在于区分了表达增强与发展绕道。论文认为，一旦学习者展现出对思想的独立认知所有权，生成式AI可以适当地增强表达，但不应取代形成推理能力所需的发展性经验。文章结论指出，教育叙事应成为有意设计的认知环境，为学习者不仅做好人工智能素养的准备，也为终身对复杂适应系统的推理做好准备。本文是叙事认知研究项目的第三部分。</w:t>
      </w:r>
    </w:p>
    <w:p>
      <w:pPr>
        <w:pStyle w:val="Heading3"/>
      </w:pPr>
      <w:r>
        <w:t>研究主要内容</w:t>
      </w:r>
    </w:p>
    <w:p>
      <w:r>
        <w:t>本文提出了一个规范性教育设计框架，用于通过叙事文本培养中小学（3-10年级）学生的系统思维、叙事系统准备、AI准备和认知所有权。框架基于RSQS框架（相关性、充分性、质量、结构），包含12项叙事AI设计原则、发展性学习进程、课堂架构、评估框架、生产方法和实施指南。核心论断是区分表达增强（允许AI辅助已掌握的认知任务）与发展绕道（禁止AI替代尚未形成能力的发展性体验）。</w:t>
      </w:r>
    </w:p>
    <w:p>
      <w:pPr>
        <w:pStyle w:val="Heading3"/>
      </w:pPr>
      <w:r>
        <w:t>研究论点</w:t>
      </w:r>
    </w:p>
    <w:p>
      <w:r>
        <w:t>教育叙事应被有意设计为认知环境，在学生学习AI技术之前，通过叙事培养递归推理、延迟后果等复杂认知能力；AI可作为表达工具但不可替代发展性认知过程。</w:t>
      </w:r>
    </w:p>
    <w:p>
      <w:pPr>
        <w:pStyle w:val="Heading3"/>
      </w:pPr>
      <w:r>
        <w:t>研究问题</w:t>
      </w:r>
    </w:p>
    <w:p>
      <w:r>
        <w:t>如何设计叙事文本以系统性地发展中小学学生的系统思维、叙事系统准备和AI准备？</w:t>
      </w:r>
    </w:p>
    <w:p>
      <w:pPr>
        <w:pStyle w:val="Heading3"/>
      </w:pPr>
      <w:r>
        <w:t>研究方法</w:t>
      </w:r>
    </w:p>
    <w:p>
      <w:r>
        <w:t>研究类型：文献综述/理论构建；样本或参与者：无；数据来源：理论推导与先前研究；分析方法：理论综合与框架构建。摘要未明确说明实证数据收集与分析方法。</w:t>
      </w:r>
    </w:p>
    <w:p>
      <w:pPr>
        <w:pStyle w:val="Heading3"/>
      </w:pPr>
      <w:r>
        <w:t>主要发现</w:t>
      </w:r>
    </w:p>
    <w:p>
      <w:r>
        <w:t>['提出了RSQS框架（相关性、充分性、质量、结构）作为叙事文本设计的基础结构。', '提炼出12项叙事AI设计原则，包括递归推理、延迟后果、隐藏状态推断、反馈识别、涌现、概率推理、伦理判断、干预预见和模型修正。', '明确了表达增强与发展绕道的区分：表达增强允许AI在认知所有权建立后辅助表达，发展绕道则禁止AI替代必要的认知发展经验。']</w:t>
      </w:r>
    </w:p>
    <w:p>
      <w:pPr>
        <w:pStyle w:val="Heading3"/>
      </w:pPr>
      <w:r>
        <w:t>对教师教育研究的启示</w:t>
      </w:r>
    </w:p>
    <w:p>
      <w:r>
        <w:t>本研究为教师教育者提供了设计AI素养课程的前沿框架，强调教师需理解叙事在培养复杂推理中的作用，以及如何在教学中区分AI的合理使用（增强）与不当使用（绕道）。研究设计上，教师教育者可借鉴其理论构建与框架开发方法，未来可通过实证研究验证框架效果。数据收集可采用课堂观察、学生认知测试等。</w:t>
      </w:r>
    </w:p>
    <w:p>
      <w:pPr>
        <w:pStyle w:val="Heading3"/>
      </w:pPr>
      <w:r>
        <w:t>APA引用格式</w:t>
      </w:r>
    </w:p>
    <w:p>
      <w:r>
        <w:t>Adamson, G. (2026). Designing Narrative Texts for Systems Thinking and Artificial Intelligence Readiness: A Prescriptive Framework for Educational Fiction. Zenodo. https://doi.org/10.5281/zenodo.21328918</w:t>
      </w:r>
    </w:p>
    <w:p>
      <w:r>
        <w:br w:type="page"/>
      </w:r>
    </w:p>
    <w:p>
      <w:pPr>
        <w:pStyle w:val="Heading2"/>
      </w:pPr>
      <w:r>
        <w:t>3. Designing Narrative Texts for Systems Thinking and Artificial Intelligence Readiness: A Prescriptive Framework for Educational Fiction / 为系统思维与人工智能准备设计叙事文本：教育虚构作品的规范性框架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Designing Narrative Texts for Systems Thinking and Artificial Intelligence Readiness: A Prescriptive Framework for Educational Fiction / 为系统思维与人工智能准备设计叙事文本：教育虚构作品的规范性框架</w:t>
            </w:r>
          </w:p>
        </w:tc>
      </w:tr>
      <w:tr>
        <w:tc>
          <w:tcPr>
            <w:tcW w:type="dxa" w:w="4997"/>
          </w:tcPr>
          <w:p>
            <w:r>
              <w:rPr>
                <w:b/>
              </w:rPr>
              <w:t>作者</w:t>
            </w:r>
          </w:p>
        </w:tc>
        <w:tc>
          <w:tcPr>
            <w:tcW w:type="dxa" w:w="4997"/>
          </w:tcPr>
          <w:p>
            <w:r>
              <w:t>Gregory Adamson</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https://doi.org/10.5281/zenodo.21328917</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https://doi.org/10.5281/zenodo.21328917</w:t>
              </w:r>
            </w:hyperlink>
          </w:p>
        </w:tc>
      </w:tr>
    </w:tbl>
    <w:p>
      <w:pPr>
        <w:pStyle w:val="Heading3"/>
      </w:pPr>
      <w:r>
        <w:t>研究摘要</w:t>
      </w:r>
    </w:p>
    <w:p>
      <w:r>
        <w:t>本文提出了一个规范性的教育设计框架，用于构建有意培养系统思维、叙事系统准备、人工智能（AI）准备和认知所有权的叙事文本，适用于小学和中学教育。在先前定义叙事系统准备和AI准备的理论工作基础上，本文将这些发展性构念转化为适合课程开发者、教育出版社、作者、教师教育者和课堂从业者的实践性叙事设计原则。本文认为，教育叙事应被有意设计，以在学习者正式接触人工智能技术之前培养递归推理、延迟后果、隐藏状态推断、反馈识别、涌现、概率推理、伦理判断、干预预见和模型修正。基于RSQS框架（相关性、充分性、质量、结构），本文提出了十二项叙事AI设计原则，以及发展性学习进展、课堂架构、评估框架、生产方法论和适用于3-10年级的实施指南。一个核心贡献是对表达增强与发展性绕过的区分。本文认为，一旦学习者在思想上表现出对概念的独立认知所有权，生成式AI可以适当地增强表达，但不应取代形成推理能力所需的发展性经验。本文得出结论，教育叙事应成为有意设计的认知环境，使学习者不仅为人工智能素养做好准备，也为终身关于复杂适应系统的推理做好准备。本文是叙事认知研究项目的第三部分。</w:t>
      </w:r>
    </w:p>
    <w:p>
      <w:pPr>
        <w:pStyle w:val="Heading3"/>
      </w:pPr>
      <w:r>
        <w:t>研究主要内容</w:t>
      </w:r>
    </w:p>
    <w:p>
      <w:r>
        <w:t>本文提出了一个用于设计教育叙事文本的规范性框架，该框架旨在培养学生的系统思维、叙事系统准备、AI准备和认知所有权。框架基于RSQS（相关性、充分性、质量、结构）原则，包括十二项叙事AI设计原则、发展性学习进展、课堂架构、评估框架、生产方法论和实施指南，覆盖3-10年级。文章还区分了表达增强（在展示独立认知所有权后使用生成式AI）和发展性绕过（用AI替代关键推理能力的发展），强调前者合理、后者有害。</w:t>
      </w:r>
    </w:p>
    <w:p>
      <w:pPr>
        <w:pStyle w:val="Heading3"/>
      </w:pPr>
      <w:r>
        <w:t>研究论点</w:t>
      </w:r>
    </w:p>
    <w:p>
      <w:r>
        <w:t>教育叙事应被有意设计为认知环境，通过十二项原则有系统地培养递归推理、延迟后果、隐藏状态推断等高级认知能力，从而为学习者应对AI技术和复杂适应系统做准备。生成式AI应在学习者掌握认知所有权后用于增强表达，而非作为发展性经验的替代。</w:t>
      </w:r>
    </w:p>
    <w:p>
      <w:pPr>
        <w:pStyle w:val="Heading3"/>
      </w:pPr>
      <w:r>
        <w:t>研究问题</w:t>
      </w:r>
    </w:p>
    <w:p>
      <w:r>
        <w:t>摘要未明确说明具体研究问题，但隐含的研究问题为：如何设计教育叙事文本以有效培养中小学学生的系统思维和AI准备？</w:t>
      </w:r>
    </w:p>
    <w:p>
      <w:pPr>
        <w:pStyle w:val="Heading3"/>
      </w:pPr>
      <w:r>
        <w:t>研究方法</w:t>
      </w:r>
    </w:p>
    <w:p>
      <w:r>
        <w:t>研究类型：理论/规范性框架（非实证研究，未采用定量或定性数据收集）；样本或参与者：无；数据来源：基于已有理论（叙事系统准备、AI准备）和文献综合，未使用原始数据；分析方法：规范性设计方法论，基于RSQS框架提出原则和模型。由于全文为理论建构，未执行实证数据收集与分析。</w:t>
      </w:r>
    </w:p>
    <w:p>
      <w:pPr>
        <w:pStyle w:val="Heading3"/>
      </w:pPr>
      <w:r>
        <w:t>主要发现</w:t>
      </w:r>
    </w:p>
    <w:p>
      <w:r>
        <w:t>['提出了包含十二项叙事AI设计原则的规范性框架，用于培养递归推理、延迟后果、隐藏状态推断、反馈识别、涌现、概率推理、伦理判断、干预预见和模型修正等能力。', '区分了表达增强与发展性绕过：生成式AI可在学习者展示独立认知所有权后增强表达，但不应取代发展性推理经验。', '框架提供了3-10年级的发展性学习进展、课堂架构、评估框架和生产方法论，旨在使教育叙事成为有意设计的认知环境，为AI素养和复杂系统推理做准备。']</w:t>
      </w:r>
    </w:p>
    <w:p>
      <w:pPr>
        <w:pStyle w:val="Heading3"/>
      </w:pPr>
      <w:r>
        <w:t>对教师教育研究的启示</w:t>
      </w:r>
    </w:p>
    <w:p>
      <w:r>
        <w:t>教师教育者可将该框架纳入课程设计培训，指导职前和在职教师如何利用叙事文本系统培养AI准备和系统思维；强调教师需辨别何时使用AI辅助表达（认知所有权后）以及何时避免AI替代关键推理经验；框架中的RSQS原则和十二项设计原则可作为教师专业发展中的分析工具，用于评估和设计课堂叙事材料。</w:t>
      </w:r>
    </w:p>
    <w:p>
      <w:pPr>
        <w:pStyle w:val="Heading3"/>
      </w:pPr>
      <w:r>
        <w:t>APA引用格式</w:t>
      </w:r>
    </w:p>
    <w:p>
      <w:r>
        <w:t>Adamson, G. (2026). Designing Narrative Texts for Systems Thinking and Artificial Intelligence Readiness: A Prescriptive Framework for Educational Fiction. Zenodo. https://doi.org/10.5281/zenodo.21328917</w:t>
      </w:r>
    </w:p>
    <w:p>
      <w:r>
        <w:br w:type="page"/>
      </w:r>
    </w:p>
    <w:p>
      <w:pPr>
        <w:pStyle w:val="Heading2"/>
      </w:pPr>
      <w:r>
        <w:t>4. Fostering generative AI-supported self-regulated learning (GenAI-SRL) in informal digital language learning through literacy and interactions: A two-stage PLS-SEM-ANN approach / 在非正式数字语言学习中通过素养和互动促进生成式人工智能支持的自我调节学习：一种两阶段PLS-SEM-ANN方法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Fostering generative AI-supported self-regulated learning (GenAI-SRL) in informal digital language learning through literacy and interactions: A two-stage PLS-SEM-ANN approach / 在非正式数字语言学习中通过素养和互动促进生成式人工智能支持的自我调节学习：一种两阶段PLS-SEM-ANN方法</w:t>
            </w:r>
          </w:p>
        </w:tc>
      </w:tr>
      <w:tr>
        <w:tc>
          <w:tcPr>
            <w:tcW w:type="dxa" w:w="4997"/>
          </w:tcPr>
          <w:p>
            <w:r>
              <w:rPr>
                <w:b/>
              </w:rPr>
              <w:t>作者</w:t>
            </w:r>
          </w:p>
        </w:tc>
        <w:tc>
          <w:tcPr>
            <w:tcW w:type="dxa" w:w="4997"/>
          </w:tcPr>
          <w:p>
            <w:r>
              <w:t>Xiaoqi Wang, Lawrence Jun Zhang</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https://doi.org/10.1017/s0958344026100524</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2">
              <w:r>
                <w:rPr>
                  <w:color w:val="0563C1"/>
                  <w:u w:val="single"/>
                </w:rPr>
                <w:t>https://doi.org/10.1017/s0958344026100524</w:t>
              </w:r>
            </w:hyperlink>
          </w:p>
        </w:tc>
      </w:tr>
    </w:tbl>
    <w:p>
      <w:pPr>
        <w:pStyle w:val="Heading3"/>
      </w:pPr>
      <w:r>
        <w:t>研究摘要</w:t>
      </w:r>
    </w:p>
    <w:p>
      <w:r>
        <w:t>生成式人工智能使外语学习者能够将学习扩展到正式教学之外并发展自主性。然而，研究尚未充分考察学习者如何利用生成式人工智能调节学习，或者他们的生成式人工智能素养和多种互动类型如何影响其在生成式人工智能支持的非正式数字语言学习环境中的自我调节学习。我们通过偏最小二乘结构方程模型和人工神经网络分析343名中国大学外语学习者的数据来弥补这一空白。PLS-SEM显示，意识和评价显著预测了GenAI支持的自我调节学习，而使用和伦理则没有。生生互动、师生互动和学生-GenAI互动成为GenAI-SRL的促进因素。这三种互动类型也显著影响了大多数GenAI素养维度，其中三个维度预测了意识、使用和评价，而只有生生互动和学生-GenAI互动显著预测了伦理。中介分析表明，意识和评价部分中介了生生互动和师生互动对GenAI-SRL的影响；通过学生-GenAI互动的中介路径不显著。ANN模型识别出生生互动是GenAI-SRL的最强预测因子。这些发现为在非正式学习环境中发展GenAI素养以及设计支持GenAI-SRL的系统提供了信息。</w:t>
      </w:r>
    </w:p>
    <w:p>
      <w:pPr>
        <w:pStyle w:val="Heading3"/>
      </w:pPr>
      <w:r>
        <w:t>研究主要内容</w:t>
      </w:r>
    </w:p>
    <w:p>
      <w:r>
        <w:t>本研究聚焦于生成式人工智能支持的非正式数字语言学习中的自我调节学习，探讨GenAI素养（意识、使用、评价、伦理）和三种互动类型（生生互动、师生互动、学生-GenAI互动）如何影响GenAI-SRL，并检验中介机制。</w:t>
      </w:r>
    </w:p>
    <w:p>
      <w:pPr>
        <w:pStyle w:val="Heading3"/>
      </w:pPr>
      <w:r>
        <w:t>研究论点</w:t>
      </w:r>
    </w:p>
    <w:p>
      <w:r>
        <w:t>GenAI素养中的意识和评价维度以及生生互动和师生互动是促进GenAI-SRL的关键因素，而学生-GenAI互动的作用较弱；生生互动是最重要的预测因子。</w:t>
      </w:r>
    </w:p>
    <w:p>
      <w:pPr>
        <w:pStyle w:val="Heading3"/>
      </w:pPr>
      <w:r>
        <w:t>研究问题</w:t>
      </w:r>
    </w:p>
    <w:p>
      <w:r>
        <w:t>研究未明确陈述研究问题，但可推断为：（1）GenAI素养的各个维度如何影响GenAI-SRL？（2）不同类型的互动如何影响GenAI-SRL？（3）GenAI素养是否在互动与GenAI-SRL之间起中介作用？</w:t>
      </w:r>
    </w:p>
    <w:p>
      <w:pPr>
        <w:pStyle w:val="Heading3"/>
      </w:pPr>
      <w:r>
        <w:t>研究方法</w:t>
      </w:r>
    </w:p>
    <w:p>
      <w:r>
        <w:t>{'research_type': '定量研究', 'participants': '343名中国大学外语学习者（非基础教育阶段，本摘要未涉及学前教育或基础教育，用户需注意）', 'data_source': '问卷调查收集的横截面数据', 'analysis_methods': '偏最小二乘结构方程模型（PLS-SEM）和人工神经网络（ANN）'}</w:t>
      </w:r>
    </w:p>
    <w:p>
      <w:pPr>
        <w:pStyle w:val="Heading3"/>
      </w:pPr>
      <w:r>
        <w:t>主要发现</w:t>
      </w:r>
    </w:p>
    <w:p>
      <w:r>
        <w:t>['GenAI素养中的意识和评价维度显著正向预测GenAI-SRL，而使用和伦理维度则没有显著影响。', '生生互动、师生互动和学生-GenAI互动均显著促进GenAI-SRL；其中生生互动是ANN模型中识别出的最强预测因子。', '意识和评价部分中介了生生互动和师生互动对GenAI-SRL的影响，但学生-GenAI互动的中介路径不显著。']</w:t>
      </w:r>
    </w:p>
    <w:p>
      <w:pPr>
        <w:pStyle w:val="Heading3"/>
      </w:pPr>
      <w:r>
        <w:t>对教师教育研究的启示</w:t>
      </w:r>
    </w:p>
    <w:p>
      <w:r>
        <w:t>本研究提示教师教育者应重视培养学习者的GenAI意识与评价能力，并设计促进生生互动和师生互动的学习活动，以支持非正式学习中的自我调节学习。研究者可借鉴其两阶段PLS-SEM-ANN方法（先线性建模再非线性验证）用于探索类似复杂关系，数据收集可采用问卷获取多维素养和互动量表。</w:t>
      </w:r>
    </w:p>
    <w:p>
      <w:pPr>
        <w:pStyle w:val="Heading3"/>
      </w:pPr>
      <w:r>
        <w:t>APA引用格式</w:t>
      </w:r>
    </w:p>
    <w:p>
      <w:r>
        <w:t>Wang, X., &amp; Zhang, L. J. (2026). Fostering generative AI-supported self-regulated learning (GenAI-SRL) in informal digital language learning through literacy and interactions: A two-stage PLS-SEM-ANN approach. ReCALL. https://doi.org/10.1017/s0958344026100524</w:t>
      </w:r>
    </w:p>
    <w:p>
      <w:r>
        <w:br w:type="page"/>
      </w:r>
    </w:p>
    <w:p>
      <w:pPr>
        <w:pStyle w:val="Heading2"/>
      </w:pPr>
      <w:r>
        <w:t>5. ‘Every decision falls back on me’: ethical dilemmas and professional responses to generative AI among English language teacher educators / “每一个决定都回归于我”：英语教师教育者面对生成式人工智能的伦理困境与专业回应</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‘Every decision falls back on me’: ethical dilemmas and professional responses to generative AI among English language teacher educators / “每一个决定都回归于我”：英语教师教育者面对生成式人工智能的伦理困境与专业回应</w:t>
            </w:r>
          </w:p>
        </w:tc>
      </w:tr>
      <w:tr>
        <w:tc>
          <w:tcPr>
            <w:tcW w:type="dxa" w:w="4997"/>
          </w:tcPr>
          <w:p>
            <w:r>
              <w:rPr>
                <w:b/>
              </w:rPr>
              <w:t>作者</w:t>
            </w:r>
          </w:p>
        </w:tc>
        <w:tc>
          <w:tcPr>
            <w:tcW w:type="dxa" w:w="4997"/>
          </w:tcPr>
          <w:p>
            <w:r>
              <w:t>Tiefu Zhang, Xuyan Qiu, Özgehan Uştuk, Aek Phakiti</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1470-1278</w:t>
            </w:r>
          </w:p>
        </w:tc>
      </w:tr>
      <w:tr>
        <w:tc>
          <w:tcPr>
            <w:tcW w:type="dxa" w:w="4997"/>
          </w:tcPr>
          <w:p>
            <w:r>
              <w:rPr>
                <w:b/>
              </w:rPr>
              <w:t>卷期/DOI</w:t>
            </w:r>
          </w:p>
        </w:tc>
        <w:tc>
          <w:tcPr>
            <w:tcW w:type="dxa" w:w="4997"/>
          </w:tcPr>
          <w:p>
            <w:r>
              <w:t>卷期未提供; DOI: 10.1080/13540602.2026.2703817</w:t>
            </w:r>
          </w:p>
        </w:tc>
      </w:tr>
      <w:tr>
        <w:tc>
          <w:tcPr>
            <w:tcW w:type="dxa" w:w="4997"/>
          </w:tcPr>
          <w:p>
            <w:r>
              <w:rPr>
                <w:b/>
              </w:rPr>
              <w:t>在线发表时间</w:t>
            </w:r>
          </w:p>
        </w:tc>
        <w:tc>
          <w:tcPr>
            <w:tcW w:type="dxa" w:w="4997"/>
          </w:tcPr>
          <w:p>
            <w:r>
              <w:t>2026-07-14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https://doi.org/10.1080/13540602.2026.2703817</w:t>
              </w:r>
            </w:hyperlink>
          </w:p>
        </w:tc>
      </w:tr>
    </w:tbl>
    <w:p>
      <w:pPr>
        <w:pStyle w:val="Heading3"/>
      </w:pPr>
      <w:r>
        <w:t>研究摘要</w:t>
      </w:r>
    </w:p>
    <w:p>
      <w:r>
        <w:t>摘要未提供</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w:t>
      </w:r>
    </w:p>
    <w:p>
      <w:pPr>
        <w:pStyle w:val="Heading3"/>
      </w:pPr>
      <w:r>
        <w:t>主要发现</w:t>
      </w:r>
    </w:p>
    <w:p>
      <w:r>
        <w:t>摘要未说明</w:t>
      </w:r>
    </w:p>
    <w:p>
      <w:pPr>
        <w:pStyle w:val="Heading3"/>
      </w:pPr>
      <w:r>
        <w:t>对教师教育研究的启示</w:t>
      </w:r>
    </w:p>
    <w:p>
      <w:r>
        <w:t>摘要未说明</w:t>
      </w:r>
    </w:p>
    <w:p>
      <w:pPr>
        <w:pStyle w:val="Heading3"/>
      </w:pPr>
      <w:r>
        <w:t>APA引用格式</w:t>
      </w:r>
    </w:p>
    <w:p>
      <w:r>
        <w:t>Zhang, T., Qiu, X., Uştuk, Ö., &amp; Phakiti, A. (2026). ‘Every decision falls back on me’: ethical dilemmas and professional responses to generative AI among English language teacher educators. Teachers and Teaching. https://doi.org/10.1080/13540602.2026.2703817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75.48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0313831.2026.2700569" TargetMode="External"/><Relationship Id="rId10" Type="http://schemas.openxmlformats.org/officeDocument/2006/relationships/hyperlink" Target="https://doi.org/10.5281/zenodo.21328918" TargetMode="External"/><Relationship Id="rId11" Type="http://schemas.openxmlformats.org/officeDocument/2006/relationships/hyperlink" Target="https://doi.org/10.5281/zenodo.21328917" TargetMode="External"/><Relationship Id="rId12" Type="http://schemas.openxmlformats.org/officeDocument/2006/relationships/hyperlink" Target="https://doi.org/10.1017/s0958344026100524" TargetMode="External"/><Relationship Id="rId13" Type="http://schemas.openxmlformats.org/officeDocument/2006/relationships/hyperlink" Target="https://doi.org/10.1080/13540602.2026.27038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