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每日SSCI文献简报｜2026-09-13</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2026-09-13 09:48:19（北京时间）</w:t>
            </w:r>
          </w:p>
        </w:tc>
      </w:tr>
      <w:tr>
        <w:tc>
          <w:tcPr>
            <w:tcW w:type="dxa" w:w="4997"/>
          </w:tcPr>
          <w:p>
            <w:r>
              <w:rPr>
                <w:b/>
              </w:rPr>
              <w:t>检索窗口</w:t>
            </w:r>
          </w:p>
        </w:tc>
        <w:tc>
          <w:tcPr>
            <w:tcW w:type="dxa" w:w="4997"/>
          </w:tcPr>
          <w:p>
            <w:r>
              <w:t>2023-09-14 — 2026-09-13</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今日文献聚焦AI与数字技术融入教育：AI写作、生成式AI风险、教师数字素养与身份重构、幼儿后数字框架。方法偏定性/概念综述，准实验少。趋势强调以人为本、伦理治理与教师支持，呼应中国AI进课堂需求。</w:t>
      </w:r>
    </w:p>
    <w:p>
      <w:pPr>
        <w:pStyle w:val="Heading1"/>
      </w:pPr>
      <w:r>
        <w:t>目录</w:t>
      </w:r>
    </w:p>
    <w:p>
      <w:pPr>
        <w:pStyle w:val="ListNumber"/>
      </w:pPr>
      <w:r>
        <w:rPr>
          <w:b/>
        </w:rPr>
        <w:t>评估AI辅助写作工具使用对高中生写作能力的影响</w:t>
      </w:r>
      <w:r>
        <w:t>｜International Journal of Research on Multidisciplinary Studies｜2026-09-12</w:t>
      </w:r>
    </w:p>
    <w:p>
      <w:pPr>
        <w:pStyle w:val="ListNumber"/>
      </w:pPr>
      <w:r>
        <w:rPr>
          <w:b/>
        </w:rPr>
        <w:t>孟加拉国小学教师的数字素养：关于课堂实践、障碍与专业发展需求的定性社会科学综述</w:t>
      </w:r>
      <w:r>
        <w:t>｜International Journal For Multidisciplinary Research｜2026-09-12</w:t>
      </w:r>
    </w:p>
    <w:p>
      <w:pPr>
        <w:pStyle w:val="ListNumber"/>
      </w:pPr>
      <w:r>
        <w:rPr>
          <w:b/>
        </w:rPr>
        <w:t>后数字时代的幼儿保育与教育框架</w:t>
      </w:r>
      <w:r>
        <w:t>｜International Journal of Creative and Open Research in Engineering and Management｜2026-09-12</w:t>
      </w:r>
    </w:p>
    <w:p>
      <w:pPr>
        <w:pStyle w:val="ListNumber"/>
      </w:pPr>
      <w:r>
        <w:rPr>
          <w:b/>
        </w:rPr>
        <w:t>生成式人工智能在教育中的应用：机遇与风险</w:t>
      </w:r>
      <w:r>
        <w:t>｜International Journal For Multidisciplinary Research｜2026-09-12</w:t>
      </w:r>
    </w:p>
    <w:p>
      <w:pPr>
        <w:pStyle w:val="ListNumber"/>
      </w:pPr>
      <w:r>
        <w:rPr>
          <w:b/>
        </w:rPr>
        <w:t>南非一所大学技术整合情境下学术人员的教师身份（再）建构</w:t>
      </w:r>
      <w:r>
        <w:t>｜Educational Technology Research and Development｜2026-09-10</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Assessing the Impact of AI-Assisted Writing Tool Utilization on the Writing Proficiency of Senior High School Students / 评估AI辅助写作工具使用对高中生写作能力的影响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Assessing the Impact of AI-Assisted Writing Tool Utilization on the Writing Proficiency of Senior High School Students / 评估AI辅助写作工具使用对高中生写作能力的影响</w:t>
            </w:r>
          </w:p>
        </w:tc>
      </w:tr>
      <w:tr>
        <w:tc>
          <w:tcPr>
            <w:tcW w:type="dxa" w:w="4997"/>
          </w:tcPr>
          <w:p>
            <w:r>
              <w:rPr>
                <w:b/>
              </w:rPr>
              <w:t>作者</w:t>
            </w:r>
          </w:p>
        </w:tc>
        <w:tc>
          <w:tcPr>
            <w:tcW w:type="dxa" w:w="4997"/>
          </w:tcPr>
          <w:p>
            <w:r>
              <w:t>Shelly April A. Basan, Almira A. Batulanon, Sharon M. Enanoria, Aaron Keirt Gioca, Lovely C. Lemente, Mary Florie E. Niñal, Dannielle Gayle L. Orillo, Jenny Pearl C. Razonable</w:t>
            </w:r>
          </w:p>
        </w:tc>
      </w:tr>
      <w:tr>
        <w:tc>
          <w:tcPr>
            <w:tcW w:type="dxa" w:w="4997"/>
          </w:tcPr>
          <w:p>
            <w:r>
              <w:rPr>
                <w:b/>
              </w:rPr>
              <w:t>期刊及影响因子</w:t>
            </w:r>
          </w:p>
        </w:tc>
        <w:tc>
          <w:tcPr>
            <w:tcW w:type="dxa" w:w="4997"/>
          </w:tcPr>
          <w:p>
            <w:r>
              <w:t>白名单未提供影响因子 / 白名单未提供JCR分区；SSCI分类：International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10.67903/ijroms0239</w:t>
            </w:r>
          </w:p>
        </w:tc>
      </w:tr>
      <w:tr>
        <w:tc>
          <w:tcPr>
            <w:tcW w:type="dxa" w:w="4997"/>
          </w:tcPr>
          <w:p>
            <w:r>
              <w:rPr>
                <w:b/>
              </w:rPr>
              <w:t>在线发表时间</w:t>
            </w:r>
          </w:p>
        </w:tc>
        <w:tc>
          <w:tcPr>
            <w:tcW w:type="dxa" w:w="4997"/>
          </w:tcPr>
          <w:p>
            <w:r>
              <w:t>2026-09-12</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https://doi.org/10.67903/ijroms0239</w:t>
              </w:r>
            </w:hyperlink>
          </w:p>
        </w:tc>
      </w:tr>
    </w:tbl>
    <w:p>
      <w:pPr>
        <w:pStyle w:val="Heading3"/>
      </w:pPr>
      <w:r>
        <w:t>研究摘要</w:t>
      </w:r>
    </w:p>
    <w:p>
      <w:r>
        <w:t>写作能力是重要学术能力，但许多高中生仍在语法、组织与观点发展方面存在困难。本研究旨在评估AI辅助写作工具使用对高中生写作能力的影响。研究采用定量准实验设计，通过配额抽样选取某私立天主教学校11年级ASSH方向的60名学生，均分为实验组与控制组；以分析性评分量表评估前测—后测写作表现，并采用描述性与推断性统计分析。结果显示，两组前测成绩相当，实验组后测平均分（M = 82.04）高于控制组（M = 77.81），且统计分析显示存在显著差异。研究认为，AI辅助写作工具作为补充性教学支持可显著提升高中生写作能力，建议通过政策、教师培训与伦理指南促进其整合，未来应开展纵向研究。</w:t>
      </w:r>
    </w:p>
    <w:p>
      <w:pPr>
        <w:pStyle w:val="Heading3"/>
      </w:pPr>
      <w:r>
        <w:t>研究主要内容</w:t>
      </w:r>
    </w:p>
    <w:p>
      <w:r>
        <w:t>论文关注高中生写作困难与AI写作工具日益融入写作教学的背景，旨在评估AI辅助写作工具对高中生写作能力的影响。研究采用定量准实验设计，以配额抽样选取60名11年级ASSH方向学生，均分为实验组与控制组；数据来自前测—后测写作评估，使用分析性评分量表评分，并通过描述性与推断性统计分析比较干预前后差异。结果发现实验组后测平均分高于控制组，且差异显著。作者据此主张将AI辅助写作工具作为补充性教学支持，并通过政策、教师培训和伦理指南规范其整合，后续研究可关注纵向影响。</w:t>
      </w:r>
    </w:p>
    <w:p>
      <w:pPr>
        <w:pStyle w:val="Heading3"/>
      </w:pPr>
      <w:r>
        <w:t>研究论点</w:t>
      </w:r>
    </w:p>
    <w:p>
      <w:r>
        <w:t>核心论点：AI辅助写作工具作为补充性教学支持，能够显著提升高中生写作能力；其有效整合需要政策、教师培训与伦理指南支持。</w:t>
      </w:r>
    </w:p>
    <w:p>
      <w:pPr>
        <w:pStyle w:val="Heading3"/>
      </w:pPr>
      <w:r>
        <w:t>研究问题</w:t>
      </w:r>
    </w:p>
    <w:p>
      <w:r>
        <w:t>摘要未明确列出研究问题；研究目的为评估AI辅助写作工具使用对高中生写作能力的影响。</w:t>
      </w:r>
    </w:p>
    <w:p>
      <w:pPr>
        <w:pStyle w:val="Heading3"/>
      </w:pPr>
      <w:r>
        <w:t>研究方法</w:t>
      </w:r>
    </w:p>
    <w:p>
      <w:r>
        <w:t>研究类型：定量准实验研究。参与者：通过配额抽样选取某私立天主教学校11年级ASSH方向60名学生，均分为实验组与控制组。数据来源：前测—后测写作评估，使用分析性评分量表进行评分。分析方法：采用描述性与推断性统计分析，检验写作能力在干预前后的差异；具体统计检验方法、干预时长、AI工具类型与实施流程摘要未说明。</w:t>
      </w:r>
    </w:p>
    <w:p>
      <w:pPr>
        <w:pStyle w:val="Heading3"/>
      </w:pPr>
      <w:r>
        <w:t>主要发现</w:t>
      </w:r>
    </w:p>
    <w:p>
      <w:r>
        <w:t>1. 两组前测写作成绩相当，基线具有可比性。2. 实验组后测平均分（M = 82.04）高于控制组（M = 77.81）。3. 统计分析显示两组之间存在显著差异，表明AI辅助写作工具作为补充教学支持可显著提升高中生写作能力。</w:t>
      </w:r>
    </w:p>
    <w:p>
      <w:pPr>
        <w:pStyle w:val="Heading3"/>
      </w:pPr>
      <w:r>
        <w:t>对教师教育研究的启示</w:t>
      </w:r>
    </w:p>
    <w:p>
      <w:r>
        <w:t>对教师教育研究的启示：该文将AI辅助写作工具定位为写作教学的补充支持，提示教师教育可关注AI工具教学整合、相关政策与伦理指南，以及教师培训。研究设计上可借鉴准实验前后测、配额抽样、分析性评分量表和描述/推断统计来评估AI教学干预效果；但摘要未说明教师培训内容、教师AI素养/数据素养维度及纵向效果，后续教师教育研究可补充这些设计，并开展纵向追踪。</w:t>
      </w:r>
    </w:p>
    <w:p>
      <w:pPr>
        <w:pStyle w:val="Heading3"/>
      </w:pPr>
      <w:r>
        <w:t>APA引用格式</w:t>
      </w:r>
    </w:p>
    <w:p>
      <w:r>
        <w:t>Basan, S. A. A., Batulanon, A. A., Enanoria, S. M., Gioca, A. K., Lemente, L. C., Niñal, M. F. E., Orillo, D. G. L., &amp; Razonable, J. P. C. (2026). Assessing the impact of AI-assisted writing tool utilization on the writing proficiency of senior high school students. International Journal of Research on Multidisciplinary Studies. https://doi.org/10.67903/ijroms0239</w:t>
      </w:r>
    </w:p>
    <w:p>
      <w:r>
        <w:br w:type="page"/>
      </w:r>
    </w:p>
    <w:p>
      <w:pPr>
        <w:pStyle w:val="Heading2"/>
      </w:pPr>
      <w:r>
        <w:t>2. Primary School Teachers' Digital Literacy in Bangladesh: A Qualitative Social Science Review of Classroom Practice, Barriers, and Professional Development Needs / 孟加拉国小学教师的数字素养：关于课堂实践、障碍与专业发展需求的定性社会科学综述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Primary School Teachers' Digital Literacy in Bangladesh: A Qualitative Social Science Review of Classroom Practice, Barriers, and Professional Development Needs / 孟加拉国小学教师的数字素养：关于课堂实践、障碍与专业发展需求的定性社会科学综述</w:t>
            </w:r>
          </w:p>
        </w:tc>
      </w:tr>
      <w:tr>
        <w:tc>
          <w:tcPr>
            <w:tcW w:type="dxa" w:w="4997"/>
          </w:tcPr>
          <w:p>
            <w:r>
              <w:rPr>
                <w:b/>
              </w:rPr>
              <w:t>作者</w:t>
            </w:r>
          </w:p>
        </w:tc>
        <w:tc>
          <w:tcPr>
            <w:tcW w:type="dxa" w:w="4997"/>
          </w:tcPr>
          <w:p>
            <w:r>
              <w:t>Kanika Chakraborty, Hrithik Majumdar</w:t>
            </w:r>
          </w:p>
        </w:tc>
      </w:tr>
      <w:tr>
        <w:tc>
          <w:tcPr>
            <w:tcW w:type="dxa" w:w="4997"/>
          </w:tcPr>
          <w:p>
            <w:r>
              <w:rPr>
                <w:b/>
              </w:rPr>
              <w:t>期刊及影响因子</w:t>
            </w:r>
          </w:p>
        </w:tc>
        <w:tc>
          <w:tcPr>
            <w:tcW w:type="dxa" w:w="4997"/>
          </w:tcPr>
          <w:p>
            <w:r>
              <w:t>期刊：International Journal For Multidisciplinary Research；元数据标注SSCI分类：International Relations；白名单未提供影响因子；白名单未提供JCR分区。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卷期未明确标注；DOI：10.36948/ijfmr.2026.v08i05.87517</w:t>
            </w:r>
          </w:p>
        </w:tc>
      </w:tr>
      <w:tr>
        <w:tc>
          <w:tcPr>
            <w:tcW w:type="dxa" w:w="4997"/>
          </w:tcPr>
          <w:p>
            <w:r>
              <w:rPr>
                <w:b/>
              </w:rPr>
              <w:t>在线发表时间</w:t>
            </w:r>
          </w:p>
        </w:tc>
        <w:tc>
          <w:tcPr>
            <w:tcW w:type="dxa" w:w="4997"/>
          </w:tcPr>
          <w:p>
            <w:r>
              <w:t>2026-09-12</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https://doi.org/10.36948/ijfmr.2026.v08i05.87517</w:t>
              </w:r>
            </w:hyperlink>
          </w:p>
        </w:tc>
      </w:tr>
    </w:tbl>
    <w:p>
      <w:pPr>
        <w:pStyle w:val="Heading3"/>
      </w:pPr>
      <w:r>
        <w:t>研究摘要</w:t>
      </w:r>
    </w:p>
    <w:p>
      <w:r>
        <w:t>该文是一篇定性社会科学综述，考察现有文献如何讨论孟加拉国小学教师的数字素养，重点聚焦课堂实践、障碍与专业发展需求。研究综合主要发表于2015至2026年间的政策文件、同行评议文章、教育技术报告和教师发展研究，并以DigCompEdu和TPACK为理论指导，运用主题分析识别数字素养的定义、教师使用数字工具的方式、形塑实践的约束条件以及所需支持形式。分析显示，孟加拉国教师数字素养仍常被框定为基本ICT技能、设备操作和多媒体课堂使用，而国际框架将其理解为更广泛的专业能力，涉及数字资源、教学法、评估、学习者赋能、在线安全和反思性专业参与。教师会使用智能手机、多媒体投影仪、在线视频、Teachers' Portal资源和非正式社交媒体群组，但实践仍不均衡，受基础设施限制、连接不稳定、设备短缺、技术支持有限、工作负担、语言障碍和城乡不平等影响。论文主张，一次性ICT培训不足，可持续改进需要校本导师制、孟加拉语友好数字资源、实践导向的数字教学法工作坊、教师数字能力标准以及对农村学校的定向投资。</w:t>
      </w:r>
    </w:p>
    <w:p>
      <w:pPr>
        <w:pStyle w:val="Heading3"/>
      </w:pPr>
      <w:r>
        <w:t>研究主要内容</w:t>
      </w:r>
    </w:p>
    <w:p>
      <w:r>
        <w:t>该综述围绕孟加拉国小学教师数字素养展开，综合政策文件、同行评议文章、教育技术报告和教师发展研究，时间范围主要覆盖2015至2026年。文章以DigCompEdu和TPACK为分析框架，通过主题分析梳理四个方面：数字素养如何被定义、教师如何使用数字工具、哪些约束影响课堂实践、需要何种专业支持。内容强调孟加拉国语境下数字素养常被窄化为基础ICT技能与设备操作，而国际框架则指向更综合的教师专业数字能力。</w:t>
      </w:r>
    </w:p>
    <w:p>
      <w:pPr>
        <w:pStyle w:val="Heading3"/>
      </w:pPr>
      <w:r>
        <w:t>研究论点</w:t>
      </w:r>
    </w:p>
    <w:p>
      <w:r>
        <w:t>论文认为，孟加拉国小学教师数字素养不能仅停留在基础ICT技能和设备操作层面；一次性ICT培训不足以带来可持续改进。要提升教师数字素养，需要校本导师制、孟加拉语友好数字资源、实践导向的数字教学法工作坊、教师数字能力标准以及对农村学校的定向投资。</w:t>
      </w:r>
    </w:p>
    <w:p>
      <w:pPr>
        <w:pStyle w:val="Heading3"/>
      </w:pPr>
      <w:r>
        <w:t>研究问题</w:t>
      </w:r>
    </w:p>
    <w:p>
      <w:r>
        <w:t>摘要未明确列出研究问题。可据摘要概括为：现有文献如何讨论孟加拉国小学教师的数字素养，尤其是课堂实践、障碍和专业发展需求。</w:t>
      </w:r>
    </w:p>
    <w:p>
      <w:pPr>
        <w:pStyle w:val="Heading3"/>
      </w:pPr>
      <w:r>
        <w:t>研究方法</w:t>
      </w:r>
    </w:p>
    <w:p>
      <w:r>
        <w:t>研究类型：定性社会科学综述/文献综述，非定量或混合方法的原始实证研究；摘要未报告原始实证数据。样本或参与者：无人类参与者，未说明教师样本。数据来源：政策文件、同行评议文章、教育技术报告、教师发展研究，主要发表于2015至2026年。分析方法：在DigCompEdu和TPACK框架指导下进行主题分析。缺失信息：摘要未说明文献数量、检索数据库、检索策略、纳入排除标准、编码过程、研究者信度或效度检验等。</w:t>
      </w:r>
    </w:p>
    <w:p>
      <w:pPr>
        <w:pStyle w:val="Heading3"/>
      </w:pPr>
      <w:r>
        <w:t>主要发现</w:t>
      </w:r>
    </w:p>
    <w:p>
      <w:r>
        <w:t>1. 孟加拉国小学教师数字素养在既有文献中仍常被框定为基本ICT技能、设备操作和多媒体课堂使用；国际框架则将其概念化为更广泛的专业能力，包括数字资源、教学法、评估、学习者赋能、在线安全和反思性专业参与。2. 教师实际使用智能手机、多媒体投影仪、在线视频、Teachers' Portal资源和非正式社交媒体群组，但实践不均衡，受到基础设施限制、连接不稳定、设备短缺、技术支持有限、工作负担、语言障碍和城乡不平等制约。3. 一次性ICT培训被认为不足；可持续改进需要校本导师制、孟加拉语友好数字资源、实践导向数字教学法工作坊、教师数字能力标准以及对农村学校的定向投资。</w:t>
      </w:r>
    </w:p>
    <w:p>
      <w:pPr>
        <w:pStyle w:val="Heading3"/>
      </w:pPr>
      <w:r>
        <w:t>对教师教育研究的启示</w:t>
      </w:r>
    </w:p>
    <w:p>
      <w:r>
        <w:t>前沿主题：教师数字素养研究应从基础ICT技能扩展到数字资源、教学法、评估、学习者赋能、在线安全和反思性专业参与，并关注校本持续支持而非一次性培训。研究设计：该文属于定性综述，提示后续可开展更系统的综述或范围综述，明确检索数据库、纳入排除标准和编码程序；也可采用纵向案例研究、行动研究或混合方法研究检验教师数字素养发展。数据收集与分析方法：可综合政策文本、同行评议文献、教育技术报告和教师发展研究等多源文本，并在教师教育研究中补充访谈、课堂观察、问卷和教师数字实践作品等数据；分析可使用主题分析，并以DigCompEdu/TPACK作为编码或解释框架。实践启示：开发孟加拉语友好数字资源、实践导向数字教学法工作坊和教师数字能力标准，并优先支持农村学校。</w:t>
      </w:r>
    </w:p>
    <w:p>
      <w:pPr>
        <w:pStyle w:val="Heading3"/>
      </w:pPr>
      <w:r>
        <w:t>APA引用格式</w:t>
      </w:r>
    </w:p>
    <w:p>
      <w:r>
        <w:t>Chakraborty, K., &amp; Majumdar, H. (2026). Primary school teachers' digital literacy in Bangladesh: A qualitative social science review of classroom practice, barriers, and professional development needs. International Journal For Multidisciplinary Research. https://doi.org/10.36948/ijfmr.2026.v08i05.87517</w:t>
      </w:r>
    </w:p>
    <w:p>
      <w:r>
        <w:br w:type="page"/>
      </w:r>
    </w:p>
    <w:p>
      <w:pPr>
        <w:pStyle w:val="Heading2"/>
      </w:pPr>
      <w:r>
        <w:t>3. Early Childhood Care and Education Frameworks in the Post – Digital Age / 后数字时代的幼儿保育与教育框架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Early Childhood Care and Education Frameworks in the Post – Digital Age / 后数字时代的幼儿保育与教育框架</w:t>
            </w:r>
          </w:p>
        </w:tc>
      </w:tr>
      <w:tr>
        <w:tc>
          <w:tcPr>
            <w:tcW w:type="dxa" w:w="4997"/>
          </w:tcPr>
          <w:p>
            <w:r>
              <w:rPr>
                <w:b/>
              </w:rPr>
              <w:t>作者</w:t>
            </w:r>
          </w:p>
        </w:tc>
        <w:tc>
          <w:tcPr>
            <w:tcW w:type="dxa" w:w="4997"/>
          </w:tcPr>
          <w:p>
            <w:r>
              <w:t>PRIYA PRIYA, NAVDEEP SINGH, ANIL SHEORAN</w:t>
            </w:r>
          </w:p>
        </w:tc>
      </w:tr>
      <w:tr>
        <w:tc>
          <w:tcPr>
            <w:tcW w:type="dxa" w:w="4997"/>
          </w:tcPr>
          <w:p>
            <w:r>
              <w:rPr>
                <w:b/>
              </w:rPr>
              <w:t>期刊及影响因子</w:t>
            </w:r>
          </w:p>
        </w:tc>
        <w:tc>
          <w:tcPr>
            <w:tcW w:type="dxa" w:w="4997"/>
          </w:tcPr>
          <w:p>
            <w:r>
              <w:t>期刊：International Journal of Creative and Open Research in Engineering and Management；SSCI分类：International Relations；影响因子/分区：白名单未提供影响因子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卷期：摘要/元数据未说明（DOI中显示v2i9.091）；DOI：10.55041/ijcope.v2i9.091</w:t>
            </w:r>
          </w:p>
        </w:tc>
      </w:tr>
      <w:tr>
        <w:tc>
          <w:tcPr>
            <w:tcW w:type="dxa" w:w="4997"/>
          </w:tcPr>
          <w:p>
            <w:r>
              <w:rPr>
                <w:b/>
              </w:rPr>
              <w:t>在线发表时间</w:t>
            </w:r>
          </w:p>
        </w:tc>
        <w:tc>
          <w:tcPr>
            <w:tcW w:type="dxa" w:w="4997"/>
          </w:tcPr>
          <w:p>
            <w:r>
              <w:t>2026-09-12</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https://doi.org/10.55041/ijcope.v2i9.091</w:t>
              </w:r>
            </w:hyperlink>
          </w:p>
        </w:tc>
      </w:tr>
    </w:tbl>
    <w:p>
      <w:pPr>
        <w:pStyle w:val="Heading3"/>
      </w:pPr>
      <w:r>
        <w:t>研究摘要</w:t>
      </w:r>
    </w:p>
    <w:p>
      <w:r>
        <w:t>该文（摘要称“chapter”）对后数字时代的幼儿保育与教育（ECCE）框架进行概念与分析性考察。摘要指出，数字技术日益嵌入幼儿日常生活，智能手机、平板、数字媒体、在线交流、辅助技术和人工智能可能影响幼儿的交流、探索、游戏、学习和参与；这既带来可及性、多语言资源、家庭参与、创造性表达和专业支持等机会，也引发不适宜内容、隐私、商业化、接入不平等、身体活动减少和直接社会互动被替代等担忧。后数字时代不应理解为技术之后的时期，而是数字与非数字经验共存的语境，并应围绕儿童发展权利与福祉进行设计。文章综合印度基础阶段政策、国际幼儿与数字环境指导、发展适宜实践、全纳、儿童保护与身体福祉原则，指出现有传统ECCE取向与技术取向之间存在缺口，并提出“人类—关系—技术—环境”（HRTE）模型。</w:t>
      </w:r>
    </w:p>
    <w:p>
      <w:pPr>
        <w:pStyle w:val="Heading3"/>
      </w:pPr>
      <w:r>
        <w:t>研究主要内容</w:t>
      </w:r>
    </w:p>
    <w:p>
      <w:r>
        <w:t>文章围绕后数字时代ECCE框架展开，综合印度基础阶段政策、国际幼儿与数字环境指南、发展适宜实践、全纳、儿童保护与身体福祉等原则。它识别出一个缺口：传统ECCE强调游戏、关系和整体发展，而技术导向路径可能过度关注设备、平台和数字技能。为回应这一缺口，文章提出HRTE模型，将人类发展置于中心，把关系视为早期学习的主要媒介，把技术定位为有目的且可问责的资源，并承认物理、文化、语言、社会与生态环境对儿童参与的重要性。文章还讨论教育者作为设计者、中介者、观察者和伦理决策者的角色，家庭与社区伙伴关系，面向残疾儿童的辅助与可及技术，人工智能的负责任使用，数字福祉、隐私与儿童保护，以及数字鸿沟的多维性。</w:t>
      </w:r>
    </w:p>
    <w:p>
      <w:pPr>
        <w:pStyle w:val="Heading3"/>
      </w:pPr>
      <w:r>
        <w:t>研究论点</w:t>
      </w:r>
    </w:p>
    <w:p>
      <w:r>
        <w:t>核心论点是：成功的后数字ECCE应以儿童为中心、以游戏为基础、关系丰富、全纳、文化回应、发展适宜、公平且伦理治理。技术应拓展儿童在交流、探索、创造和参与方面的机会，而不应替代户外游戏、运动、感官体验、对话、照护和同伴关系。技术必须对童年负责，并应以其对儿童参与、发展、能动性和福祉的贡献来评价，而不能仅以设备使用或数字参与度来衡量。</w:t>
      </w:r>
    </w:p>
    <w:p>
      <w:pPr>
        <w:pStyle w:val="Heading3"/>
      </w:pPr>
      <w:r>
        <w:t>研究问题</w:t>
      </w:r>
    </w:p>
    <w:p>
      <w:r>
        <w:t>摘要未明确列出研究问题。根据摘要，可归纳为：在后数字时代，ECCE框架如何超越传统游戏/关系取向与技术/设备取向之间的二元对立，围绕儿童发展权利与福祉，设计数字与非数字经验共存的保育教育？</w:t>
      </w:r>
    </w:p>
    <w:p>
      <w:pPr>
        <w:pStyle w:val="Heading3"/>
      </w:pPr>
      <w:r>
        <w:t>研究方法</w:t>
      </w:r>
    </w:p>
    <w:p>
      <w:r>
        <w:t>研究类型：概念性与分析性研究（摘要称“chapter”），不是定量、定性或混合方法的实证研究。样本/参与者：摘要未说明；未见人类参与者或实证样本。数据来源：印度基础阶段政策、国际幼儿与数字环境指导、发展适宜实践、全纳、儿童保护与身体福祉等原则/文件。数据收集：摘要未说明系统检索、数据库、纳入排除标准或收集程序。分析方法：概念综合与框架构建，提出HRTE模型；摘要未说明编码、统计分析或系统综述方法。</w:t>
      </w:r>
    </w:p>
    <w:p>
      <w:pPr>
        <w:pStyle w:val="Heading3"/>
      </w:pPr>
      <w:r>
        <w:t>主要发现</w:t>
      </w:r>
    </w:p>
    <w:p>
      <w:r>
        <w:t>1. 文章识别出传统ECCE路径与技术导向路径之间的缺口：前者强调游戏、关系和整体发展，后者可能过度关注设备、平台和数字技能。</w:t>
      </w:r>
    </w:p>
    <w:p>
      <w:r>
        <w:t>2. 文章提出HRTE模型，将人类发展置于中心，以关系为主要早期学习媒介，把技术视为有目的且可问责的资源，并将物理、文化、语言、社会和生态环境视为儿童参与的必要条件。</w:t>
      </w:r>
    </w:p>
    <w:p>
      <w:r>
        <w:t>3. 文章主张后数字ECCE应儿童中心、游戏本位、关系丰富、全纳、文化回应、发展适宜、公平并受伦理治理；技术应扩展而非替代户外游戏、运动、感官体验、对话、照护和同伴关系，评价标准应是儿童参与、发展、能动性与福祉，而非设备使用或数字参与本身。</w:t>
      </w:r>
    </w:p>
    <w:p>
      <w:pPr>
        <w:pStyle w:val="Heading3"/>
      </w:pPr>
      <w:r>
        <w:t>对教师教育研究的启示</w:t>
      </w:r>
    </w:p>
    <w:p>
      <w:r>
        <w:t>对教师教育研究的启示主要在主题与设计层面：1）前沿主题：教师教育需关注教育者作为设计者、中介者、观察者和伦理决策者的角色，并纳入AI负责任使用、数字福祉、隐私与儿童保护、全纳与辅助技术、家庭和社区伙伴关系、数字鸿沟等议题。2）研究设计：该文为概念性框架，后续可用实证研究检验HRTE模型；可考虑混合方法、设计研究、准实验或纵向研究等。3）数据收集：可围绕教师数字素养/智能素养/数据素养、AI整合教学、ECCE实践、儿童参与和福祉等，收集教师问卷、访谈、课堂观察、政策文本、家庭/社区访谈等数据。4）分析方法：摘要未提供实证分析方法；未来研究可根据设计采用主题分析、话语分析、结构方程模型、多层模型或设计研究等。</w:t>
      </w:r>
    </w:p>
    <w:p>
      <w:pPr>
        <w:pStyle w:val="Heading3"/>
      </w:pPr>
      <w:r>
        <w:t>APA引用格式</w:t>
      </w:r>
    </w:p>
    <w:p>
      <w:r>
        <w:t>Priya, P., Singh, N., &amp; Sheoran, A. (2026). Early childhood care and education frameworks in the post–digital age. International Journal of Creative and Open Research in Engineering and Management. https://doi.org/10.55041/ijcope.v2i9.091</w:t>
      </w:r>
    </w:p>
    <w:p>
      <w:r>
        <w:br w:type="page"/>
      </w:r>
    </w:p>
    <w:p>
      <w:pPr>
        <w:pStyle w:val="Heading2"/>
      </w:pPr>
      <w:r>
        <w:t>4. Generative AI in Education: Opportunities and Risks / 生成式人工智能在教育中的应用：机遇与风险</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in Education: Opportunities and Risks / 生成式人工智能在教育中的应用：机遇与风险</w:t>
            </w:r>
          </w:p>
        </w:tc>
      </w:tr>
      <w:tr>
        <w:tc>
          <w:tcPr>
            <w:tcW w:type="dxa" w:w="4997"/>
          </w:tcPr>
          <w:p>
            <w:r>
              <w:rPr>
                <w:b/>
              </w:rPr>
              <w:t>作者</w:t>
            </w:r>
          </w:p>
        </w:tc>
        <w:tc>
          <w:tcPr>
            <w:tcW w:type="dxa" w:w="4997"/>
          </w:tcPr>
          <w:p>
            <w:r>
              <w:t>Smitha Jacob</w:t>
            </w:r>
          </w:p>
        </w:tc>
      </w:tr>
      <w:tr>
        <w:tc>
          <w:tcPr>
            <w:tcW w:type="dxa" w:w="4997"/>
          </w:tcPr>
          <w:p>
            <w:r>
              <w:rPr>
                <w:b/>
              </w:rPr>
              <w:t>期刊及影响因子</w:t>
            </w:r>
          </w:p>
        </w:tc>
        <w:tc>
          <w:tcPr>
            <w:tcW w:type="dxa" w:w="4997"/>
          </w:tcPr>
          <w:p>
            <w:r>
              <w:t>白名单未提供影响因子；白名单未提供JCR分区；SSCI分类：International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元数据未单独标注卷期；DOI: 10.36948/ijfmr.2026.v08i05.86217（DOI中v08i05提示可能为第8卷第5期）</w:t>
            </w:r>
          </w:p>
        </w:tc>
      </w:tr>
      <w:tr>
        <w:tc>
          <w:tcPr>
            <w:tcW w:type="dxa" w:w="4997"/>
          </w:tcPr>
          <w:p>
            <w:r>
              <w:rPr>
                <w:b/>
              </w:rPr>
              <w:t>在线发表时间</w:t>
            </w:r>
          </w:p>
        </w:tc>
        <w:tc>
          <w:tcPr>
            <w:tcW w:type="dxa" w:w="4997"/>
          </w:tcPr>
          <w:p>
            <w:r>
              <w:t>2026-09-12</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https://doi.org/10.36948/ijfmr.2026.v08i05.86217</w:t>
              </w:r>
            </w:hyperlink>
          </w:p>
        </w:tc>
      </w:tr>
    </w:tbl>
    <w:p>
      <w:pPr>
        <w:pStyle w:val="Heading3"/>
      </w:pPr>
      <w:r>
        <w:t>研究摘要</w:t>
      </w:r>
    </w:p>
    <w:p>
      <w:r>
        <w:t>生成式AI正在通过支持个性化学习、内容创作、反馈和教师生产力来改变教育。然而，它也带来误信息、偏见、抄袭、隐私担忧和过度依赖等风险。本文探讨这些机遇与挑战，并强调需要在适当指南、AI素养和教师监督下，负责任地、以人为本地使用生成式AI。</w:t>
      </w:r>
    </w:p>
    <w:p>
      <w:pPr>
        <w:pStyle w:val="Heading3"/>
      </w:pPr>
      <w:r>
        <w:t>研究主要内容</w:t>
      </w:r>
    </w:p>
    <w:p>
      <w:r>
        <w:t>论文围绕生成式AI在教育中的双重影响展开，指出其可用于个性化学习、内容生成、反馈与提升教师生产力，同时带来误信息、偏见、抄袭、隐私和过度依赖等风险，并主张通过指南、AI素养和教师监督实现负责任、以人为本的应用。</w:t>
      </w:r>
    </w:p>
    <w:p>
      <w:pPr>
        <w:pStyle w:val="Heading3"/>
      </w:pPr>
      <w:r>
        <w:t>研究论点</w:t>
      </w:r>
    </w:p>
    <w:p>
      <w:r>
        <w:t>生成式AI对教育具有显著机遇，但风险不可忽视；其有效与伦理化应用依赖明确指南、AI素养、教师监督和以人为本原则。</w:t>
      </w:r>
    </w:p>
    <w:p>
      <w:pPr>
        <w:pStyle w:val="Heading3"/>
      </w:pPr>
      <w:r>
        <w:t>研究问题</w:t>
      </w:r>
    </w:p>
    <w:p>
      <w:r>
        <w:t>摘要未明确列出研究问题。可概括为：生成式AI在教育中带来哪些机遇与风险？如何以负责任、以人为本的方式使用生成式AI，并需要哪些指南、AI素养和教师监督？</w:t>
      </w:r>
    </w:p>
    <w:p>
      <w:pPr>
        <w:pStyle w:val="Heading3"/>
      </w:pPr>
      <w:r>
        <w:t>研究方法</w:t>
      </w:r>
    </w:p>
    <w:p>
      <w:r>
        <w:t>摘要未说明研究类型（定量/定性/混合），未说明样本或参与者、数据来源、分析方法。摘要仅称本文探讨相关机遇与挑战并提出建议，未报告实证数据、变量、案例、访谈、问卷或统计/质性分析程序；因此无法判断其具体研究设计。若按摘要表述，本文更接近概念性/评论性讨论，但该判断需以全文为准。</w:t>
      </w:r>
    </w:p>
    <w:p>
      <w:pPr>
        <w:pStyle w:val="Heading3"/>
      </w:pPr>
      <w:r>
        <w:t>主要发现</w:t>
      </w:r>
    </w:p>
    <w:p>
      <w:r>
        <w:t>1. 生成式AI可支持个性化学习、内容创作、反馈和教师生产力。2. 其风险包括误信息、偏见、抄袭、隐私担忧和过度依赖。3. 需通过适当指南、AI素养和教师监督，推动负责任、以人为本的生成式AI应用。</w:t>
      </w:r>
    </w:p>
    <w:p>
      <w:pPr>
        <w:pStyle w:val="Heading3"/>
      </w:pPr>
      <w:r>
        <w:t>对教师教育研究的启示</w:t>
      </w:r>
    </w:p>
    <w:p>
      <w:r>
        <w:t>该文提示教师教育研究应关注生成式AI素养、伦理风险、教师监督与人本使用。就研究设计而言，本文未提供实证数据收集与分析方法，后续研究可开展混合方法、准实验、设计研究或个案研究；数据可来自教师问卷、访谈、课堂观察、AI使用日志、学生反馈、培训前后测等；分析可采用描述统计、回归、结构方程模型、主题分析或话语分析，以检验AI整合对教师角色、教学决策、数字/智能素养和培训效果的影响。教师培训项目可嵌入AI素养、学术诚信、隐私保护、偏见识别与过度依赖防范等模块。</w:t>
      </w:r>
    </w:p>
    <w:p>
      <w:pPr>
        <w:pStyle w:val="Heading3"/>
      </w:pPr>
      <w:r>
        <w:t>APA引用格式</w:t>
      </w:r>
    </w:p>
    <w:p>
      <w:r>
        <w:t>Jacob, S. (2026). Generative AI in education: Opportunities and risks. International Journal For Multidisciplinary Research. https://doi.org/10.36948/ijfmr.2026.v08i05.86217</w:t>
      </w:r>
    </w:p>
    <w:p>
      <w:r>
        <w:br w:type="page"/>
      </w:r>
    </w:p>
    <w:p>
      <w:pPr>
        <w:pStyle w:val="Heading2"/>
      </w:pPr>
      <w:r>
        <w:t>5. Academics’ (Re) construction of teacher identities in the context of technology integration at a South African university / 南非一所大学技术整合情境下学术人员的教师身份（再）建构</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Academics’ (Re) construction of teacher identities in the context of technology integration at a South African university / 南非一所大学技术整合情境下学术人员的教师身份（再）建构</w:t>
            </w:r>
          </w:p>
        </w:tc>
      </w:tr>
      <w:tr>
        <w:tc>
          <w:tcPr>
            <w:tcW w:type="dxa" w:w="4997"/>
          </w:tcPr>
          <w:p>
            <w:r>
              <w:rPr>
                <w:b/>
              </w:rPr>
              <w:t>作者</w:t>
            </w:r>
          </w:p>
        </w:tc>
        <w:tc>
          <w:tcPr>
            <w:tcW w:type="dxa" w:w="4997"/>
          </w:tcPr>
          <w:p>
            <w:r>
              <w:t>Novel Lena Folabit；Loyiso C. Jita</w:t>
            </w:r>
          </w:p>
        </w:tc>
      </w:tr>
      <w:tr>
        <w:tc>
          <w:tcPr>
            <w:tcW w:type="dxa" w:w="4997"/>
          </w:tcPr>
          <w:p>
            <w:r>
              <w:rPr>
                <w:b/>
              </w:rPr>
              <w:t>期刊及影响因子</w:t>
            </w:r>
          </w:p>
        </w:tc>
        <w:tc>
          <w:tcPr>
            <w:tcW w:type="dxa" w:w="4997"/>
          </w:tcPr>
          <w:p>
            <w:r>
              <w:t>期刊：Educational Technology Research and Development；SSCI分类：Education &amp; Educational Research；影响因子/JCR分区：白名单未提供影响因子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1556-6501</w:t>
            </w:r>
          </w:p>
        </w:tc>
      </w:tr>
      <w:tr>
        <w:tc>
          <w:tcPr>
            <w:tcW w:type="dxa" w:w="4997"/>
          </w:tcPr>
          <w:p>
            <w:r>
              <w:rPr>
                <w:b/>
              </w:rPr>
              <w:t>卷期/DOI</w:t>
            </w:r>
          </w:p>
        </w:tc>
        <w:tc>
          <w:tcPr>
            <w:tcW w:type="dxa" w:w="4997"/>
          </w:tcPr>
          <w:p>
            <w:r>
              <w:t>卷期：摘要及元数据未说明；DOI：https://doi.org/10.1007/s11423-026-10708-w</w:t>
            </w:r>
          </w:p>
        </w:tc>
      </w:tr>
      <w:tr>
        <w:tc>
          <w:tcPr>
            <w:tcW w:type="dxa" w:w="4997"/>
          </w:tcPr>
          <w:p>
            <w:r>
              <w:rPr>
                <w:b/>
              </w:rPr>
              <w:t>在线发表时间</w:t>
            </w:r>
          </w:p>
        </w:tc>
        <w:tc>
          <w:tcPr>
            <w:tcW w:type="dxa" w:w="4997"/>
          </w:tcPr>
          <w:p>
            <w:r>
              <w:t>2026-09-10</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3">
              <w:r>
                <w:rPr>
                  <w:color w:val="0563C1"/>
                  <w:u w:val="single"/>
                </w:rPr>
                <w:t>https://doi.org/10.1007/s11423-026-10708-w</w:t>
              </w:r>
            </w:hyperlink>
          </w:p>
        </w:tc>
      </w:tr>
    </w:tbl>
    <w:p>
      <w:pPr>
        <w:pStyle w:val="Heading3"/>
      </w:pPr>
      <w:r>
        <w:t>研究摘要</w:t>
      </w:r>
    </w:p>
    <w:p>
      <w:r>
        <w:t>该定性案例研究探讨南非一所大学的学术人员在高等教育技术整合背景下如何回应教学变化并（重新）建构教师/专业身份。研究以身份理论和TPACK模型为分析框架，对12名目的性抽样的学术人员进行半结构化访谈，并采用主题分析。研究发现，学术人员被推动从传统教学转向互动式、以学生为中心的教学，需要持续适应新兴数字工具、多媒体整合和用于学生监测的数据分析；但这一转变也因工作量增加、学生参与不足和反复出现的技术问题而引发身份张力。尽管如此，参与者报告数字方法提升了教学效果并重新激发参与。研究强调技术整合兼具破坏性与促进专业成长的双重性，并主张建立包括专业发展与技术支持在内的综合性院校支持体系。</w:t>
      </w:r>
    </w:p>
    <w:p>
      <w:pPr>
        <w:pStyle w:val="Heading3"/>
      </w:pPr>
      <w:r>
        <w:t>研究主要内容</w:t>
      </w:r>
    </w:p>
    <w:p>
      <w:r>
        <w:t>论文聚焦高等教育技术整合背景下学术人员/教师专业身份的（再）建构，使用身份理论与TPACK模型，分析南非一所大学12名学者的半结构化访谈资料。研究指出技术整合推动教学从传统转向互动、学生中心，并引发身份张力，同时也有助于提升教学效果。该文属于高等教育教师发展/教育技术研究，而非学前教育或基础教育阶段；但对教师数字素养、教师身份与教师教育研究有参考价值。</w:t>
      </w:r>
    </w:p>
    <w:p>
      <w:pPr>
        <w:pStyle w:val="Heading3"/>
      </w:pPr>
      <w:r>
        <w:t>研究论点</w:t>
      </w:r>
    </w:p>
    <w:p>
      <w:r>
        <w:t>核心论点为：技术整合具有双重性，既是教学实践与教师身份的破坏者/干扰因素，也是专业成长与教学改进的促进因素；因此需要综合性院校支持体系，包括专业发展与技术支持。</w:t>
      </w:r>
    </w:p>
    <w:p>
      <w:pPr>
        <w:pStyle w:val="Heading3"/>
      </w:pPr>
      <w:r>
        <w:t>研究问题</w:t>
      </w:r>
    </w:p>
    <w:p>
      <w:r>
        <w:t>摘要未明确列出研究问题。根据摘要，研究旨在探讨：南非一所大学的学术人员如何回应高等教育技术整合带来的教学变化，并在此过程中如何（重新）建构其教师/专业身份？</w:t>
      </w:r>
    </w:p>
    <w:p>
      <w:pPr>
        <w:pStyle w:val="Heading3"/>
      </w:pPr>
      <w:r>
        <w:t>研究方法</w:t>
      </w:r>
    </w:p>
    <w:p>
      <w:r>
        <w:t>研究类型：定性案例研究。样本/参与者：12名目的性抽样的南非大学学术人员。数据来源：半结构化访谈。分析方法：主题分析；分析框架：身份理论与TPACK模型。缺失信息：摘要未说明访谈时长、转录与编码细节、研究者立场、伦理审查、饱和度或质性效度策略；未使用定量数据。</w:t>
      </w:r>
    </w:p>
    <w:p>
      <w:pPr>
        <w:pStyle w:val="Heading3"/>
      </w:pPr>
      <w:r>
        <w:t>主要发现</w:t>
      </w:r>
    </w:p>
    <w:p>
      <w:r>
        <w:t>1）学术人员被推动从传统教学转向互动式、以学生为中心的教学，需要持续适应新兴数字工具、多媒体整合和用于学生监测的数据分析。2）技术整合带来身份张力，主要源于工作量增加、学生参与不足和反复出现的技术问题。3）尽管存在挑战，参与者报告数字方法提升了教学效果并重新激发参与；技术整合因此兼具破坏性与促进专业成长的双重性。</w:t>
      </w:r>
    </w:p>
    <w:p>
      <w:pPr>
        <w:pStyle w:val="Heading3"/>
      </w:pPr>
      <w:r>
        <w:t>对教师教育研究的启示</w:t>
      </w:r>
    </w:p>
    <w:p>
      <w:r>
        <w:t>前沿主题：该文将技术整合、教师/学术身份重构与TPACK、身份理论结合，适合关注教师数字素养、智能素养与数字化教学变革中的角色转变。研究设计：采用定性案例研究，有利于探索身份建构过程；可借鉴目的性抽样选择不同学科、经验与背景的教师，聚焦技术整合中的身份张力与适应机制。数据收集与分析：半结构化访谈加主题分析，并以身份理论和TPACK作为编码与解释框架；未来可补充课堂观察、文档分析、纵向追踪或多案例比较，以弥补摘要中未说明的访谈时长、编码细节与效度策略，并增强研究可信度。对教师教育的启示：需重视专业发展、技术支持等制度性支持，帮助教师应对身份张力、工作量与技术问题；该主题虽来自高等教育，也可迁移至基础教育教师数字素养与教师教育研究。</w:t>
      </w:r>
    </w:p>
    <w:p>
      <w:pPr>
        <w:pStyle w:val="Heading3"/>
      </w:pPr>
      <w:r>
        <w:t>APA引用格式</w:t>
      </w:r>
    </w:p>
    <w:p>
      <w:r>
        <w:t>Folabit, N. L., &amp; Jita, L. C. (2026). Academics’ (Re) construction of teacher identities in the context of technology integration at a South African university. Educational Technology Research and Development. https://doi.org/10.1007/s11423-026-10708-w</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104.82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67903/ijroms0239" TargetMode="External"/><Relationship Id="rId10" Type="http://schemas.openxmlformats.org/officeDocument/2006/relationships/hyperlink" Target="https://doi.org/10.36948/ijfmr.2026.v08i05.87517" TargetMode="External"/><Relationship Id="rId11" Type="http://schemas.openxmlformats.org/officeDocument/2006/relationships/hyperlink" Target="https://doi.org/10.55041/ijcope.v2i9.091" TargetMode="External"/><Relationship Id="rId12" Type="http://schemas.openxmlformats.org/officeDocument/2006/relationships/hyperlink" Target="https://doi.org/10.36948/ijfmr.2026.v08i05.86217" TargetMode="External"/><Relationship Id="rId13" Type="http://schemas.openxmlformats.org/officeDocument/2006/relationships/hyperlink" Target="https://doi.org/10.1007/s11423-026-10708-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