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每日SSCI文献简报｜2026-10-22</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2026-10-22 10:14:15（北京时间）</w:t>
            </w:r>
          </w:p>
        </w:tc>
      </w:tr>
      <w:tr>
        <w:tc>
          <w:tcPr>
            <w:tcW w:type="dxa" w:w="4997"/>
          </w:tcPr>
          <w:p>
            <w:r>
              <w:rPr>
                <w:b/>
              </w:rPr>
              <w:t>检索窗口</w:t>
            </w:r>
          </w:p>
        </w:tc>
        <w:tc>
          <w:tcPr>
            <w:tcW w:type="dxa" w:w="4997"/>
          </w:tcPr>
          <w:p>
            <w:r>
              <w:t>2023-10-23 — 2026-10-22</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今日文献聚焦AI/技术进入教育的有效性与信任：AI命题与设计强调教师复核和过程证据，技术包容与情境化教师发展突出公平与本土传统。中国AI教育应用宜从“可用”转向“可信可证”，并嵌入教师专业发展。</w:t>
      </w:r>
    </w:p>
    <w:p>
      <w:pPr>
        <w:pStyle w:val="Heading1"/>
      </w:pPr>
      <w:r>
        <w:t>目录</w:t>
      </w:r>
    </w:p>
    <w:p>
      <w:pPr>
        <w:pStyle w:val="ListNumber"/>
      </w:pPr>
      <w:r>
        <w:rPr>
          <w:b/>
        </w:rPr>
        <w:t>整合技术驱动教学法以促进包容和公平的优质教育：战略计划的基础</w:t>
      </w:r>
      <w:r>
        <w:t>｜QualiSearch Journal of Educational Research and Practice｜2026-10-21</w:t>
      </w:r>
    </w:p>
    <w:p>
      <w:pPr>
        <w:pStyle w:val="ListNumber"/>
      </w:pPr>
      <w:r>
        <w:rPr>
          <w:b/>
        </w:rPr>
        <w:t>情境化专业发展在早期保育与教育中的应用：MoMAg经验</w:t>
      </w:r>
      <w:r>
        <w:t>｜International Journal of Early Childhood｜2026-10-19</w:t>
      </w:r>
    </w:p>
    <w:p>
      <w:pPr>
        <w:pStyle w:val="ListNumber"/>
      </w:pPr>
      <w:r>
        <w:rPr>
          <w:b/>
        </w:rPr>
        <w:t>面向残疾学生的AI生成多项选择题的效度</w:t>
      </w:r>
      <w:r>
        <w:t>｜Journal of Special Education Technology｜2026-10-21</w:t>
      </w:r>
    </w:p>
    <w:p>
      <w:pPr>
        <w:pStyle w:val="ListNumber"/>
      </w:pPr>
      <w:r>
        <w:rPr>
          <w:b/>
        </w:rPr>
        <w:t>设计AI辅助时尚教育中的信任</w:t>
      </w:r>
      <w:r>
        <w:t>｜The International Journal of Design Education｜2026-10-19</w:t>
      </w:r>
    </w:p>
    <w:p>
      <w:pPr>
        <w:pStyle w:val="ListNumber"/>
      </w:pPr>
      <w:r>
        <w:rPr>
          <w:b/>
        </w:rPr>
        <w:t>人工智能时代利用大语言模型进行旅游需求预测</w:t>
      </w:r>
      <w:r>
        <w:t>｜Tourism Review｜2026-10-22</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Integrating Technology-Driven Pedagogies to Promote Inclusive and Equitable Quality Education: Basis for a Strategic Plan / 整合技术驱动教学法以促进包容和公平的优质教育：战略计划的基础</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Integrating Technology-Driven Pedagogies to Promote Inclusive and Equitable Quality Education: Basis for a Strategic Plan / 整合技术驱动教学法以促进包容和公平的优质教育：战略计划的基础</w:t>
            </w:r>
          </w:p>
        </w:tc>
      </w:tr>
      <w:tr>
        <w:tc>
          <w:tcPr>
            <w:tcW w:type="dxa" w:w="4997"/>
          </w:tcPr>
          <w:p>
            <w:r>
              <w:rPr>
                <w:b/>
              </w:rPr>
              <w:t>作者</w:t>
            </w:r>
          </w:p>
        </w:tc>
        <w:tc>
          <w:tcPr>
            <w:tcW w:type="dxa" w:w="4997"/>
          </w:tcPr>
          <w:p>
            <w:r>
              <w:t>Marie Antonette Bobotioc</w:t>
            </w:r>
          </w:p>
        </w:tc>
      </w:tr>
      <w:tr>
        <w:tc>
          <w:tcPr>
            <w:tcW w:type="dxa" w:w="4997"/>
          </w:tcPr>
          <w:p>
            <w:r>
              <w:rPr>
                <w:b/>
              </w:rPr>
              <w:t>期刊及影响因子</w:t>
            </w:r>
          </w:p>
        </w:tc>
        <w:tc>
          <w:tcPr>
            <w:tcW w:type="dxa" w:w="4997"/>
          </w:tcPr>
          <w:p>
            <w:r>
              <w:t>SSCI分类：Education &amp; Educational Research；白名单未提供影响因子；白名单未提供JCR分区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ROUTLEDGE JOURNALS, TAYLOR &amp; FRANCIS LTD</w:t>
            </w:r>
          </w:p>
        </w:tc>
      </w:tr>
      <w:tr>
        <w:tc>
          <w:tcPr>
            <w:tcW w:type="dxa" w:w="4997"/>
          </w:tcPr>
          <w:p>
            <w:r>
              <w:rPr>
                <w:b/>
              </w:rPr>
              <w:t>卷期/DOI</w:t>
            </w:r>
          </w:p>
        </w:tc>
        <w:tc>
          <w:tcPr>
            <w:tcW w:type="dxa" w:w="4997"/>
          </w:tcPr>
          <w:p>
            <w:r>
              <w:t>卷期未说明；DOI：10.66437/qjerp.v2si.002</w:t>
            </w:r>
          </w:p>
        </w:tc>
      </w:tr>
      <w:tr>
        <w:tc>
          <w:tcPr>
            <w:tcW w:type="dxa" w:w="4997"/>
          </w:tcPr>
          <w:p>
            <w:r>
              <w:rPr>
                <w:b/>
              </w:rPr>
              <w:t>在线发表时间</w:t>
            </w:r>
          </w:p>
        </w:tc>
        <w:tc>
          <w:tcPr>
            <w:tcW w:type="dxa" w:w="4997"/>
          </w:tcPr>
          <w:p>
            <w:r>
              <w:t>2026-10-21</w:t>
            </w:r>
          </w:p>
        </w:tc>
      </w:tr>
      <w:tr>
        <w:tc>
          <w:tcPr>
            <w:tcW w:type="dxa" w:w="4997"/>
          </w:tcPr>
          <w:p>
            <w:r>
              <w:rPr>
                <w:b/>
              </w:rPr>
              <w:t>SSCI分类</w:t>
            </w:r>
          </w:p>
        </w:tc>
        <w:tc>
          <w:tcPr>
            <w:tcW w:type="dxa" w:w="4997"/>
          </w:tcPr>
          <w:p>
            <w:r>
              <w:t>Education &amp; Educational Research</w:t>
            </w:r>
          </w:p>
        </w:tc>
      </w:tr>
      <w:tr>
        <w:tc>
          <w:tcPr>
            <w:tcW w:type="dxa" w:w="4997"/>
          </w:tcPr>
          <w:p>
            <w:r>
              <w:rPr>
                <w:b/>
              </w:rPr>
              <w:t>论文链接</w:t>
            </w:r>
          </w:p>
        </w:tc>
        <w:tc>
          <w:tcPr>
            <w:tcW w:type="dxa" w:w="4997"/>
          </w:tcPr>
          <w:p>
            <w:hyperlink r:id="rId9">
              <w:r>
                <w:rPr>
                  <w:color w:val="0563C1"/>
                  <w:u w:val="single"/>
                </w:rPr>
                <w:t>https://doi.org/10.66437/qjerp.v2si.002</w:t>
              </w:r>
            </w:hyperlink>
          </w:p>
        </w:tc>
      </w:tr>
    </w:tbl>
    <w:p>
      <w:pPr>
        <w:pStyle w:val="Heading3"/>
      </w:pPr>
      <w:r>
        <w:t>研究摘要</w:t>
      </w:r>
    </w:p>
    <w:p>
      <w:r>
        <w:t>该描述性相关研究考察菲律宾黎刹省Binangonan分区公立小学中教师技术驱动教学法整合与学习者包容和公平优质教育体验之间的关系。研究以目的抽样选取50名学习者填写修改版调查问卷。技术整合从可及性与包容性、工具多样性、使用频率和教师能力四个方面评估；包容教育从资源获取、课程与教学调整、参与和投入、支持服务四个方面评估。采用描述统计、Pearson相关和回归分析，显著性水平为.05。结果显示，技术整合总体均值为3.78（SD=0.17），解释为“非常广泛”；包容和公平教育总体均值为3.67（SD=0.19），解释为“高度明显”。两者总体构念呈显著正相关（r=.384，p=.006）。回归表中四个非恒定系数均不显著，p值在.548至.622之间。研究据此支持技术在包容教学中的补充作用，但相关设计不能确立因果效应，并开发了连接技术获取、教师发展与差异化教学、包容性评估、家庭和专家协作及持续监测的校本战略计划。</w:t>
      </w:r>
    </w:p>
    <w:p>
      <w:pPr>
        <w:pStyle w:val="Heading3"/>
      </w:pPr>
      <w:r>
        <w:t>研究主要内容</w:t>
      </w:r>
    </w:p>
    <w:p>
      <w:r>
        <w:t>论文聚焦公立小学教师整合技术驱动教学法与学习者体验包容和公平优质教育之间的关系。研究将技术整合操作化为可及性与包容性、工具多样性、使用频率和教师能力，将包容和公平教育操作化为资源获取、课程与教学调整、参与和投入、支持服务。研究对象为菲律宾黎刹省Binangonan分区公立小学中目的抽样的50名学习者，数据来自修改版调查问卷。分析包括描述统计、Pearson相关和回归分析。描述统计显示技术整合总体水平较高、包容和公平教育体验较明显；相关分析显示两个总体构念显著正相关；回归分析中报告的非恒定系数未达显著。作者基于发现提出校本战略计划，强调技术获取与教师发展应同差异化教学、包容性评估、家庭与专家协作以及持续监测相连接，同时明确指出相关设计不能证明因果关系。</w:t>
      </w:r>
    </w:p>
    <w:p>
      <w:pPr>
        <w:pStyle w:val="Heading3"/>
      </w:pPr>
      <w:r>
        <w:t>研究论点</w:t>
      </w:r>
    </w:p>
    <w:p>
      <w:r>
        <w:t>论文主张技术可在包容教学中发挥补充作用，且教师技术驱动教学法整合与学习者包容和公平优质教育体验之间存在显著正相关；但由于采用相关设计，不能据此断言因果效应。因此，战略计划应围绕技术可及性、教师发展、差异化教学、包容性评估、家庭与专家协作及持续监测进行系统设计。</w:t>
      </w:r>
    </w:p>
    <w:p>
      <w:pPr>
        <w:pStyle w:val="Heading3"/>
      </w:pPr>
      <w:r>
        <w:t>研究问题</w:t>
      </w:r>
    </w:p>
    <w:p>
      <w:r>
        <w:t>摘要未明确列出研究问题。根据摘要，研究旨在考察公立小学教师技术驱动教学法整合与学习者包容和公平优质教育体验之间的关系，并以此为基础制定校本战略计划。</w:t>
      </w:r>
    </w:p>
    <w:p>
      <w:pPr>
        <w:pStyle w:val="Heading3"/>
      </w:pPr>
      <w:r>
        <w:t>研究方法</w:t>
      </w:r>
    </w:p>
    <w:p>
      <w:r>
        <w:t>研究类型：定量研究，具体为描述性相关设计。样本与参与者：菲律宾黎刹省Binangonan分区公立小学中目的抽样的50名学习者。数据来源：修改版调查问卷，由学习者作答；技术整合维度包括可及性与包容性、工具多样性、使用频率、教师能力，包容教育维度包括资源获取、课程与教学调整、参与和投入、支持服务。分析方法：描述统计、Pearson相关分析和回归分析，显著性水平为.05。摘要未说明问卷效度与信度、抽样框、应答率、回归模型具体设定及样本量检验。</w:t>
      </w:r>
    </w:p>
    <w:p>
      <w:pPr>
        <w:pStyle w:val="Heading3"/>
      </w:pPr>
      <w:r>
        <w:t>主要发现</w:t>
      </w:r>
    </w:p>
    <w:p>
      <w:r>
        <w:t>1）技术整合总体均值为3.78（SD=0.17），解释为“非常广泛”；包容和公平教育总体均值为3.67（SD=0.19），解释为“高度明显”。2）技术整合与包容和公平教育两个总体构念呈显著正相关（r=.384，p=.006）。3）回归表中四个非恒定系数均不显著，p值范围为.548至.622；研究据此支持技术在包容教学中的补充作用，但强调相关设计不能确立因果效应。</w:t>
      </w:r>
    </w:p>
    <w:p>
      <w:pPr>
        <w:pStyle w:val="Heading3"/>
      </w:pPr>
      <w:r>
        <w:t>对教师教育研究的启示</w:t>
      </w:r>
    </w:p>
    <w:p>
      <w:r>
        <w:t>对教师教育研究的启示：第一，该研究采用描述性相关设计、学习者问卷和多维构念测量，提示后续研究可增加教师、家长及学校管理者等多来源数据，以避免仅依赖学习者报告。第二，研究样本为50名目的抽样学习者，回归系数不显著且未说明效力分析，提示未来研究应重视样本量、抽样代表性和统计效力，并报告 instrument 信效度。第三，相关设计不能推断因果，后续可采用纵向追踪、准实验或干预研究检验技术整合对包容教育体验的影响。第四，教师教育项目可将数字/技术素养、差异化教学、包容性评估、家庭与专家协作及持续监测纳入培训设计，并关注技术可及性与教师能力如何共同支持包容教学。</w:t>
      </w:r>
    </w:p>
    <w:p>
      <w:pPr>
        <w:pStyle w:val="Heading3"/>
      </w:pPr>
      <w:r>
        <w:t>APA引用格式</w:t>
      </w:r>
    </w:p>
    <w:p>
      <w:r>
        <w:t>Bobotioc, M. A. (2026, October 21). Integrating technology-driven pedagogies to promote inclusive and equitable quality education: Basis for a strategic plan. QualiSearch Journal of Educational Research and Practice. https://doi.org/10.66437/qjerp.v2si.002</w:t>
      </w:r>
    </w:p>
    <w:p>
      <w:r>
        <w:br w:type="page"/>
      </w:r>
    </w:p>
    <w:p>
      <w:pPr>
        <w:pStyle w:val="Heading2"/>
      </w:pPr>
      <w:r>
        <w:t>2. Situated Professional Development for ECEC: The MoMAg Experience / 情境化专业发展在早期保育与教育中的应用：MoMAg经验</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Situated Professional Development for ECEC: The MoMAg Experience / 情境化专业发展在早期保育与教育中的应用：MoMAg经验</w:t>
            </w:r>
          </w:p>
        </w:tc>
      </w:tr>
      <w:tr>
        <w:tc>
          <w:tcPr>
            <w:tcW w:type="dxa" w:w="4997"/>
          </w:tcPr>
          <w:p>
            <w:r>
              <w:rPr>
                <w:b/>
              </w:rPr>
              <w:t>作者</w:t>
            </w:r>
          </w:p>
        </w:tc>
        <w:tc>
          <w:tcPr>
            <w:tcW w:type="dxa" w:w="4997"/>
          </w:tcPr>
          <w:p>
            <w:r>
              <w:t>Andrea Lupi</w:t>
            </w:r>
          </w:p>
        </w:tc>
      </w:tr>
      <w:tr>
        <w:tc>
          <w:tcPr>
            <w:tcW w:type="dxa" w:w="4997"/>
          </w:tcPr>
          <w:p>
            <w:r>
              <w:rPr>
                <w:b/>
              </w:rPr>
              <w:t>期刊及影响因子</w:t>
            </w:r>
          </w:p>
        </w:tc>
        <w:tc>
          <w:tcPr>
            <w:tcW w:type="dxa" w:w="4997"/>
          </w:tcPr>
          <w:p>
            <w:r>
              <w:t>期刊：International Journal of Early Childhood；白名单未提供影响因子；白名单未提供JCR分区；元数据标注SSCI分类为International Relations</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卷期：元数据未提供；DOI：https://doi.org/10.1007/s13158-026-00545-6</w:t>
            </w:r>
          </w:p>
        </w:tc>
      </w:tr>
      <w:tr>
        <w:tc>
          <w:tcPr>
            <w:tcW w:type="dxa" w:w="4997"/>
          </w:tcPr>
          <w:p>
            <w:r>
              <w:rPr>
                <w:b/>
              </w:rPr>
              <w:t>在线发表时间</w:t>
            </w:r>
          </w:p>
        </w:tc>
        <w:tc>
          <w:tcPr>
            <w:tcW w:type="dxa" w:w="4997"/>
          </w:tcPr>
          <w:p>
            <w:r>
              <w:t>2026-10-19</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0">
              <w:r>
                <w:rPr>
                  <w:color w:val="0563C1"/>
                  <w:u w:val="single"/>
                </w:rPr>
                <w:t>https://doi.org/10.1007/s13158-026-00545-6</w:t>
              </w:r>
            </w:hyperlink>
          </w:p>
        </w:tc>
      </w:tr>
    </w:tbl>
    <w:p>
      <w:pPr>
        <w:pStyle w:val="Heading3"/>
      </w:pPr>
      <w:r>
        <w:t>研究摘要</w:t>
      </w:r>
    </w:p>
    <w:p>
      <w:r>
        <w:t>本文呈现MoMAg情境化专业发展项目的设计、实施与发现，旨在提升弱势城市背景下早期保育与教育（ECEC）教师的赋权。项目在意大利都灵Barriera di Milano区的幼儿园开展，将意大利蒙台梭利、阿加齐和马拉古齐教学传统与当代认知和学习研究相结合。MoMAg以参与式和情境敏感方法为基础，23名教师参与实验室培训、协作环境设计、岗位影子学习和反思实践。来自焦点小组、观察和文档记录的定性数据表明，教师对感官过程的认识、对教育环境的重新关注以及共享专业词汇的形成出现显著变化；挑战包括协调引导性教学与游戏化教学法，以及机构层面反思时间有限。研究认为，ECEC可持续专业发展需要将学习嵌入真实情境、促进集体反思，并将本地教学传统视为创新资源。</w:t>
      </w:r>
    </w:p>
    <w:p>
      <w:pPr>
        <w:pStyle w:val="Heading3"/>
      </w:pPr>
      <w:r>
        <w:t>研究主要内容</w:t>
      </w:r>
    </w:p>
    <w:p>
      <w:r>
        <w:t>论文围绕MoMAg情境化专业发展项目的设计、实施和评估展开，聚焦弱势城市社区幼儿园中教师赋权问题。项目整合意大利学前教育传统（蒙台梭利、阿加齐、马拉古齐）与当代认知与学习研究，采用参与式、情境敏感的方法，组织23名教师参与实验室培训、协作环境设计、岗位影子学习和反思实践。研究通过焦点小组、观察和文档记录收集定性数据，报告教师认识与实践变化，并讨论项目面临的挑战及对可持续专业发展的启示。</w:t>
      </w:r>
    </w:p>
    <w:p>
      <w:pPr>
        <w:pStyle w:val="Heading3"/>
      </w:pPr>
      <w:r>
        <w:t>研究论点</w:t>
      </w:r>
    </w:p>
    <w:p>
      <w:r>
        <w:t>核心论点是：ECEC教师专业发展应嵌入真实教育情境，通过集体反思和本地教学传统资源促进教师赋权与创新；可持续专业发展需要连接 pedagogical heritage 与证据导向实践，而不能脱离具体社区和园所情境。</w:t>
      </w:r>
    </w:p>
    <w:p>
      <w:pPr>
        <w:pStyle w:val="Heading3"/>
      </w:pPr>
      <w:r>
        <w:t>研究问题</w:t>
      </w:r>
    </w:p>
    <w:p>
      <w:r>
        <w:t>摘要未明确列出研究问题。可辨识的研究目的/问题是：设计、实施并评估MoMAg情境化专业发展项目，以了解其在弱势城市ECEC情境中如何促进教师赋权、带来哪些变化与挑战，并据此提炼可持续专业发展的条件。</w:t>
      </w:r>
    </w:p>
    <w:p>
      <w:pPr>
        <w:pStyle w:val="Heading3"/>
      </w:pPr>
      <w:r>
        <w:t>研究方法</w:t>
      </w:r>
    </w:p>
    <w:p>
      <w:r>
        <w:t>研究类型：定性研究；摘要称项目基于参与式和情境敏感方法，关键词含participatory action research、participant observation、grounded theory等，但摘要未明确将研究设计命名为行动研究或扎根理论。样本/参与者：意大利都灵Barriera di Milano区幼儿园的23名教师。数据来源：焦点小组、观察和文档记录。分析方法：摘要未说明具体分析技术、编码程序或理论生成过程；未见定量数据或统计检验。</w:t>
      </w:r>
    </w:p>
    <w:p>
      <w:pPr>
        <w:pStyle w:val="Heading3"/>
      </w:pPr>
      <w:r>
        <w:t>主要发现</w:t>
      </w:r>
    </w:p>
    <w:p>
      <w:r>
        <w:t>1）教师对感官过程的认识发生变化，对教育环境重新给予关注，并形成共享的专业词汇。2）项目实施中的挑战包括协调引导性教学与游戏化教学法，以及机构层面可用于反思的时间有限。3）研究提出，ECEC可持续专业发展需要将学习嵌入真实情境、促进集体反思，并将本地教学传统作为创新资源。</w:t>
      </w:r>
    </w:p>
    <w:p>
      <w:pPr>
        <w:pStyle w:val="Heading3"/>
      </w:pPr>
      <w:r>
        <w:t>对教师教育研究的启示</w:t>
      </w:r>
    </w:p>
    <w:p>
      <w:r>
        <w:t>对教师教育研究的启示：其一，前沿主题上可关注情境化、参与式、基于园所真实问题的教师专业发展，以及本地教学传统与证据导向实践的整合。其二，研究设计上可采用参与式、情境敏感的多来源定性设计，围绕实验室培训、协作环境设计、岗位影子学习和反思实践追踪教师变化。其三，数据收集上可综合焦点小组、观察和文档记录，以捕捉教师认知、环境实践与专业话语的变化；但本研究摘要未明确分析方法，提示后续研究需清晰交代编码、分析框架与质量控制。其四，样本为单一地区23名教师，研究结论的外推需谨慎，未来可补充纵向、跨园所或混合方法设计。</w:t>
      </w:r>
    </w:p>
    <w:p>
      <w:pPr>
        <w:pStyle w:val="Heading3"/>
      </w:pPr>
      <w:r>
        <w:t>APA引用格式</w:t>
      </w:r>
    </w:p>
    <w:p>
      <w:r>
        <w:t>Lupi, A. (2026). Situated professional development for ECEC: The MoMAg experience. International Journal of Early Childhood. https://doi.org/10.1007/s13158-026-00545-6</w:t>
      </w:r>
    </w:p>
    <w:p>
      <w:r>
        <w:br w:type="page"/>
      </w:r>
    </w:p>
    <w:p>
      <w:pPr>
        <w:pStyle w:val="Heading2"/>
      </w:pPr>
      <w:r>
        <w:t>3. The Validity of AI-Generated Multiple-Choice Questions for Students With Disabilities / 面向残疾学生的AI生成多项选择题的效度</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The Validity of AI-Generated Multiple-Choice Questions for Students With Disabilities / 面向残疾学生的AI生成多项选择题的效度</w:t>
            </w:r>
          </w:p>
        </w:tc>
      </w:tr>
      <w:tr>
        <w:tc>
          <w:tcPr>
            <w:tcW w:type="dxa" w:w="4997"/>
          </w:tcPr>
          <w:p>
            <w:r>
              <w:rPr>
                <w:b/>
              </w:rPr>
              <w:t>作者</w:t>
            </w:r>
          </w:p>
        </w:tc>
        <w:tc>
          <w:tcPr>
            <w:tcW w:type="dxa" w:w="4997"/>
          </w:tcPr>
          <w:p>
            <w:r>
              <w:t>Bruce B. Frey, Amelia Murray, Maggie Mosher</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2381-3121</w:t>
            </w:r>
          </w:p>
        </w:tc>
      </w:tr>
      <w:tr>
        <w:tc>
          <w:tcPr>
            <w:tcW w:type="dxa" w:w="4997"/>
          </w:tcPr>
          <w:p>
            <w:r>
              <w:rPr>
                <w:b/>
              </w:rPr>
              <w:t>卷期/DOI</w:t>
            </w:r>
          </w:p>
        </w:tc>
        <w:tc>
          <w:tcPr>
            <w:tcW w:type="dxa" w:w="4997"/>
          </w:tcPr>
          <w:p>
            <w:r>
              <w:t>卷期未提供；DOI: 10.1177/01626434261498192</w:t>
            </w:r>
          </w:p>
        </w:tc>
      </w:tr>
      <w:tr>
        <w:tc>
          <w:tcPr>
            <w:tcW w:type="dxa" w:w="4997"/>
          </w:tcPr>
          <w:p>
            <w:r>
              <w:rPr>
                <w:b/>
              </w:rPr>
              <w:t>在线发表时间</w:t>
            </w:r>
          </w:p>
        </w:tc>
        <w:tc>
          <w:tcPr>
            <w:tcW w:type="dxa" w:w="4997"/>
          </w:tcPr>
          <w:p>
            <w:r>
              <w:t>2026-10-21</w:t>
            </w:r>
          </w:p>
        </w:tc>
      </w:tr>
      <w:tr>
        <w:tc>
          <w:tcPr>
            <w:tcW w:type="dxa" w:w="4997"/>
          </w:tcPr>
          <w:p>
            <w:r>
              <w:rPr>
                <w:b/>
              </w:rPr>
              <w:t>SSCI分类</w:t>
            </w:r>
          </w:p>
        </w:tc>
        <w:tc>
          <w:tcPr>
            <w:tcW w:type="dxa" w:w="4997"/>
          </w:tcPr>
          <w:p>
            <w:r>
              <w:t>Education；English；Rehabilitation；Special</w:t>
            </w:r>
          </w:p>
        </w:tc>
      </w:tr>
      <w:tr>
        <w:tc>
          <w:tcPr>
            <w:tcW w:type="dxa" w:w="4997"/>
          </w:tcPr>
          <w:p>
            <w:r>
              <w:rPr>
                <w:b/>
              </w:rPr>
              <w:t>论文链接</w:t>
            </w:r>
          </w:p>
        </w:tc>
        <w:tc>
          <w:tcPr>
            <w:tcW w:type="dxa" w:w="4997"/>
          </w:tcPr>
          <w:p>
            <w:hyperlink r:id="rId11">
              <w:r>
                <w:rPr>
                  <w:color w:val="0563C1"/>
                  <w:u w:val="single"/>
                </w:rPr>
                <w:t>https://doi.org/10.1177/01626434261498192</w:t>
              </w:r>
            </w:hyperlink>
          </w:p>
        </w:tc>
      </w:tr>
    </w:tbl>
    <w:p>
      <w:pPr>
        <w:pStyle w:val="Heading3"/>
      </w:pPr>
      <w:r>
        <w:t>研究摘要</w:t>
      </w:r>
    </w:p>
    <w:p>
      <w:r>
        <w:t>该研究评估三种大语言模型聊天机器人（ChatGPT、Copilot、Gemini）生成的多项选择题在残疾学生课堂评估情境中的效度。每个聊天机器人在默认与更深提示设置下各生成200题，共600题，并依据15条客观命题指南评分。结果显示模型常违反题干完整性和正确选项位置随机化等规则，不同聊天机器人间存在显著差异，更深提示仅小幅提升质量；作者建议AI可快速起草题目，但教育者必须复核和修订。</w:t>
      </w:r>
    </w:p>
    <w:p>
      <w:pPr>
        <w:pStyle w:val="Heading3"/>
      </w:pPr>
      <w:r>
        <w:t>研究主要内容</w:t>
      </w:r>
    </w:p>
    <w:p>
      <w:r>
        <w:t>论文关注特殊教育课堂评估中AI生成题目的效度问题。研究让ChatGPT、Copilot、Gemini分别在默认和更深设置下生成题目，共600道，以15条客观命题指南作为评分标准。分析比较三种模型及不同提示深度下的违规情况，使用卡方检验和方差分析检验差异。结论是AI能快速生成具有合理干扰项的题目草稿，但在高利害特殊教育数据收集场景中仍需教师审查修订。</w:t>
      </w:r>
    </w:p>
    <w:p>
      <w:pPr>
        <w:pStyle w:val="Heading3"/>
      </w:pPr>
      <w:r>
        <w:t>研究论点</w:t>
      </w:r>
    </w:p>
    <w:p>
      <w:r>
        <w:t>AI可作为快速起草多项选择题的辅助工具，但其生成题目尚不能直接视为高效度评估工具；在特殊教育高利害评估中，必须由教育者依据命题规则复核和修订，尤其关注题干完整性与正确选项位置随机化。</w:t>
      </w:r>
    </w:p>
    <w:p>
      <w:pPr>
        <w:pStyle w:val="Heading3"/>
      </w:pPr>
      <w:r>
        <w:t>研究问题</w:t>
      </w:r>
    </w:p>
    <w:p>
      <w:r>
        <w:t>AI生成的多项选择题是否满足残疾学生课堂评估所需的效度标准？具体包括：三种大语言模型聊天机器人生成的题目对15条客观命题指南的符合程度如何？不同聊天机器人之间以及默认与更深提示设置之间是否存在显著差异？</w:t>
      </w:r>
    </w:p>
    <w:p>
      <w:pPr>
        <w:pStyle w:val="Heading3"/>
      </w:pPr>
      <w:r>
        <w:t>研究方法</w:t>
      </w:r>
    </w:p>
    <w:p>
      <w:r>
        <w:t>研究类型：定量比较研究。样本或参与者：3个大语言模型聊天机器人（ChatGPT、Copilot、Gemini）在默认和更深设置下各生成200题，共N=600道题目；摘要未说明有残疾学生或其他人类参与者作答或参与评分。数据来源：AI生成的600道多项选择题，以及依据15条客观命题指南进行的评分结果。分析方法：比较错误率，并使用卡方检验和方差分析（ANOVA）检验聊天机器人之间及提示设置之间的差异；摘要未说明评分者信度、人工评分流程和学生作答数据等细节。</w:t>
      </w:r>
    </w:p>
    <w:p>
      <w:pPr>
        <w:pStyle w:val="Heading3"/>
      </w:pPr>
      <w:r>
        <w:t>主要发现</w:t>
      </w:r>
    </w:p>
    <w:p>
      <w:r>
        <w:t>['模型频繁违反题干完整性和正确选项位置随机化等命题规则；ChatGPT总体错误率最高，Copilot和Gemini最低。', '卡方和ANOVA分析显示不同聊天机器人之间存在显著差异，尤其在特定命题指南上；更深提示仅带来轻微质量提升。', 'AI能快速生成具有较合理、可信干扰项的题目草稿，但题目质量仍需教育者复核和修订后才能用于高利害特殊教育评估。']</w:t>
      </w:r>
    </w:p>
    <w:p>
      <w:pPr>
        <w:pStyle w:val="Heading3"/>
      </w:pPr>
      <w:r>
        <w:t>对教师教育研究的启示</w:t>
      </w:r>
    </w:p>
    <w:p>
      <w:r>
        <w:t>对教师教育研究而言，该文提示应将AI评估素养纳入教师培训：教师需掌握用客观命题指南审查AI生成题目的方法，重点关注题干完整性、选项位置随机化、干扰项合理性和残疾学生可访问性。研究设计上可借鉴多模型×多提示设置的比较研究，以AI生成题目为分析单元，采用结构化评分表收集数据，并用卡方检验或ANOVA检验模型与提示条件差异；未来可补充人类专家评分、学生作答数据与效度证据。摘要未说明评分者信度、学生样本和实际作答数据，教师教育研究可据此设计混合方法或效度验证研究。</w:t>
      </w:r>
    </w:p>
    <w:p>
      <w:pPr>
        <w:pStyle w:val="Heading3"/>
      </w:pPr>
      <w:r>
        <w:t>APA引用格式</w:t>
      </w:r>
    </w:p>
    <w:p>
      <w:r>
        <w:t>Frey, B. B., Murray, A., &amp; Mosher, M. (2026). The validity of AI-generated multiple-choice questions for students with disabilities. Journal of Special Education Technology. https://doi.org/10.1177/01626434261498192</w:t>
      </w:r>
    </w:p>
    <w:p>
      <w:r>
        <w:br w:type="page"/>
      </w:r>
    </w:p>
    <w:p>
      <w:pPr>
        <w:pStyle w:val="Heading2"/>
      </w:pPr>
      <w:r>
        <w:t>4. Designing Trust in AI-Assisted Fashion Education / 设计AI辅助时尚教育中的信任</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Designing Trust in AI-Assisted Fashion Education / 设计AI辅助时尚教育中的信任</w:t>
            </w:r>
          </w:p>
        </w:tc>
      </w:tr>
      <w:tr>
        <w:tc>
          <w:tcPr>
            <w:tcW w:type="dxa" w:w="4997"/>
          </w:tcPr>
          <w:p>
            <w:r>
              <w:rPr>
                <w:b/>
              </w:rPr>
              <w:t>作者</w:t>
            </w:r>
          </w:p>
        </w:tc>
        <w:tc>
          <w:tcPr>
            <w:tcW w:type="dxa" w:w="4997"/>
          </w:tcPr>
          <w:p>
            <w:r>
              <w:t>Xiaozhu Lin, Andrea Giuseppe Manciaracina</w:t>
            </w:r>
          </w:p>
        </w:tc>
      </w:tr>
      <w:tr>
        <w:tc>
          <w:tcPr>
            <w:tcW w:type="dxa" w:w="4997"/>
          </w:tcPr>
          <w:p>
            <w:r>
              <w:rPr>
                <w:b/>
              </w:rPr>
              <w:t>期刊及影响因子</w:t>
            </w:r>
          </w:p>
        </w:tc>
        <w:tc>
          <w:tcPr>
            <w:tcW w:type="dxa" w:w="4997"/>
          </w:tcPr>
          <w:p>
            <w:r>
              <w:t>白名单未提供影响因子；白名单未提供JCR分区；SSCI分类：International Relations</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卷期未说明；DOI: https://doi.org/10.18848/2325-128x/cgp/a357</w:t>
            </w:r>
          </w:p>
        </w:tc>
      </w:tr>
      <w:tr>
        <w:tc>
          <w:tcPr>
            <w:tcW w:type="dxa" w:w="4997"/>
          </w:tcPr>
          <w:p>
            <w:r>
              <w:rPr>
                <w:b/>
              </w:rPr>
              <w:t>在线发表时间</w:t>
            </w:r>
          </w:p>
        </w:tc>
        <w:tc>
          <w:tcPr>
            <w:tcW w:type="dxa" w:w="4997"/>
          </w:tcPr>
          <w:p>
            <w:r>
              <w:t>2026-10-19</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2">
              <w:r>
                <w:rPr>
                  <w:color w:val="0563C1"/>
                  <w:u w:val="single"/>
                </w:rPr>
                <w:t>https://doi.org/10.18848/2325-128x/cgp/a357</w:t>
              </w:r>
            </w:hyperlink>
          </w:p>
        </w:tc>
      </w:tr>
    </w:tbl>
    <w:p>
      <w:pPr>
        <w:pStyle w:val="Heading3"/>
      </w:pPr>
      <w:r>
        <w:t>研究摘要</w:t>
      </w:r>
    </w:p>
    <w:p>
      <w:r>
        <w:t>该文关注AI辅助时尚设计教育中视觉产出质量与学生设计推理、作者身份和学科判断证据之间脱节的问题。文章以教育者主导的时尚项目为反思性实践案例，记录从初始素材开发到AI生成、再设计和市场可视化全过程，分析设计者—系统比例、视觉研究与印花开发联系、素材来源及反复生成/选择等张力，提出“产出—证据差距”概念和“设计信任框架”（framing, sourcing, translating, curating, generating, diagnosing, intervening, accounting），主张信任应建立在可追踪过程、领域判断、有意义的人类干预和教学中介之上。</w:t>
      </w:r>
    </w:p>
    <w:p>
      <w:pPr>
        <w:pStyle w:val="Heading3"/>
      </w:pPr>
      <w:r>
        <w:t>研究主要内容</w:t>
      </w:r>
    </w:p>
    <w:p>
      <w:r>
        <w:t>论文围绕AI辅助时尚设计教育中“视觉成品看起来很好，但难以作为学生学习、作者身份与批判性判断证据”的问题展开。作者以一项教育者主导的时尚项目为案例，记录从初始素材开发、AI生成、再设计到市场导向可视化的过程，并分析其中若干关键张力：设计者与系统贡献比例难以被感知，视觉研究与印花开发之间的联系可见性有限，上传素材来源混合，以及反复生成和视觉选择可能替代有意识的设计推理。文章据此提出“产出—证据差距”概念，并构建由framing、sourcing、translating、curating、generating、diagnosing、intervening、accounting八个环节组成的“设计信任框架”。</w:t>
      </w:r>
    </w:p>
    <w:p>
      <w:pPr>
        <w:pStyle w:val="Heading3"/>
      </w:pPr>
      <w:r>
        <w:t>研究论点</w:t>
      </w:r>
    </w:p>
    <w:p>
      <w:r>
        <w:t>作者主张，AI辅助设计教育中的信任不能仅建立在视觉精美或平台宣称的人类控制之上，而应通过可追踪的过程、领域特定判断、有意义的人类干预和有意设计的教学中介来建构。</w:t>
      </w:r>
    </w:p>
    <w:p>
      <w:pPr>
        <w:pStyle w:val="Heading3"/>
      </w:pPr>
      <w:r>
        <w:t>研究问题</w:t>
      </w:r>
    </w:p>
    <w:p>
      <w:r>
        <w:t>摘要未明确列出研究问题；文章核心探究的是：AI辅助时尚设计教育中视觉产出质量与学习、作者身份及学科判断证据之间的差距如何显现，以及如何设计信任机制以保障教学评价与设计推理。</w:t>
      </w:r>
    </w:p>
    <w:p>
      <w:pPr>
        <w:pStyle w:val="Heading3"/>
      </w:pPr>
      <w:r>
        <w:t>研究方法</w:t>
      </w:r>
    </w:p>
    <w:p>
      <w:r>
        <w:t>研究类型：定性研究，采用基于反思性实践的案例研究。样本/参与者：一项由教育者主导的时尚项目；是否涉及学生、学生人数及样本特征摘要未说明。数据来源：项目过程文档，覆盖初始素材开发、AI生成、再设计与面向市场的可视化。分析方法：摘要仅说明对项目进行分析，未说明具体分析程序、编码方法或验证方式。</w:t>
      </w:r>
    </w:p>
    <w:p>
      <w:pPr>
        <w:pStyle w:val="Heading3"/>
      </w:pPr>
      <w:r>
        <w:t>主要发现</w:t>
      </w:r>
    </w:p>
    <w:p>
      <w:r>
        <w:t>（1）AI辅助产出的视觉质量越来越独立于人工设计推理的深度，使最终成果难以可靠地作为学生学习、作者身份和学科判断的证据。（2）案例揭示多重张力：设计者—系统贡献比例难以感知、视觉研究与印花开发之间的联系可见性有限、上传素材来源混合，以及反复生成和视觉选择可能取代审慎设计推理。（3）文章提出“产出—证据差距”概念，并提出以framing、sourcing、translating、curating、generating、diagnosing、intervening、accounting为核心的“设计信任框架”，强调以过程追踪、领域判断、人类干预和教学中介建立信任。</w:t>
      </w:r>
    </w:p>
    <w:p>
      <w:pPr>
        <w:pStyle w:val="Heading3"/>
      </w:pPr>
      <w:r>
        <w:t>对教师教育研究的启示</w:t>
      </w:r>
    </w:p>
    <w:p>
      <w:r>
        <w:t>该文研究对象为时尚设计教育项目，对学前教育及基础教育教师教育的直接适用性有限，但其研究设计与分析视角可迁移：教师教育研究可关注AI教学应用中“过程证据”而非仅看成品质量，采用反思性实践案例记录素材来源、生成版本、选择与修改轨迹，并以可追踪过程、领域特定判断、有意义的人类干预和教学中介作为分析框架；若用于教师AI素养或数据素养研究，摘要未说明其数据收集与分析细节，需谨慎类推。</w:t>
      </w:r>
    </w:p>
    <w:p>
      <w:pPr>
        <w:pStyle w:val="Heading3"/>
      </w:pPr>
      <w:r>
        <w:t>APA引用格式</w:t>
      </w:r>
    </w:p>
    <w:p>
      <w:r>
        <w:t>Lin, X., &amp; Manciaracina, A. G. (2026). Designing trust in AI-assisted fashion education. The International Journal of Design Education. https://doi.org/10.18848/2325-128x/cgp/a357</w:t>
      </w:r>
    </w:p>
    <w:p>
      <w:r>
        <w:br w:type="page"/>
      </w:r>
    </w:p>
    <w:p>
      <w:pPr>
        <w:pStyle w:val="Heading2"/>
      </w:pPr>
      <w:r>
        <w:t>5. Tourism demand forecasting in the artificial intelligence era using large language models / 人工智能时代利用大语言模型进行旅游需求预测</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Tourism demand forecasting in the artificial intelligence era using large language models / 人工智能时代利用大语言模型进行旅游需求预测</w:t>
            </w:r>
          </w:p>
        </w:tc>
      </w:tr>
      <w:tr>
        <w:tc>
          <w:tcPr>
            <w:tcW w:type="dxa" w:w="4997"/>
          </w:tcPr>
          <w:p>
            <w:r>
              <w:rPr>
                <w:b/>
              </w:rPr>
              <w:t>作者</w:t>
            </w:r>
          </w:p>
        </w:tc>
        <w:tc>
          <w:tcPr>
            <w:tcW w:type="dxa" w:w="4997"/>
          </w:tcPr>
          <w:p>
            <w:r>
              <w:t>Roman Egger</w:t>
            </w:r>
          </w:p>
        </w:tc>
      </w:tr>
      <w:tr>
        <w:tc>
          <w:tcPr>
            <w:tcW w:type="dxa" w:w="4997"/>
          </w:tcPr>
          <w:p>
            <w:r>
              <w:rPr>
                <w:b/>
              </w:rPr>
              <w:t>期刊及影响因子</w:t>
            </w:r>
          </w:p>
        </w:tc>
        <w:tc>
          <w:tcPr>
            <w:tcW w:type="dxa" w:w="4997"/>
          </w:tcPr>
          <w:p>
            <w:r>
              <w:t>白名单未提供影响因子；白名单未提供JCR分区；期刊为Tourism Review（SSCI分类：English, Hospitality, Leisure, Sport &amp; Tourism）</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EMERALD GROUP PUBLISHING LTD</w:t>
            </w:r>
          </w:p>
        </w:tc>
      </w:tr>
      <w:tr>
        <w:tc>
          <w:tcPr>
            <w:tcW w:type="dxa" w:w="4997"/>
          </w:tcPr>
          <w:p>
            <w:r>
              <w:rPr>
                <w:b/>
              </w:rPr>
              <w:t>卷期/DOI</w:t>
            </w:r>
          </w:p>
        </w:tc>
        <w:tc>
          <w:tcPr>
            <w:tcW w:type="dxa" w:w="4997"/>
          </w:tcPr>
          <w:p>
            <w:r>
              <w:t>卷期未提供；DOI: 10.1108/TR-02-2026-0223</w:t>
            </w:r>
          </w:p>
        </w:tc>
      </w:tr>
      <w:tr>
        <w:tc>
          <w:tcPr>
            <w:tcW w:type="dxa" w:w="4997"/>
          </w:tcPr>
          <w:p>
            <w:r>
              <w:rPr>
                <w:b/>
              </w:rPr>
              <w:t>在线发表时间</w:t>
            </w:r>
          </w:p>
        </w:tc>
        <w:tc>
          <w:tcPr>
            <w:tcW w:type="dxa" w:w="4997"/>
          </w:tcPr>
          <w:p>
            <w:r>
              <w:t>2026-10-22</w:t>
            </w:r>
          </w:p>
        </w:tc>
      </w:tr>
      <w:tr>
        <w:tc>
          <w:tcPr>
            <w:tcW w:type="dxa" w:w="4997"/>
          </w:tcPr>
          <w:p>
            <w:r>
              <w:rPr>
                <w:b/>
              </w:rPr>
              <w:t>SSCI分类</w:t>
            </w:r>
          </w:p>
        </w:tc>
        <w:tc>
          <w:tcPr>
            <w:tcW w:type="dxa" w:w="4997"/>
          </w:tcPr>
          <w:p>
            <w:r>
              <w:t>English；Hospitality；Leisure；Sport &amp; Tourism</w:t>
            </w:r>
          </w:p>
        </w:tc>
      </w:tr>
      <w:tr>
        <w:tc>
          <w:tcPr>
            <w:tcW w:type="dxa" w:w="4997"/>
          </w:tcPr>
          <w:p>
            <w:r>
              <w:rPr>
                <w:b/>
              </w:rPr>
              <w:t>论文链接</w:t>
            </w:r>
          </w:p>
        </w:tc>
        <w:tc>
          <w:tcPr>
            <w:tcW w:type="dxa" w:w="4997"/>
          </w:tcPr>
          <w:p>
            <w:hyperlink r:id="rId13">
              <w:r>
                <w:rPr>
                  <w:color w:val="0563C1"/>
                  <w:u w:val="single"/>
                </w:rPr>
                <w:t>https://doi.org/10.1108/tr-02-2026-0223</w:t>
              </w:r>
            </w:hyperlink>
          </w:p>
        </w:tc>
      </w:tr>
    </w:tbl>
    <w:p>
      <w:pPr>
        <w:pStyle w:val="Heading3"/>
      </w:pPr>
      <w:r>
        <w:t>研究摘要</w:t>
      </w:r>
    </w:p>
    <w:p>
      <w:r>
        <w:t>目的：检验大语言模型（LLMs）相较成熟统计与机器学习方法能否提高旅游需求预测准确性。设计/方法：使用Eurostat八个欧洲客源市场的月度旅游到访数据开展系统性样本外比较；基准包括优化的SARIMA、ETS、Prophet、随机森林和季节朴素模型；评估三类LLM家族的零样本预测表现；并在COVID前稳定期、超出LLM训练截止期的未来期以及较旧模型测试中检验稳健性。发现：LLM预测在多个国家和评估期均表现出一致优势；主后COVID期LLM平均MASE为0.67–0.85，而ETS为1.56、SARIMA为2.67、Prophet为3.04、随机森林为4.32；该优势在COVID前稳定期仍存在；旧模型与未来期测试表明数据污染不能解释结果；提示消融显示提供国家身份和日期标签最有益。局限：仅分析月度国家级到访数据和零样本提示；每国测试样本量有限，限制单国统计显著性检验。</w:t>
      </w:r>
    </w:p>
    <w:p>
      <w:pPr>
        <w:pStyle w:val="Heading3"/>
      </w:pPr>
      <w:r>
        <w:t>研究主要内容</w:t>
      </w:r>
    </w:p>
    <w:p>
      <w:r>
        <w:t>论文聚焦旅游需求预测，而非教育研究。研究以Eurostat八个欧洲客源市场的月度旅游到访数据为对象，将三类大语言模型作为零样本预测器，与优化的SARIMA、ETS、Prophet、随机森林和季节朴素模型进行系统性样本外比较。评估覆盖主后COVID期、COVID前稳定期、超出LLM训练截止期的未来期以及较旧LLM模型测试，并开展提示消融分析和Diebold–Mariano检验。结果显示LLM在多数比较中具有方向性优势，且该优势并非仅由结构断点或数据污染解释；提供国家身份与日期标签等上下文信息是最有益的提示设计。</w:t>
      </w:r>
    </w:p>
    <w:p>
      <w:pPr>
        <w:pStyle w:val="Heading3"/>
      </w:pPr>
      <w:r>
        <w:t>研究论点</w:t>
      </w:r>
    </w:p>
    <w:p>
      <w:r>
        <w:t>核心论点是：在旅游需求预测任务中，大语言模型的零样本预测可 consistently 优于优化的传统统计与机器学习基准，且这种优势在不同国家和评估期具有一定稳健性；稳健性检验表明观察到的性能模式不能由训练数据污染解释。</w:t>
      </w:r>
    </w:p>
    <w:p>
      <w:pPr>
        <w:pStyle w:val="Heading3"/>
      </w:pPr>
      <w:r>
        <w:t>研究问题</w:t>
      </w:r>
    </w:p>
    <w:p>
      <w:r>
        <w:t>大语言模型能否相较既有统计和机器学习方法提高旅游需求预测准确性；其优势是否在不同国家、不同评估期和不同模型版本下稳健；提示设计如何影响LLM预测表现；数据污染是否能解释LLM的表现优势。</w:t>
      </w:r>
    </w:p>
    <w:p>
      <w:pPr>
        <w:pStyle w:val="Heading3"/>
      </w:pPr>
      <w:r>
        <w:t>研究方法</w:t>
      </w:r>
    </w:p>
    <w:p>
      <w:r>
        <w:t>研究类型：定量预测比较研究，采用系统性样本外比较。样本或参与者：八个欧洲客源市场的月度旅游到访数据；每国测试样本量摘要中存在不一致表述，一处为14–23个月度观测，另一处为12–24个月度观测。数据来源：Eurostat月度旅游到访数据。分析方法：以优化的SARIMA、ETS、Prophet、随机森林和季节朴素模型为基准；评估三类LLM家族的零样本预测；使用MASE等指标比较预测精度；在COVID前稳定期、超出LLM训练截止期的未来期和较旧LLM模型测试中开展稳健性检验；进行提示消融分析，比较国家身份与日期标签、季节提示和冲击提示等设计；使用Diebold–Mariano检验进行成对比较。摘要未说明LLM具体型号、提示文本细节及完整数据预处理流程。</w:t>
      </w:r>
    </w:p>
    <w:p>
      <w:pPr>
        <w:pStyle w:val="Heading3"/>
      </w:pPr>
      <w:r>
        <w:t>主要发现</w:t>
      </w:r>
    </w:p>
    <w:p>
      <w:r>
        <w:t>第一，主后COVID期LLM预测的平均MASE为0.67–0.85，优于ETS的1.56、SARIMA的2.67、Prophet的3.04和随机森林的4.32，并在不同国家间表现出一致优势。第二，LLM优势在COVID前稳定期仍然存在，LLM的MASE为0.85–0.90，而SARIMA为1.71、ETS为1.31，说明其收益并非仅来自结构断点情境。第三，稳健性检验显示较旧LLM模型和超出训练截止期的未来期预测仍支持该模式，数据污染不能解释结果；提示消融表明提供国家身份和日期标签最有益，季节与冲击提示无一致改善；Diebold–Mariano检验在32组成对比较中有31组方向支持LLM，但每国测试样本量有限，单国统计显著性受到限制。</w:t>
      </w:r>
    </w:p>
    <w:p>
      <w:pPr>
        <w:pStyle w:val="Heading3"/>
      </w:pPr>
      <w:r>
        <w:t>对教师教育研究的启示</w:t>
      </w:r>
    </w:p>
    <w:p>
      <w:r>
        <w:t>该论文主题为旅游需求预测，未涉及学前教育、基础教育、AI教学应用、教师数字素养/智能素养/数据素养、教师教育与教师培训中的AI整合、教育数字化背景下的教学变革或教师角色，因此无法从摘要提炼针对教师教育研究的实质启示；相关主题在摘要中未说明。若仅作方法学参考，其多模型样本外基准比较、跨时期稳健性检验、提示消融和Diebold–Mariano检验可用于思考如何评估LLM在教育预测或分析任务中的表现，但这不构成教师教育领域的研究结论。</w:t>
      </w:r>
    </w:p>
    <w:p>
      <w:pPr>
        <w:pStyle w:val="Heading3"/>
      </w:pPr>
      <w:r>
        <w:t>APA引用格式</w:t>
      </w:r>
    </w:p>
    <w:p>
      <w:r>
        <w:t>Egger, R. (2026). Tourism demand forecasting in the artificial intelligence era using large language models. Tourism Review. https://doi.org/10.1108/TR-02-2026-0223</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82.86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66437/qjerp.v2si.002" TargetMode="External"/><Relationship Id="rId10" Type="http://schemas.openxmlformats.org/officeDocument/2006/relationships/hyperlink" Target="https://doi.org/10.1007/s13158-026-00545-6" TargetMode="External"/><Relationship Id="rId11" Type="http://schemas.openxmlformats.org/officeDocument/2006/relationships/hyperlink" Target="https://doi.org/10.1177/01626434261498192" TargetMode="External"/><Relationship Id="rId12" Type="http://schemas.openxmlformats.org/officeDocument/2006/relationships/hyperlink" Target="https://doi.org/10.18848/2325-128x/cgp/a357" TargetMode="External"/><Relationship Id="rId13" Type="http://schemas.openxmlformats.org/officeDocument/2006/relationships/hyperlink" Target="https://doi.org/10.1108/tr-02-2026-02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