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每日SSCI文献简报｜2026-07-04</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2026-07-04 18:24:47（北京时间）</w:t>
            </w:r>
          </w:p>
        </w:tc>
      </w:tr>
      <w:tr>
        <w:tc>
          <w:tcPr>
            <w:tcW w:type="dxa" w:w="4997"/>
          </w:tcPr>
          <w:p>
            <w:r>
              <w:rPr>
                <w:b/>
              </w:rPr>
              <w:t>检索窗口</w:t>
            </w:r>
          </w:p>
        </w:tc>
        <w:tc>
          <w:tcPr>
            <w:tcW w:type="dxa" w:w="4997"/>
          </w:tcPr>
          <w:p>
            <w:r>
              <w:t>2023-07-05 — 2026-07-04</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技术赋能学习与教师教育，涵盖翻转课堂模式、AI与STEM整合，以及数字学习环境中的无干扰追踪（笔压、面部表情）。创新趋势体现为实时追踪学习体验和翻转模式在教师培训中的应用，贴近中国当前教育数字化转型与教师专业发展需求。</w:t>
      </w:r>
    </w:p>
    <w:p>
      <w:pPr>
        <w:pStyle w:val="Heading1"/>
      </w:pPr>
      <w:r>
        <w:t>目录</w:t>
      </w:r>
    </w:p>
    <w:p>
      <w:pPr>
        <w:pStyle w:val="ListNumber"/>
      </w:pPr>
      <w:r>
        <w:rPr>
          <w:b/>
        </w:rPr>
        <w:t>历史数据实验对五角大楼披萨指数现象中错觉模式感知的影响：地缘政治焦虑与控制欲的调节作用</w:t>
      </w:r>
      <w:r>
        <w:t>｜EduInovasi: Journal of Basic Educational Studies｜2026-07-04</w:t>
      </w:r>
    </w:p>
    <w:p>
      <w:pPr>
        <w:pStyle w:val="ListNumber"/>
      </w:pPr>
      <w:r>
        <w:rPr>
          <w:b/>
        </w:rPr>
        <w:t>比较教师教育研究：比较在教师教育中、关于教师教育和为了教师教育的价值</w:t>
      </w:r>
      <w:r>
        <w:t>｜European Education｜2026-07-04</w:t>
      </w:r>
    </w:p>
    <w:p>
      <w:pPr>
        <w:pStyle w:val="ListNumber"/>
      </w:pPr>
      <w:r>
        <w:rPr>
          <w:b/>
        </w:rPr>
        <w:t>翻转课堂模式与网络教学在培养合作学习态度和学习策略中的作用</w:t>
      </w:r>
      <w:r>
        <w:t>｜Frontiers in Psychology｜2026-06-30</w:t>
      </w:r>
    </w:p>
    <w:p>
      <w:pPr>
        <w:pStyle w:val="ListNumber"/>
      </w:pPr>
      <w:r>
        <w:rPr>
          <w:b/>
        </w:rPr>
        <w:t>向教师教授纳米技术：AI与STEM结合翻转学习</w:t>
      </w:r>
      <w:r>
        <w:t>｜Education and Information Technologies｜2026-07-03</w:t>
      </w:r>
    </w:p>
    <w:p>
      <w:pPr>
        <w:pStyle w:val="ListNumber"/>
      </w:pPr>
      <w:r>
        <w:rPr>
          <w:b/>
        </w:rPr>
        <w:t>数字学习环境中的学习经历追踪：来自小学生笔压和面部表情的洞察</w:t>
      </w:r>
      <w:r>
        <w:t>｜Metacognition and Learning｜2026-07-02</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Pengaruh Eksperimental Data Historis terhadap Persepsi Pola Ilusif pada Fenomena Pentagon Pizza Index: Peran Moderator Kecemasan Geopolitik dan Hasrat Kendali / 历史数据实验对五角大楼披萨指数现象中错觉模式感知的影响：地缘政治焦虑与控制欲的调节作用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Pengaruh Eksperimental Data Historis terhadap Persepsi Pola Ilusif pada Fenomena Pentagon Pizza Index: Peran Moderator Kecemasan Geopolitik dan Hasrat Kendali / 历史数据实验对五角大楼披萨指数现象中错觉模式感知的影响：地缘政治焦虑与控制欲的调节作用</w:t>
            </w:r>
          </w:p>
        </w:tc>
      </w:tr>
      <w:tr>
        <w:tc>
          <w:tcPr>
            <w:tcW w:type="dxa" w:w="4997"/>
          </w:tcPr>
          <w:p>
            <w:r>
              <w:rPr>
                <w:b/>
              </w:rPr>
              <w:t>作者</w:t>
            </w:r>
          </w:p>
        </w:tc>
        <w:tc>
          <w:tcPr>
            <w:tcW w:type="dxa" w:w="4997"/>
          </w:tcPr>
          <w:p>
            <w:r>
              <w:t>Michael Tandya</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6(2), 10.47467/edu.v6i2.12861</w:t>
            </w:r>
          </w:p>
        </w:tc>
      </w:tr>
      <w:tr>
        <w:tc>
          <w:tcPr>
            <w:tcW w:type="dxa" w:w="4997"/>
          </w:tcPr>
          <w:p>
            <w:r>
              <w:rPr>
                <w:b/>
              </w:rPr>
              <w:t>在线发表时间</w:t>
            </w:r>
          </w:p>
        </w:tc>
        <w:tc>
          <w:tcPr>
            <w:tcW w:type="dxa" w:w="4997"/>
          </w:tcPr>
          <w:p>
            <w:r>
              <w:t>2026-07-04</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9">
              <w:r>
                <w:rPr>
                  <w:color w:val="0563C1"/>
                  <w:u w:val="single"/>
                </w:rPr>
                <w:t>https://doi.org/10.47467/edu.v6i2.12861</w:t>
              </w:r>
            </w:hyperlink>
          </w:p>
        </w:tc>
      </w:tr>
    </w:tbl>
    <w:p>
      <w:pPr>
        <w:pStyle w:val="Heading3"/>
      </w:pPr>
      <w:r>
        <w:t>研究摘要</w:t>
      </w:r>
    </w:p>
    <w:p>
      <w:r>
        <w:t>数字技术的快速发展使得地缘政治信息的实时获取成为可能，加剧了个体的焦虑，并促使他们在一系列随机事件中寻找特定模式。本实验研究旨在考察数据叙事操纵对五角大楼披萨指数现象中错觉模式感知的影响，同时探究地缘政治焦虑和控制欲的调节作用。实验采用被试间后测设计，在受控环境中进行面对面实验。共124名参与者，分七天内完成实验，依据座位号分配到实验组或对照组。测量工具包括改编版的一般阴谋信念量表（GCBS）、战争恐惧量表（FORWARS）和控制欲量表。数据分析使用Andrew F. Hayes的PROCESS Macro v4.2模型2。回归分析显示，数据叙事操纵对个体错觉模式感知的影响不显著（b = −0.1672; p = 0.5328）；地缘政治焦虑（p = 0.6976）和控制欲（p = 0.2462）的调节作用均不显著。这些结果表明，现代社会通过开源情报（OSINT）文化日益能够过滤传播中的信息，导致五角大楼披萨指数现象仅被视为一种网络潮流。</w:t>
      </w:r>
    </w:p>
    <w:p>
      <w:pPr>
        <w:pStyle w:val="Heading3"/>
      </w:pPr>
      <w:r>
        <w:t>研究主要内容</w:t>
      </w:r>
    </w:p>
    <w:p>
      <w:r>
        <w:t>研究背景为数字技术导致地缘政治信息泛滥，个体倾向在随机事件中寻找模式。核心变量是数据叙事操纵（自变量）、错觉模式感知（因变量）、地缘政治焦虑与控制欲（调节变量）。采用实验法，被试间后测设计，124名参与者。测量工具为GCBS、FORWARS、控制欲量表。数据分析采用PROCESS Macro模型2进行回归分析。主要结果：操纵主效应不显著，调节效应也不显著。结论认为OSINT文化降低了错觉模式感知。</w:t>
      </w:r>
    </w:p>
    <w:p>
      <w:pPr>
        <w:pStyle w:val="Heading3"/>
      </w:pPr>
      <w:r>
        <w:t>研究论点</w:t>
      </w:r>
    </w:p>
    <w:p>
      <w:r>
        <w:t>研究论点认为，尽管数字技术可能加剧焦虑并促使个体寻找错觉模式，但实验证据表明数据叙事操纵并不能显著改变个体对随机事件中错觉模式的感知，且地缘政治焦虑和控制欲也未起调节作用。现代社会的开放情报文化可能增强了公众的信息甄别能力。</w:t>
      </w:r>
    </w:p>
    <w:p>
      <w:pPr>
        <w:pStyle w:val="Heading3"/>
      </w:pPr>
      <w:r>
        <w:t>研究问题</w:t>
      </w:r>
    </w:p>
    <w:p>
      <w:r>
        <w:t>数据叙事操纵如何影响个体对五角大楼披萨指数现象中错觉模式的感知？地缘政治焦虑和控制欲是否调节这一关系？</w:t>
      </w:r>
    </w:p>
    <w:p>
      <w:pPr>
        <w:pStyle w:val="Heading3"/>
      </w:pPr>
      <w:r>
        <w:t>研究方法</w:t>
      </w:r>
    </w:p>
    <w:p>
      <w:r>
        <w:t>研究类型：定量实验（被试间后测设计）；样本或参与者：124名参与者，按座位号分为实验组和对照组；数据来源：实验操纵、量表测量（GCBS、FORWARS、控制欲量表）；分析方法：Andrew F. Hayes的PROCESS Macro v4.2模型2进行回归分析。摘要未说明参与者的人口学特征、招募方式及随机分配细节。</w:t>
      </w:r>
    </w:p>
    <w:p>
      <w:pPr>
        <w:pStyle w:val="Heading3"/>
      </w:pPr>
      <w:r>
        <w:t>主要发现</w:t>
      </w:r>
    </w:p>
    <w:p>
      <w:r>
        <w:t>['数据叙事操纵对个体错觉模式感知的影响不显著（b = −0.1672; p = 0.5328）。', '地缘政治焦虑（p = 0.6976）和控制欲（p = 0.2462）均未显著调节数据叙事操纵与错觉模式感知之间的关系。', '研究认为，开源情报（OSINT）文化可能使公众更有效过滤信息，导致五角大楼披萨指数现象被视为网络潮流而非阴谋证据。']</w:t>
      </w:r>
    </w:p>
    <w:p>
      <w:pPr>
        <w:pStyle w:val="Heading3"/>
      </w:pPr>
      <w:r>
        <w:t>对教师教育研究的启示</w:t>
      </w:r>
    </w:p>
    <w:p>
      <w:r>
        <w:t>摘要未直接涉及教师教育。但该研究的设计（随机实验、基于量表的测量、调节效应分析通过PROCESS Macro实现）可为教育领域中探究教师数字素养、技术感知或信息甄别能力的影响因素及其调节机制提供方法学参考。未来研究可借鉴其双调节模型考察教师焦虑、控制感等变量在技术整合培训中的作用。</w:t>
      </w:r>
    </w:p>
    <w:p>
      <w:pPr>
        <w:pStyle w:val="Heading3"/>
      </w:pPr>
      <w:r>
        <w:t>APA引用格式</w:t>
      </w:r>
    </w:p>
    <w:p>
      <w:r>
        <w:t>Tandya, M. (2026). Pengaruh Eksperimental Data Historis terhadap Persepsi Pola Ilusif pada Fenomena Pentagon Pizza Index: Peran Moderator Kecemasan Geopolitik dan Hasrat Kendali. EduInovasi: Journal of Basic Educational Studies, 6(2). https://doi.org/10.47467/edu.v6i2.12861</w:t>
      </w:r>
    </w:p>
    <w:p>
      <w:r>
        <w:br w:type="page"/>
      </w:r>
    </w:p>
    <w:p>
      <w:pPr>
        <w:pStyle w:val="Heading2"/>
      </w:pPr>
      <w:r>
        <w:t>2. Comparative Teacher Education Research: The Value of Comparison in, on and for Teacher Education / 比较教师教育研究：比较在教师教育中、关于教师教育和为了教师教育的价值</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Comparative Teacher Education Research: The Value of Comparison in, on and for Teacher Education / 比较教师教育研究：比较在教师教育中、关于教师教育和为了教师教育的价值</w:t>
            </w:r>
          </w:p>
        </w:tc>
      </w:tr>
      <w:tr>
        <w:tc>
          <w:tcPr>
            <w:tcW w:type="dxa" w:w="4997"/>
          </w:tcPr>
          <w:p>
            <w:r>
              <w:rPr>
                <w:b/>
              </w:rPr>
              <w:t>作者</w:t>
            </w:r>
          </w:p>
        </w:tc>
        <w:tc>
          <w:tcPr>
            <w:tcW w:type="dxa" w:w="4997"/>
          </w:tcPr>
          <w:p>
            <w:r>
              <w:t>Vasileios Symeonidis, Hans-Georg Kotthoff</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10.1080/10564934.2026.2685159 （卷期信息未提供）</w:t>
            </w:r>
          </w:p>
        </w:tc>
      </w:tr>
      <w:tr>
        <w:tc>
          <w:tcPr>
            <w:tcW w:type="dxa" w:w="4997"/>
          </w:tcPr>
          <w:p>
            <w:r>
              <w:rPr>
                <w:b/>
              </w:rPr>
              <w:t>在线发表时间</w:t>
            </w:r>
          </w:p>
        </w:tc>
        <w:tc>
          <w:tcPr>
            <w:tcW w:type="dxa" w:w="4997"/>
          </w:tcPr>
          <w:p>
            <w:r>
              <w:t>2026-07-04</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10">
              <w:r>
                <w:rPr>
                  <w:color w:val="0563C1"/>
                  <w:u w:val="single"/>
                </w:rPr>
                <w:t>https://doi.org/10.1080/10564934.2026.2685159</w:t>
              </w:r>
            </w:hyperlink>
          </w:p>
        </w:tc>
      </w:tr>
    </w:tbl>
    <w:p>
      <w:pPr>
        <w:pStyle w:val="Heading3"/>
      </w:pPr>
      <w:r>
        <w:t>研究摘要</w:t>
      </w:r>
    </w:p>
    <w:p>
      <w:r>
        <w:t>摘要未提供</w:t>
      </w:r>
    </w:p>
    <w:p>
      <w:pPr>
        <w:pStyle w:val="Heading3"/>
      </w:pPr>
      <w:r>
        <w:t>研究主要内容</w:t>
      </w:r>
    </w:p>
    <w:p>
      <w:r>
        <w:t>由于摘要未提供，无法总结主要内容。</w:t>
      </w:r>
    </w:p>
    <w:p>
      <w:pPr>
        <w:pStyle w:val="Heading3"/>
      </w:pPr>
      <w:r>
        <w:t>研究论点</w:t>
      </w:r>
    </w:p>
    <w:p>
      <w:r>
        <w:t>无法判断</w:t>
      </w:r>
    </w:p>
    <w:p>
      <w:pPr>
        <w:pStyle w:val="Heading3"/>
      </w:pPr>
      <w:r>
        <w:t>研究问题</w:t>
      </w:r>
    </w:p>
    <w:p>
      <w:r>
        <w:t>未说明</w:t>
      </w:r>
    </w:p>
    <w:p>
      <w:pPr>
        <w:pStyle w:val="Heading3"/>
      </w:pPr>
      <w:r>
        <w:t>研究方法</w:t>
      </w:r>
    </w:p>
    <w:p>
      <w:r>
        <w:t>未说明（缺少研究类型、样本、数据来源、分析方法等信息）</w:t>
      </w:r>
    </w:p>
    <w:p>
      <w:pPr>
        <w:pStyle w:val="Heading3"/>
      </w:pPr>
      <w:r>
        <w:t>主要发现</w:t>
      </w:r>
    </w:p>
    <w:p>
      <w:r>
        <w:t>未说明</w:t>
      </w:r>
    </w:p>
    <w:p>
      <w:pPr>
        <w:pStyle w:val="Heading3"/>
      </w:pPr>
      <w:r>
        <w:t>对教师教育研究的启示</w:t>
      </w:r>
    </w:p>
    <w:p>
      <w:r>
        <w:t>未说明</w:t>
      </w:r>
    </w:p>
    <w:p>
      <w:pPr>
        <w:pStyle w:val="Heading3"/>
      </w:pPr>
      <w:r>
        <w:t>APA引用格式</w:t>
      </w:r>
    </w:p>
    <w:p>
      <w:r>
        <w:t>Symeonidis, V., &amp; Kotthoff, H.-G. (2026). Comparative Teacher Education Research: The Value of Comparison in, on and for Teacher Education. European Education. https://doi.org/10.1080/10564934.2026.2685159</w:t>
      </w:r>
    </w:p>
    <w:p>
      <w:r>
        <w:br w:type="page"/>
      </w:r>
    </w:p>
    <w:p>
      <w:pPr>
        <w:pStyle w:val="Heading2"/>
      </w:pPr>
      <w:r>
        <w:t>3. The role of flipped classroom models and web-based instruction in developing collaborative learning attitudes and learning strategies / 翻转课堂模式与网络教学在培养合作学习态度和学习策略中的作用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role of flipped classroom models and web-based instruction in developing collaborative learning attitudes and learning strategies / 翻转课堂模式与网络教学在培养合作学习态度和学习策略中的作用</w:t>
            </w:r>
          </w:p>
        </w:tc>
      </w:tr>
      <w:tr>
        <w:tc>
          <w:tcPr>
            <w:tcW w:type="dxa" w:w="4997"/>
          </w:tcPr>
          <w:p>
            <w:r>
              <w:rPr>
                <w:b/>
              </w:rPr>
              <w:t>作者</w:t>
            </w:r>
          </w:p>
        </w:tc>
        <w:tc>
          <w:tcPr>
            <w:tcW w:type="dxa" w:w="4997"/>
          </w:tcPr>
          <w:p>
            <w:r>
              <w:t>Gizem Tabaru Örnek, Nihal Yıldız, Mustafa Erol</w:t>
            </w:r>
          </w:p>
        </w:tc>
      </w:tr>
      <w:tr>
        <w:tc>
          <w:tcPr>
            <w:tcW w:type="dxa" w:w="4997"/>
          </w:tcPr>
          <w:p>
            <w:r>
              <w:rPr>
                <w:b/>
              </w:rPr>
              <w:t>期刊及影响因子</w:t>
            </w:r>
          </w:p>
        </w:tc>
        <w:tc>
          <w:tcPr>
            <w:tcW w:type="dxa" w:w="4997"/>
          </w:tcPr>
          <w:p>
            <w:r>
              <w:t>未说明</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1664-1078</w:t>
            </w:r>
          </w:p>
        </w:tc>
      </w:tr>
      <w:tr>
        <w:tc>
          <w:tcPr>
            <w:tcW w:type="dxa" w:w="4997"/>
          </w:tcPr>
          <w:p>
            <w:r>
              <w:rPr>
                <w:b/>
              </w:rPr>
              <w:t>卷期/DOI</w:t>
            </w:r>
          </w:p>
        </w:tc>
        <w:tc>
          <w:tcPr>
            <w:tcW w:type="dxa" w:w="4997"/>
          </w:tcPr>
          <w:p>
            <w:r>
              <w:t>DOI: https://doi.org/10.3389/fpsyg.2026.1792842</w:t>
            </w:r>
          </w:p>
        </w:tc>
      </w:tr>
      <w:tr>
        <w:tc>
          <w:tcPr>
            <w:tcW w:type="dxa" w:w="4997"/>
          </w:tcPr>
          <w:p>
            <w:r>
              <w:rPr>
                <w:b/>
              </w:rPr>
              <w:t>在线发表时间</w:t>
            </w:r>
          </w:p>
        </w:tc>
        <w:tc>
          <w:tcPr>
            <w:tcW w:type="dxa" w:w="4997"/>
          </w:tcPr>
          <w:p>
            <w:r>
              <w:t>2026-06-30</w:t>
            </w:r>
          </w:p>
        </w:tc>
      </w:tr>
      <w:tr>
        <w:tc>
          <w:tcPr>
            <w:tcW w:type="dxa" w:w="4997"/>
          </w:tcPr>
          <w:p>
            <w:r>
              <w:rPr>
                <w:b/>
              </w:rPr>
              <w:t>SSCI分类</w:t>
            </w:r>
          </w:p>
        </w:tc>
        <w:tc>
          <w:tcPr>
            <w:tcW w:type="dxa" w:w="4997"/>
          </w:tcPr>
          <w:p>
            <w:r>
              <w:t>English；Multidisciplinary；Psychology</w:t>
            </w:r>
          </w:p>
        </w:tc>
      </w:tr>
      <w:tr>
        <w:tc>
          <w:tcPr>
            <w:tcW w:type="dxa" w:w="4997"/>
          </w:tcPr>
          <w:p>
            <w:r>
              <w:rPr>
                <w:b/>
              </w:rPr>
              <w:t>论文链接</w:t>
            </w:r>
          </w:p>
        </w:tc>
        <w:tc>
          <w:tcPr>
            <w:tcW w:type="dxa" w:w="4997"/>
          </w:tcPr>
          <w:p>
            <w:hyperlink r:id="rId11">
              <w:r>
                <w:rPr>
                  <w:color w:val="0563C1"/>
                  <w:u w:val="single"/>
                </w:rPr>
                <w:t>https://doi.org/10.3389/fpsyg.2026.1792842</w:t>
              </w:r>
            </w:hyperlink>
          </w:p>
        </w:tc>
      </w:tr>
    </w:tbl>
    <w:p>
      <w:pPr>
        <w:pStyle w:val="Heading3"/>
      </w:pPr>
      <w:r>
        <w:t>研究摘要</w:t>
      </w:r>
    </w:p>
    <w:p>
      <w:r>
        <w:t>本研究旨在比较和分析翻转课堂模式与网络教学对职前小学教师在生命科学教学课程中合作学习态度和学习策略的影响。研究采用准实验前测-后测对照组设计，共74名三年级职前小学教师参与。实验持续6周，共18课时。通过比较实验组和对照组在合作学习态度和学习策略方面的数据进行分析。结果表明，基于翻转课堂模式的教学在改善职前小学教师合作学习态度方面比网络教学更有效。此外，翻转课堂模式和网络教学在培养学生学习策略方面均显著优于对照组使用的传统教学方法。讨论认为，技术支持的教学方法，特别是翻转课堂模式，可以在教师教育中积极促进合作学习态度和学习策略。这些发现强调了将创新和以学生为中心的教学模式整合到教师培训项目中的重要性。</w:t>
      </w:r>
    </w:p>
    <w:p>
      <w:pPr>
        <w:pStyle w:val="Heading3"/>
      </w:pPr>
      <w:r>
        <w:t>研究主要内容</w:t>
      </w:r>
    </w:p>
    <w:p>
      <w:r>
        <w:t>本研究比较了翻转课堂模式与网络教学对职前小学教师合作学习态度和学习策略的影响。</w:t>
      </w:r>
    </w:p>
    <w:p>
      <w:pPr>
        <w:pStyle w:val="Heading3"/>
      </w:pPr>
      <w:r>
        <w:t>研究论点</w:t>
      </w:r>
    </w:p>
    <w:p>
      <w:r>
        <w:t>翻转课堂模式比网络教学更有效地提升职前小学教师的合作学习态度；两种技术型教学方法（翻转课堂和网络教学）均比传统教学更有效地改善学习策略。</w:t>
      </w:r>
    </w:p>
    <w:p>
      <w:pPr>
        <w:pStyle w:val="Heading3"/>
      </w:pPr>
      <w:r>
        <w:t>研究问题</w:t>
      </w:r>
    </w:p>
    <w:p>
      <w:r>
        <w:t>翻转课堂模式和网络教学对职前小学教师的合作学习态度和学习策略有何不同影响？</w:t>
      </w:r>
    </w:p>
    <w:p>
      <w:pPr>
        <w:pStyle w:val="Heading3"/>
      </w:pPr>
      <w:r>
        <w:t>研究方法</w:t>
      </w:r>
    </w:p>
    <w:p>
      <w:r>
        <w:t>{'研究类型': '定量研究（准实验设计）', '样本或参与者': '74名三年级职前小学教师（土耳其某大学）', '数据来源': '合作学习态度量表、学习策略量表（前测和后测）', '分析方法': '比较实验组和对照组的组间差异（具体统计方法摘要未说明，仅提及“比较分析”）'}</w:t>
      </w:r>
    </w:p>
    <w:p>
      <w:pPr>
        <w:pStyle w:val="Heading3"/>
      </w:pPr>
      <w:r>
        <w:t>主要发现</w:t>
      </w:r>
    </w:p>
    <w:p>
      <w:r>
        <w:t>['基于翻转课堂模式的教学比网络教学更有效地改善了职前小学教师的合作学习态度。', '翻转课堂模式和网络教学均显著优于传统教学方法，在提高学生学习策略方面效果更好。', '技术支持的教学方法（特别是翻转课堂）在教师教育中能积极促进合作学习态度和学习策略的发展。']</w:t>
      </w:r>
    </w:p>
    <w:p>
      <w:pPr>
        <w:pStyle w:val="Heading3"/>
      </w:pPr>
      <w:r>
        <w:t>对教师教育研究的启示</w:t>
      </w:r>
    </w:p>
    <w:p>
      <w:r>
        <w:t>本研究展示了在教师培训项目中整合技术支持教学（尤其是翻转课堂）的实证价值。启示研究者可借鉴其准实验设计（前测-后测对照组设计）和量表工具来评估不同教学干预对职前教师学习态度及策略的影响。未来研究可进一步探究翻转课堂在不同学科（如数学、心理学）中的实施效果，或延长干预周期观察长期效应。</w:t>
      </w:r>
    </w:p>
    <w:p>
      <w:pPr>
        <w:pStyle w:val="Heading3"/>
      </w:pPr>
      <w:r>
        <w:t>APA引用格式</w:t>
      </w:r>
    </w:p>
    <w:p>
      <w:r>
        <w:t>Tabaru Örnek, G., Yıldız, N., &amp; Erol, M. (2026). The role of flipped classroom models and web-based instruction in developing collaborative learning attitudes and learning strategies. Frontiers in Psychology. https://doi.org/10.3389/fpsyg.2026.1792842</w:t>
      </w:r>
    </w:p>
    <w:p>
      <w:r>
        <w:br w:type="page"/>
      </w:r>
    </w:p>
    <w:p>
      <w:pPr>
        <w:pStyle w:val="Heading2"/>
      </w:pPr>
      <w:r>
        <w:t>4. Teaching nanotechnology to teachers: Al and STEM integrated with flipped learning / 向教师教授纳米技术：AI与STEM结合翻转学习</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Teaching nanotechnology to teachers: Al and STEM integrated with flipped learning / 向教师教授纳米技术：AI与STEM结合翻转学习</w:t>
            </w:r>
          </w:p>
        </w:tc>
      </w:tr>
      <w:tr>
        <w:tc>
          <w:tcPr>
            <w:tcW w:type="dxa" w:w="4997"/>
          </w:tcPr>
          <w:p>
            <w:r>
              <w:rPr>
                <w:b/>
              </w:rPr>
              <w:t>作者</w:t>
            </w:r>
          </w:p>
        </w:tc>
        <w:tc>
          <w:tcPr>
            <w:tcW w:type="dxa" w:w="4997"/>
          </w:tcPr>
          <w:p>
            <w:r>
              <w:t>Esin Kaya, Ayça Kartal, Serhan Sarıoğlu, Bekir Yıldırım</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DOI: https://doi.org/10.1007/s10639-026-14070-5</w:t>
            </w:r>
          </w:p>
        </w:tc>
      </w:tr>
      <w:tr>
        <w:tc>
          <w:tcPr>
            <w:tcW w:type="dxa" w:w="4997"/>
          </w:tcPr>
          <w:p>
            <w:r>
              <w:rPr>
                <w:b/>
              </w:rPr>
              <w:t>在线发表时间</w:t>
            </w:r>
          </w:p>
        </w:tc>
        <w:tc>
          <w:tcPr>
            <w:tcW w:type="dxa" w:w="4997"/>
          </w:tcPr>
          <w:p>
            <w:r>
              <w:t>2026-07-03</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2">
              <w:r>
                <w:rPr>
                  <w:color w:val="0563C1"/>
                  <w:u w:val="single"/>
                </w:rPr>
                <w:t>https://doi.org/10.1007/s10639-026-14070-5</w:t>
              </w:r>
            </w:hyperlink>
          </w:p>
        </w:tc>
      </w:tr>
    </w:tbl>
    <w:p>
      <w:pPr>
        <w:pStyle w:val="Heading3"/>
      </w:pPr>
      <w:r>
        <w:t>研究摘要</w:t>
      </w:r>
    </w:p>
    <w:p>
      <w:r>
        <w:t>摘要未说明</w:t>
      </w:r>
    </w:p>
    <w:p>
      <w:pPr>
        <w:pStyle w:val="Heading3"/>
      </w:pPr>
      <w:r>
        <w:t>研究主要内容</w:t>
      </w:r>
    </w:p>
    <w:p>
      <w:r>
        <w:t>摘要未说明</w:t>
      </w:r>
    </w:p>
    <w:p>
      <w:pPr>
        <w:pStyle w:val="Heading3"/>
      </w:pPr>
      <w:r>
        <w:t>研究论点</w:t>
      </w:r>
    </w:p>
    <w:p>
      <w:r>
        <w:t>摘要未说明</w:t>
      </w:r>
    </w:p>
    <w:p>
      <w:pPr>
        <w:pStyle w:val="Heading3"/>
      </w:pPr>
      <w:r>
        <w:t>研究问题</w:t>
      </w:r>
    </w:p>
    <w:p>
      <w:r>
        <w:t>摘要未说明</w:t>
      </w:r>
    </w:p>
    <w:p>
      <w:pPr>
        <w:pStyle w:val="Heading3"/>
      </w:pPr>
      <w:r>
        <w:t>研究方法</w:t>
      </w:r>
    </w:p>
    <w:p>
      <w:r>
        <w:t>摘要未说明</w:t>
      </w:r>
    </w:p>
    <w:p>
      <w:pPr>
        <w:pStyle w:val="Heading3"/>
      </w:pPr>
      <w:r>
        <w:t>主要发现</w:t>
      </w:r>
    </w:p>
    <w:p>
      <w:r>
        <w:t>摘要未说明</w:t>
      </w:r>
    </w:p>
    <w:p>
      <w:pPr>
        <w:pStyle w:val="Heading3"/>
      </w:pPr>
      <w:r>
        <w:t>对教师教育研究的启示</w:t>
      </w:r>
    </w:p>
    <w:p>
      <w:r>
        <w:t>摘要未说明</w:t>
      </w:r>
    </w:p>
    <w:p>
      <w:pPr>
        <w:pStyle w:val="Heading3"/>
      </w:pPr>
      <w:r>
        <w:t>APA引用格式</w:t>
      </w:r>
    </w:p>
    <w:p>
      <w:r>
        <w:t>Kaya, E., Kartal, A., Sarıoğlu, S., &amp; Yıldırım, B. (2026). Teaching nanotechnology to teachers: Al and STEM integrated with flipped learning. Education and Information Technologies. https://doi.org/10.1007/s10639-026-14070-5</w:t>
      </w:r>
    </w:p>
    <w:p>
      <w:r>
        <w:br w:type="page"/>
      </w:r>
    </w:p>
    <w:p>
      <w:pPr>
        <w:pStyle w:val="Heading2"/>
      </w:pPr>
      <w:r>
        <w:t>5. Tracing the learning experience in a digital learning environment: Insights from pen pressure and facial expressions in primary school children / 数字学习环境中的学习经历追踪：来自小学生笔压和面部表情的洞察</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Tracing the learning experience in a digital learning environment: Insights from pen pressure and facial expressions in primary school children / 数字学习环境中的学习经历追踪：来自小学生笔压和面部表情的洞察</w:t>
            </w:r>
          </w:p>
        </w:tc>
      </w:tr>
      <w:tr>
        <w:tc>
          <w:tcPr>
            <w:tcW w:type="dxa" w:w="4997"/>
          </w:tcPr>
          <w:p>
            <w:r>
              <w:rPr>
                <w:b/>
              </w:rPr>
              <w:t>作者</w:t>
            </w:r>
          </w:p>
        </w:tc>
        <w:tc>
          <w:tcPr>
            <w:tcW w:type="dxa" w:w="4997"/>
          </w:tcPr>
          <w:p>
            <w:r>
              <w:t>Donna Bryce, Jana Spear, Cara-Sophie Enste, Robert Grassinger, Markus Dresel</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https://doi.org/10.1007/s11409-026-09482-0</w:t>
            </w:r>
          </w:p>
        </w:tc>
      </w:tr>
      <w:tr>
        <w:tc>
          <w:tcPr>
            <w:tcW w:type="dxa" w:w="4997"/>
          </w:tcPr>
          <w:p>
            <w:r>
              <w:rPr>
                <w:b/>
              </w:rPr>
              <w:t>在线发表时间</w:t>
            </w:r>
          </w:p>
        </w:tc>
        <w:tc>
          <w:tcPr>
            <w:tcW w:type="dxa" w:w="4997"/>
          </w:tcPr>
          <w:p>
            <w:r>
              <w:t>2026-07-02</w:t>
            </w:r>
          </w:p>
        </w:tc>
      </w:tr>
      <w:tr>
        <w:tc>
          <w:tcPr>
            <w:tcW w:type="dxa" w:w="4997"/>
          </w:tcPr>
          <w:p>
            <w:r>
              <w:rPr>
                <w:b/>
              </w:rPr>
              <w:t>SSCI分类</w:t>
            </w:r>
          </w:p>
        </w:tc>
        <w:tc>
          <w:tcPr>
            <w:tcW w:type="dxa" w:w="4997"/>
          </w:tcPr>
          <w:p>
            <w:r>
              <w:t>Education &amp; Educational Research；Educational；English；Psychology</w:t>
            </w:r>
          </w:p>
        </w:tc>
      </w:tr>
      <w:tr>
        <w:tc>
          <w:tcPr>
            <w:tcW w:type="dxa" w:w="4997"/>
          </w:tcPr>
          <w:p>
            <w:r>
              <w:rPr>
                <w:b/>
              </w:rPr>
              <w:t>论文链接</w:t>
            </w:r>
          </w:p>
        </w:tc>
        <w:tc>
          <w:tcPr>
            <w:tcW w:type="dxa" w:w="4997"/>
          </w:tcPr>
          <w:p>
            <w:hyperlink r:id="rId13">
              <w:r>
                <w:rPr>
                  <w:color w:val="0563C1"/>
                  <w:u w:val="single"/>
                </w:rPr>
                <w:t>https://doi.org/10.1007/s11409-026-09482-0</w:t>
              </w:r>
            </w:hyperlink>
          </w:p>
        </w:tc>
      </w:tr>
    </w:tbl>
    <w:p>
      <w:pPr>
        <w:pStyle w:val="Heading3"/>
      </w:pPr>
      <w:r>
        <w:t>研究摘要</w:t>
      </w:r>
    </w:p>
    <w:p>
      <w:r>
        <w:t>Abstract Learning independently involves not only cognitive but also emotional, motivational, and metacognitive challenges, particularly for children still developing their self-regulated learning skills. Consequently, children’s learning experiences can fluctuate rapidly within one learning activity, and assessing these experiences without disrupting learning remains an important research aim. In the present study, the feasibility of unobtrusively collecting two forms of trace data—pen pressure and facial expressions—from young learners in authentic classroom contexts was investigated, and the validity of the resulting indicators was tested. Data was analysed from two classroom studies with over 580 third- and fourth-grade children in Germany, who learned mathematics content in a tablet-based digital learning environment using digital pens and integrated webcams. Pen pressure was recorded in three phases of the learning task, facial expressions following feedback were coded for valence, and linear mixed-effects models tested how these indicators varied with item accuracy and difficulty. Mean and variance in pen pressure increased with item difficulty and after positive feedback, suggesting pen pressure indicators reflect both cognitive load and arousal. More varied pen pressure on difficult items that were answered incorrectly may reflect the metacognitive experience of uncertainty. Children’s facial expressions were rated more positively after positive feedback than error feedback and when they self-reported higher valence, while nuanced effects of item difficulty pointed to attributional processes shaping children’s emotional reactions. Overall, the findings demonstrate that pen pressure and facial expressions can be collected unobtrusively in real classroom contexts and provide valuable insights into young learners’ experiences.</w:t>
      </w:r>
    </w:p>
    <w:p>
      <w:pPr>
        <w:pStyle w:val="Heading3"/>
      </w:pPr>
      <w:r>
        <w:t>研究主要内容</w:t>
      </w:r>
    </w:p>
    <w:p>
      <w:r>
        <w:t>本研究探讨了在真实课堂情境中，从年轻学习者那里无干扰地收集两种痕迹数据（笔压和面部表情）的可行性，并检验了所得指标的有效性。数据来自德国两个课堂研究，涉及580多名三、四年级儿童，他们在平板数字学习环境中使用数字笔和集成网络摄像头学习数学内容。笔压在任务三个阶段被记录，反馈后的面部表情被编码为效价，线性混合效应模型检验了这些指标如何随项目准确性和难度变化。结果显示，笔压的平均值和方差随项目难度和积极反馈增加，表明笔压指标既反映认知负荷又反映唤醒；在回答错误的难题上，笔压变化更大，可能反映了不确定性的元认知体验。儿童面部表情在积极反馈后比错误反馈后更积极，且与自我报告的效价一致，项目难度的细微效应指向归因过程塑造情绪反应。总体而言，研究发现表明，笔压和面部表情可以在真实课堂中无干扰地收集，并为年轻学习者的学习经历提供有价值的洞察。</w:t>
      </w:r>
    </w:p>
    <w:p>
      <w:pPr>
        <w:pStyle w:val="Heading3"/>
      </w:pPr>
      <w:r>
        <w:t>研究论点</w:t>
      </w:r>
    </w:p>
    <w:p>
      <w:r>
        <w:t>学习独立不仅涉及认知挑战，还涉及情绪、动机和元认知挑战，尤其对于仍在发展自我调节学习技能的儿童。因此，儿童的学习经历在一次学习活动中可能快速波动，而如何在不中断学习的情况下评估这些经历仍是一个重要的研究目标。本研究的核心论证是，通过无干扰地收集笔压和面部表情等痕迹数据，可以实时捕捉儿童学习体验的动态变化，从而为理解认知负荷、元认知体验和情绪反应提供有效指标。</w:t>
      </w:r>
    </w:p>
    <w:p>
      <w:pPr>
        <w:pStyle w:val="Heading3"/>
      </w:pPr>
      <w:r>
        <w:t>研究问题</w:t>
      </w:r>
    </w:p>
    <w:p>
      <w:r>
        <w:t>（1）在真实课堂情境中，从小学学习者那里无干扰地收集笔压和面部表情数据的可行性如何？（2）这些指标是否有效反映了学习体验（如认知负荷、元认知体验、情绪反应）？</w:t>
      </w:r>
    </w:p>
    <w:p>
      <w:pPr>
        <w:pStyle w:val="Heading3"/>
      </w:pPr>
      <w:r>
        <w:t>研究方法</w:t>
      </w:r>
    </w:p>
    <w:p>
      <w:r>
        <w:t>研究类型：定量研究（两个课堂研究）。样本/参与者：德国580多名三、四年级儿童。数据来源：（1）数字笔记录的笔压（在任务的三个阶段）；（2）集成网络摄像头录制的面部表情（反馈后编码效价）；（3）儿童自我报告的效价（作为参考）。分析方法：线性混合效应模型（linear mixed-effects models），检验笔压和面部表情指标如何随项目准确性、难度及反馈类型变化。</w:t>
      </w:r>
    </w:p>
    <w:p>
      <w:pPr>
        <w:pStyle w:val="Heading3"/>
      </w:pPr>
      <w:r>
        <w:t>主要发现</w:t>
      </w:r>
    </w:p>
    <w:p>
      <w:r>
        <w:t>（1）笔压的平均值和方差均随题目难度增加而增加，且在积极反馈后笔压增加，表明笔压指标既反映认知负荷也反映唤醒水平。（2）在回答错误的难题上，笔压变化更大，可能反映了不确定性的元认知体验。（3）儿童面部表情在积极反馈后比错误反馈后更积极，且与自我报告的效价相吻合；题目难度的细微效应提示归因过程（如将成功或失败归因于自身能力或任务难度）塑造了儿童的情绪反应。</w:t>
      </w:r>
    </w:p>
    <w:p>
      <w:pPr>
        <w:pStyle w:val="Heading3"/>
      </w:pPr>
      <w:r>
        <w:t>对教师教育研究的启示</w:t>
      </w:r>
    </w:p>
    <w:p>
      <w:r>
        <w:t>（1）展示了在数字学习环境（平板、数字笔、摄像头）中无干扰收集痕迹数据（笔压、面部表情）的可行性和有效性，为教师教育研究者提供了一种新的数据收集方法，可用于监测学生实时学习体验，而无需干扰学习过程。（2）启发研究者设计类似的多模态痕迹追踪研究（结合动作、生理、表情等），以更全面地理解学生在认知、元认知和情感层面的动态变化，为形成性评估和动态评估提供实证基础。（3）对教师培训而言，此类数据可帮助教师洞察学生在不同难度任务中的认知负荷和元认知不确定性，从而调整教学策略（如适时提供反馈或调整任务难度），促进自我调节学习能力的发展。</w:t>
      </w:r>
    </w:p>
    <w:p>
      <w:pPr>
        <w:pStyle w:val="Heading3"/>
      </w:pPr>
      <w:r>
        <w:t>APA引用格式</w:t>
      </w:r>
    </w:p>
    <w:p>
      <w:r>
        <w:t>Bryce, D., Spear, J., Enste, C.-S., Grassinger, R., &amp; Dresel, M. (2026). Tracing the learning experience in a digital learning environment: Insights from pen pressure and facial expressions in primary school children. Metacognition and Learning. https://doi.org/10.1007/s11409-026-09482-0</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61.33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47467/edu.v6i2.12861" TargetMode="External"/><Relationship Id="rId10" Type="http://schemas.openxmlformats.org/officeDocument/2006/relationships/hyperlink" Target="https://doi.org/10.1080/10564934.2026.2685159" TargetMode="External"/><Relationship Id="rId11" Type="http://schemas.openxmlformats.org/officeDocument/2006/relationships/hyperlink" Target="https://doi.org/10.3389/fpsyg.2026.1792842" TargetMode="External"/><Relationship Id="rId12" Type="http://schemas.openxmlformats.org/officeDocument/2006/relationships/hyperlink" Target="https://doi.org/10.1007/s10639-026-14070-5" TargetMode="External"/><Relationship Id="rId13" Type="http://schemas.openxmlformats.org/officeDocument/2006/relationships/hyperlink" Target="https://doi.org/10.1007/s11409-026-0948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