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5496"/>
          <w:sz w:val="44"/>
        </w:rPr>
        <w:t>每日SSCI文献简报｜2026-07-07</w:t>
      </w:r>
    </w:p>
    <w:p>
      <w:pPr>
        <w:jc w:val="center"/>
      </w:pPr>
      <w:r>
        <w:rPr>
          <w:color w:val="596882"/>
          <w:sz w:val="22"/>
        </w:rPr>
        <w:t>学前与基础教育 · AI教学应用 · 教师数字/智能/数据素养 · 教师教育</w:t>
      </w:r>
    </w:p>
    <w:p>
      <w:pPr>
        <w:ind w:left="230" w:right="230"/>
      </w:pPr>
      <w:r>
        <w:rPr>
          <w:i/>
          <w:color w:val="596882"/>
        </w:rPr>
        <w:t>本期采用混合推荐策略：2篇近三年内最新候选文献 + 3篇近三年内AI教学相关度最高文献；已排除历史重复推荐。</w:t>
      </w:r>
    </w:p>
    <w:tbl>
      <w:tblPr>
        <w:tblStyle w:val="LightShading-Accent1"/>
        <w:tblW w:type="auto" w:w="0"/>
        <w:tblLook w:firstColumn="1" w:firstRow="1" w:lastColumn="0" w:lastRow="0" w:noHBand="0" w:noVBand="1" w:val="04A0"/>
      </w:tblPr>
      <w:tblGrid>
        <w:gridCol w:w="4997"/>
        <w:gridCol w:w="4997"/>
      </w:tblGrid>
      <w:tr>
        <w:tc>
          <w:tcPr>
            <w:tcW w:type="dxa" w:w="4997"/>
          </w:tcPr>
          <w:p>
            <w:r>
              <w:rPr>
                <w:b/>
              </w:rPr>
              <w:t>生成时间</w:t>
            </w:r>
          </w:p>
        </w:tc>
        <w:tc>
          <w:tcPr>
            <w:tcW w:type="dxa" w:w="4997"/>
          </w:tcPr>
          <w:p>
            <w:r>
              <w:t>2026-07-07 12:55:06（北京时间）</w:t>
            </w:r>
          </w:p>
        </w:tc>
      </w:tr>
      <w:tr>
        <w:tc>
          <w:tcPr>
            <w:tcW w:type="dxa" w:w="4997"/>
          </w:tcPr>
          <w:p>
            <w:r>
              <w:rPr>
                <w:b/>
              </w:rPr>
              <w:t>检索窗口</w:t>
            </w:r>
          </w:p>
        </w:tc>
        <w:tc>
          <w:tcPr>
            <w:tcW w:type="dxa" w:w="4997"/>
          </w:tcPr>
          <w:p>
            <w:r>
              <w:t>2023-07-08 — 2026-07-07</w:t>
            </w:r>
          </w:p>
        </w:tc>
      </w:tr>
      <w:tr>
        <w:tc>
          <w:tcPr>
            <w:tcW w:type="dxa" w:w="4997"/>
          </w:tcPr>
          <w:p>
            <w:r>
              <w:rPr>
                <w:b/>
              </w:rPr>
              <w:t>检索与筛选</w:t>
            </w:r>
          </w:p>
        </w:tc>
        <w:tc>
          <w:tcPr>
            <w:tcW w:type="dxa" w:w="4997"/>
          </w:tcPr>
          <w:p>
            <w:r>
              <w:t>检索 750 篇；筛选 5 篇；AI成功 5 篇</w:t>
            </w:r>
          </w:p>
        </w:tc>
      </w:tr>
      <w:tr>
        <w:tc>
          <w:tcPr>
            <w:tcW w:type="dxa" w:w="4997"/>
          </w:tcPr>
          <w:p>
            <w:r>
              <w:rPr>
                <w:b/>
              </w:rPr>
              <w:t>本地文件</w:t>
            </w:r>
          </w:p>
        </w:tc>
        <w:tc>
          <w:tcPr>
            <w:tcW w:type="dxa" w:w="4997"/>
          </w:tcPr>
          <w:p>
            <w:r>
              <w:t>Markdown 与 Word 文档已保存至 docs/ 目录</w:t>
            </w:r>
          </w:p>
        </w:tc>
      </w:tr>
    </w:tbl>
    <w:p/>
    <w:p>
      <w:pPr>
        <w:pStyle w:val="Heading1"/>
      </w:pPr>
      <w:r>
        <w:t>一、今日研究亮点总结</w:t>
      </w:r>
    </w:p>
    <w:p>
      <w:pPr>
        <w:ind w:left="230" w:right="230"/>
      </w:pPr>
      <w:r>
        <w:rPr>
          <w:i/>
          <w:color w:val="596882"/>
        </w:rPr>
        <w:t>今日文献聚焦AI在教育与职业素养中的实证应用：混合方法研究（如中国EFL跨文化能力的人机协作框架）和可复现的定量地图（如AI素养负荷）成为亮点；LLM辅助内容分析、人机协作等创新方法贴近中国数字化转型语境。</w:t>
      </w:r>
    </w:p>
    <w:p>
      <w:pPr>
        <w:pStyle w:val="Heading1"/>
      </w:pPr>
      <w:r>
        <w:t>目录</w:t>
      </w:r>
    </w:p>
    <w:p>
      <w:pPr>
        <w:pStyle w:val="ListNumber"/>
      </w:pPr>
      <w:r>
        <w:rPr>
          <w:b/>
        </w:rPr>
        <w:t>基于LLM辅助与规则驱动的ESG披露质量评估及其与外部ESG评级的关系：来自S&amp;P 500能源公司的探索性证据</w:t>
      </w:r>
      <w:r>
        <w:t>｜Sustainability｜2026-07-06</w:t>
      </w:r>
    </w:p>
    <w:p>
      <w:pPr>
        <w:pStyle w:val="ListNumber"/>
      </w:pPr>
      <w:r>
        <w:rPr>
          <w:b/>
        </w:rPr>
        <w:t>面向跨文化能力发展的人机协作框架：来自中国EFL情境混合方法研究的证据</w:t>
      </w:r>
      <w:r>
        <w:t>｜Journal of China Computer-Assisted Language Learning｜2026-07-07</w:t>
      </w:r>
    </w:p>
    <w:p>
      <w:pPr>
        <w:pStyle w:val="ListNumber"/>
      </w:pPr>
      <w:r>
        <w:rPr>
          <w:b/>
        </w:rPr>
        <w:t>人工智能在仪器仪表中的应用：方法、应用与未来方向</w:t>
      </w:r>
      <w:r>
        <w:t>｜Academic Journal of Management Science and Engineering｜2026-07-06</w:t>
      </w:r>
    </w:p>
    <w:p>
      <w:pPr>
        <w:pStyle w:val="ListNumber"/>
      </w:pPr>
      <w:r>
        <w:rPr>
          <w:b/>
        </w:rPr>
        <w:t>按职业划分的AI素养负荷：一张可复现的、显示AI知识何时成为工作一部分的地图</w:t>
      </w:r>
      <w:r>
        <w:t>｜Zenodo (CERN European Organization for Nuclear Research)｜2026-07-04</w:t>
      </w:r>
    </w:p>
    <w:p>
      <w:pPr>
        <w:pStyle w:val="ListNumber"/>
      </w:pPr>
      <w:r>
        <w:rPr>
          <w:b/>
        </w:rPr>
        <w:t>按职业划分的AI素养负荷：一张可复现的、显示AI知识在何处成为工作一部分的地图</w:t>
      </w:r>
      <w:r>
        <w:t>｜Zenodo (CERN European Organization for Nuclear Research)｜2026-07-04</w:t>
      </w:r>
    </w:p>
    <w:p>
      <w:pPr>
        <w:sectPr>
          <w:pgSz w:w="12240" w:h="15840"/>
          <w:pgMar w:top="1037" w:right="1123" w:bottom="1037" w:left="1123" w:header="720" w:footer="720" w:gutter="0"/>
          <w:cols w:space="720"/>
          <w:docGrid w:linePitch="360"/>
        </w:sectPr>
      </w:pPr>
    </w:p>
    <w:p>
      <w:pPr>
        <w:pStyle w:val="Heading1"/>
      </w:pPr>
      <w:r>
        <w:t>二、文献摘要</w:t>
      </w:r>
    </w:p>
    <w:p>
      <w:pPr>
        <w:pStyle w:val="Heading2"/>
      </w:pPr>
      <w:r>
        <w:t>1. LLM-Assisted and Rule-Based Assessment of ESG Disclosure Quality and Its Association with External ESG Ratings: Exploratory Evidence from S&amp;amp;P 500 Energy Firms / 基于LLM辅助与规则驱动的ESG披露质量评估及其与外部ESG评级的关系：来自S&amp;P 500能源公司的探索性证据</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LLM-Assisted and Rule-Based Assessment of ESG Disclosure Quality and Its Association with External ESG Ratings: Exploratory Evidence from S&amp;amp;P 500 Energy Firms / 基于LLM辅助与规则驱动的ESG披露质量评估及其与外部ESG评级的关系：来自S&amp;P 500能源公司的探索性证据</w:t>
            </w:r>
          </w:p>
        </w:tc>
      </w:tr>
      <w:tr>
        <w:tc>
          <w:tcPr>
            <w:tcW w:type="dxa" w:w="4997"/>
          </w:tcPr>
          <w:p>
            <w:r>
              <w:rPr>
                <w:b/>
              </w:rPr>
              <w:t>作者</w:t>
            </w:r>
          </w:p>
        </w:tc>
        <w:tc>
          <w:tcPr>
            <w:tcW w:type="dxa" w:w="4997"/>
          </w:tcPr>
          <w:p>
            <w:r>
              <w:t>Hae Sun Jung, Shaopeng Che, Haein Lee</w:t>
            </w:r>
          </w:p>
        </w:tc>
      </w:tr>
      <w:tr>
        <w:tc>
          <w:tcPr>
            <w:tcW w:type="dxa" w:w="4997"/>
          </w:tcPr>
          <w:p>
            <w:r>
              <w:rPr>
                <w:b/>
              </w:rPr>
              <w:t>期刊及影响因子</w:t>
            </w:r>
          </w:p>
        </w:tc>
        <w:tc>
          <w:tcPr>
            <w:tcW w:type="dxa" w:w="4997"/>
          </w:tcPr>
          <w:p>
            <w:r>
              <w:t>Sustainability (SSCI, Education &amp; Educational Research; Green &amp; Sustainable Science &amp; Technology) — 未提供具体影响因子与JCR分区</w:t>
            </w:r>
          </w:p>
        </w:tc>
      </w:tr>
      <w:tr>
        <w:tc>
          <w:tcPr>
            <w:tcW w:type="dxa" w:w="4997"/>
          </w:tcPr>
          <w:p>
            <w:r>
              <w:rPr>
                <w:b/>
              </w:rPr>
              <w:t>JIF/影响因子</w:t>
            </w:r>
          </w:p>
        </w:tc>
        <w:tc>
          <w:tcPr>
            <w:tcW w:type="dxa" w:w="4997"/>
          </w:tcPr>
          <w:p>
            <w:r>
              <w:t>白名单未提供</w:t>
            </w:r>
          </w:p>
        </w:tc>
      </w:tr>
      <w:tr>
        <w:tc>
          <w:tcPr>
            <w:tcW w:type="dxa" w:w="4997"/>
          </w:tcPr>
          <w:p>
            <w:r>
              <w:rPr>
                <w:b/>
              </w:rPr>
              <w:t>JCR分区</w:t>
            </w:r>
          </w:p>
        </w:tc>
        <w:tc>
          <w:tcPr>
            <w:tcW w:type="dxa" w:w="4997"/>
          </w:tcPr>
          <w:p>
            <w:r>
              <w:t>白名单未提供</w:t>
            </w:r>
          </w:p>
        </w:tc>
      </w:tr>
      <w:tr>
        <w:tc>
          <w:tcPr>
            <w:tcW w:type="dxa" w:w="4997"/>
          </w:tcPr>
          <w:p>
            <w:r>
              <w:rPr>
                <w:b/>
              </w:rPr>
              <w:t>CiteScore</w:t>
            </w:r>
          </w:p>
        </w:tc>
        <w:tc>
          <w:tcPr>
            <w:tcW w:type="dxa" w:w="4997"/>
          </w:tcPr>
          <w:p>
            <w:r>
              <w:t>白名单未提供</w:t>
            </w:r>
          </w:p>
        </w:tc>
      </w:tr>
      <w:tr>
        <w:tc>
          <w:tcPr>
            <w:tcW w:type="dxa" w:w="4997"/>
          </w:tcPr>
          <w:p>
            <w:r>
              <w:rPr>
                <w:b/>
              </w:rPr>
              <w:t>出版社</w:t>
            </w:r>
          </w:p>
        </w:tc>
        <w:tc>
          <w:tcPr>
            <w:tcW w:type="dxa" w:w="4997"/>
          </w:tcPr>
          <w:p>
            <w:r>
              <w:t>MDPI AG, Grosspeteranlage 5, BASEL, Switzerland, CH-4052</w:t>
            </w:r>
          </w:p>
        </w:tc>
      </w:tr>
      <w:tr>
        <w:tc>
          <w:tcPr>
            <w:tcW w:type="dxa" w:w="4997"/>
          </w:tcPr>
          <w:p>
            <w:r>
              <w:rPr>
                <w:b/>
              </w:rPr>
              <w:t>卷期/DOI</w:t>
            </w:r>
          </w:p>
        </w:tc>
        <w:tc>
          <w:tcPr>
            <w:tcW w:type="dxa" w:w="4997"/>
          </w:tcPr>
          <w:p>
            <w:r>
              <w:t>Volume 18, Issue 13? (DOI: 10.3390/su18136882)</w:t>
            </w:r>
          </w:p>
        </w:tc>
      </w:tr>
      <w:tr>
        <w:tc>
          <w:tcPr>
            <w:tcW w:type="dxa" w:w="4997"/>
          </w:tcPr>
          <w:p>
            <w:r>
              <w:rPr>
                <w:b/>
              </w:rPr>
              <w:t>在线发表时间</w:t>
            </w:r>
          </w:p>
        </w:tc>
        <w:tc>
          <w:tcPr>
            <w:tcW w:type="dxa" w:w="4997"/>
          </w:tcPr>
          <w:p>
            <w:r>
              <w:t>2026-07-06</w:t>
            </w:r>
          </w:p>
        </w:tc>
      </w:tr>
      <w:tr>
        <w:tc>
          <w:tcPr>
            <w:tcW w:type="dxa" w:w="4997"/>
          </w:tcPr>
          <w:p>
            <w:r>
              <w:rPr>
                <w:b/>
              </w:rPr>
              <w:t>SSCI分类</w:t>
            </w:r>
          </w:p>
        </w:tc>
        <w:tc>
          <w:tcPr>
            <w:tcW w:type="dxa" w:w="4997"/>
          </w:tcPr>
          <w:p>
            <w:r>
              <w:t>Education &amp; Educational Research；Green &amp; Sustainable Science &amp; Technology</w:t>
            </w:r>
          </w:p>
        </w:tc>
      </w:tr>
      <w:tr>
        <w:tc>
          <w:tcPr>
            <w:tcW w:type="dxa" w:w="4997"/>
          </w:tcPr>
          <w:p>
            <w:r>
              <w:rPr>
                <w:b/>
              </w:rPr>
              <w:t>论文链接</w:t>
            </w:r>
          </w:p>
        </w:tc>
        <w:tc>
          <w:tcPr>
            <w:tcW w:type="dxa" w:w="4997"/>
          </w:tcPr>
          <w:p>
            <w:hyperlink r:id="rId9">
              <w:r>
                <w:rPr>
                  <w:color w:val="0563C1"/>
                  <w:u w:val="single"/>
                </w:rPr>
                <w:t>https://doi.org/10.3390/su18136882</w:t>
              </w:r>
            </w:hyperlink>
          </w:p>
        </w:tc>
      </w:tr>
    </w:tbl>
    <w:p>
      <w:pPr>
        <w:pStyle w:val="Heading3"/>
      </w:pPr>
      <w:r>
        <w:t>研究摘要</w:t>
      </w:r>
    </w:p>
    <w:p>
      <w:r>
        <w:t>环境、社会和治理（ESG）披露已成为外部利益相关者的重要信息来源。随着可持续发展报告的扩展，区分披露数量与披露质量日益重要。本研究探讨了标准普尔500指数能源行业公司可持续发展披露质量与外部ESG评估结果之间的关联。采用大型语言模型（LLM）辅助的结构化内容分析，从可持续发展报告中识别并分类ESG相关声明。基于获得的语料库，构建了三个披露质量指标：定量证据比率（QER）、目标问责比率（TAR）和报告基础设施评分（RIS）。将这些指标整合为综合披露质量指数（DQI），并使用Spearman秩相关检验其与S&amp;P Global ESG评分的关系。结果显示，单个指标与ESG评分的正向关联有限，而综合DQI表现出更显著的正相关。还观察到了披露-评级背离模式，表明相对有利的披露质量位置并不一致对应更高的ESG评分排名。总体而言，研究结果提示可持续发展披露质量可能是多维度的，当综合考虑披露特征时，其与外部ESG评估结果的关联更为明显。然而，由于分析仅限于S&amp;P 500能源行业公司的小样本，研究结果应被视为探索性的行业特定证据，普适性有限。</w:t>
      </w:r>
    </w:p>
    <w:p>
      <w:pPr>
        <w:pStyle w:val="Heading3"/>
      </w:pPr>
      <w:r>
        <w:t>研究主要内容</w:t>
      </w:r>
    </w:p>
    <w:p>
      <w:r>
        <w:t>本研究通过LLM辅助的结构化内容分析，量化了S&amp;P 500能源公司可持续发展报告的披露质量（构建QER、TAR、RIS指标及综合DQI），并与S&amp;P Global ESG评分进行相关性分析。研究发现综合指标比单一指标与外部评级的关联更强，且存在披露质量与评级不一致的现象。</w:t>
      </w:r>
    </w:p>
    <w:p>
      <w:pPr>
        <w:pStyle w:val="Heading3"/>
      </w:pPr>
      <w:r>
        <w:t>研究论点</w:t>
      </w:r>
    </w:p>
    <w:p>
      <w:r>
        <w:t>可持续发展披露质量是一个多维概念，仅靠单一维度难以全面反映其与外部ESG评级的关系；将多种披露质量特征整合为综合指标，能更清晰地揭示其与外部评估的关联。</w:t>
      </w:r>
    </w:p>
    <w:p>
      <w:pPr>
        <w:pStyle w:val="Heading3"/>
      </w:pPr>
      <w:r>
        <w:t>研究问题</w:t>
      </w:r>
    </w:p>
    <w:p>
      <w:r>
        <w:t>S&amp;P 500能源行业公司的可持续发展披露质量（以QER、TAR、RIS及综合DQI衡量）与外部ESG评级（S&amp;P Global ESG评分）之间存在怎样的关联？</w:t>
      </w:r>
    </w:p>
    <w:p>
      <w:pPr>
        <w:pStyle w:val="Heading3"/>
      </w:pPr>
      <w:r>
        <w:t>研究方法</w:t>
      </w:r>
    </w:p>
    <w:p>
      <w:r>
        <w:t>混合方法（实质为定量分析主导，但数据收集阶段使用了定性内容分析辅助）。样本：标准普尔500指数能源行业公司（具体数量摘要未说明，仅提及小样本）。数据来源：公司公开发布的可持续发展报告。数据收集与分析：采用LLM辅助的结构化内容分析（一种基于规则的文本分析方法，结合预训练语言模型进行声明识别与分类）；基于语料库计算QER、TAR、RIS，并加权合成DQI；使用Spearman秩相关检验DQI及各指标与ESG评分的相关性。注意：研究设计类型、参与者信息、定性分析的详细编码过程等在摘要中未明确说明。</w:t>
      </w:r>
    </w:p>
    <w:p>
      <w:pPr>
        <w:pStyle w:val="Heading3"/>
      </w:pPr>
      <w:r>
        <w:t>主要发现</w:t>
      </w:r>
    </w:p>
    <w:p>
      <w:r>
        <w:t>['单个披露质量指标（QER、TAR、RIS）与S&amp;P Global ESG评分之间仅存在有限的正向关联。', '整合后的综合披露质量指数（DQI）与ESG评分之间表现出更显著的正相关关系。', '存在披露-评级背离模式：部分公司虽然披露质量相对较好，但其ESG评分排名并未相应提升。']</w:t>
      </w:r>
    </w:p>
    <w:p>
      <w:pPr>
        <w:pStyle w:val="Heading3"/>
      </w:pPr>
      <w:r>
        <w:t>对教师教育研究的启示</w:t>
      </w:r>
    </w:p>
    <w:p>
      <w:r>
        <w:t>虽然本研究聚焦于企业ESG披露领域，但其采用‘LLM辅助结构化内容分析’的方法论可为教师教育研究中的文本分析（如教师反思日记、课堂话语、教案质量评估）提供技术借鉴：通过结合大型语言模型的语义理解能力与基于规则的指标构建，研究人员可以更系统、可复制地评估教育文本的多元质量维度。此外，构建综合指标（如DQI）的思路提示教师教育研究者，在考察教师素养、教学实践等复合概念时，应避免依赖单一指标，而应通过组合多个关联维度来提高效度。不过，本研究的样本限制与相关性分析设计也提醒研究者注意结论的边界与探索性。</w:t>
      </w:r>
    </w:p>
    <w:p>
      <w:pPr>
        <w:pStyle w:val="Heading3"/>
      </w:pPr>
      <w:r>
        <w:t>APA引用格式</w:t>
      </w:r>
    </w:p>
    <w:p>
      <w:r>
        <w:t>Jung, H. S., Che, S., &amp; Lee, H. (2026). LLM-assisted and rule-based assessment of ESG disclosure quality and its association with external ESG ratings: Exploratory evidence from S&amp;P 500 energy firms. Sustainability, 18(13), 6882. https://doi.org/10.3390/su18136882</w:t>
      </w:r>
    </w:p>
    <w:p>
      <w:r>
        <w:br w:type="page"/>
      </w:r>
    </w:p>
    <w:p>
      <w:pPr>
        <w:pStyle w:val="Heading2"/>
      </w:pPr>
      <w:r>
        <w:t>2. Toward a human-AI collaboration framework for intercultural competence development: evidence from a mixed-methods study in Chinese EFL context / 面向跨文化能力发展的人机协作框架：来自中国EFL情境混合方法研究的证据</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Toward a human-AI collaboration framework for intercultural competence development: evidence from a mixed-methods study in Chinese EFL context / 面向跨文化能力发展的人机协作框架：来自中国EFL情境混合方法研究的证据</w:t>
            </w:r>
          </w:p>
        </w:tc>
      </w:tr>
      <w:tr>
        <w:tc>
          <w:tcPr>
            <w:tcW w:type="dxa" w:w="4997"/>
          </w:tcPr>
          <w:p>
            <w:r>
              <w:rPr>
                <w:b/>
              </w:rPr>
              <w:t>作者</w:t>
            </w:r>
          </w:p>
        </w:tc>
        <w:tc>
          <w:tcPr>
            <w:tcW w:type="dxa" w:w="4997"/>
          </w:tcPr>
          <w:p>
            <w:r>
              <w:t>Guihua Ma, Yongzhen Shi</w:t>
            </w:r>
          </w:p>
        </w:tc>
      </w:tr>
      <w:tr>
        <w:tc>
          <w:tcPr>
            <w:tcW w:type="dxa" w:w="4997"/>
          </w:tcPr>
          <w:p>
            <w:r>
              <w:rPr>
                <w:b/>
              </w:rPr>
              <w:t>期刊及影响因子</w:t>
            </w:r>
          </w:p>
        </w:tc>
        <w:tc>
          <w:tcPr>
            <w:tcW w:type="dxa" w:w="4997"/>
          </w:tcPr>
          <w:p>
            <w:r>
              <w:t>摘要未说明影响因子与JCR分区</w:t>
            </w:r>
          </w:p>
        </w:tc>
      </w:tr>
      <w:tr>
        <w:tc>
          <w:tcPr>
            <w:tcW w:type="dxa" w:w="4997"/>
          </w:tcPr>
          <w:p>
            <w:r>
              <w:rPr>
                <w:b/>
              </w:rPr>
              <w:t>JIF/影响因子</w:t>
            </w:r>
          </w:p>
        </w:tc>
        <w:tc>
          <w:tcPr>
            <w:tcW w:type="dxa" w:w="4997"/>
          </w:tcPr>
          <w:p>
            <w:r>
              <w:t>白名单未提供</w:t>
            </w:r>
          </w:p>
        </w:tc>
      </w:tr>
      <w:tr>
        <w:tc>
          <w:tcPr>
            <w:tcW w:type="dxa" w:w="4997"/>
          </w:tcPr>
          <w:p>
            <w:r>
              <w:rPr>
                <w:b/>
              </w:rPr>
              <w:t>JCR分区</w:t>
            </w:r>
          </w:p>
        </w:tc>
        <w:tc>
          <w:tcPr>
            <w:tcW w:type="dxa" w:w="4997"/>
          </w:tcPr>
          <w:p>
            <w:r>
              <w:t>白名单未提供</w:t>
            </w:r>
          </w:p>
        </w:tc>
      </w:tr>
      <w:tr>
        <w:tc>
          <w:tcPr>
            <w:tcW w:type="dxa" w:w="4997"/>
          </w:tcPr>
          <w:p>
            <w:r>
              <w:rPr>
                <w:b/>
              </w:rPr>
              <w:t>CiteScore</w:t>
            </w:r>
          </w:p>
        </w:tc>
        <w:tc>
          <w:tcPr>
            <w:tcW w:type="dxa" w:w="4997"/>
          </w:tcPr>
          <w:p>
            <w:r>
              <w:t>白名单未提供</w:t>
            </w:r>
          </w:p>
        </w:tc>
      </w:tr>
      <w:tr>
        <w:tc>
          <w:tcPr>
            <w:tcW w:type="dxa" w:w="4997"/>
          </w:tcPr>
          <w:p>
            <w:r>
              <w:rPr>
                <w:b/>
              </w:rPr>
              <w:t>出版社</w:t>
            </w:r>
          </w:p>
        </w:tc>
        <w:tc>
          <w:tcPr>
            <w:tcW w:type="dxa" w:w="4997"/>
          </w:tcPr>
          <w:p>
            <w:r>
              <w:t>ROUTLEDGE JOURNALS, TAYLOR &amp; FRANCIS LTD</w:t>
            </w:r>
          </w:p>
        </w:tc>
      </w:tr>
      <w:tr>
        <w:tc>
          <w:tcPr>
            <w:tcW w:type="dxa" w:w="4997"/>
          </w:tcPr>
          <w:p>
            <w:r>
              <w:rPr>
                <w:b/>
              </w:rPr>
              <w:t>卷期/DOI</w:t>
            </w:r>
          </w:p>
        </w:tc>
        <w:tc>
          <w:tcPr>
            <w:tcW w:type="dxa" w:w="4997"/>
          </w:tcPr>
          <w:p>
            <w:r>
              <w:t>DOI: 10.1515/jccall-2025-0032</w:t>
            </w:r>
          </w:p>
        </w:tc>
      </w:tr>
      <w:tr>
        <w:tc>
          <w:tcPr>
            <w:tcW w:type="dxa" w:w="4997"/>
          </w:tcPr>
          <w:p>
            <w:r>
              <w:rPr>
                <w:b/>
              </w:rPr>
              <w:t>在线发表时间</w:t>
            </w:r>
          </w:p>
        </w:tc>
        <w:tc>
          <w:tcPr>
            <w:tcW w:type="dxa" w:w="4997"/>
          </w:tcPr>
          <w:p>
            <w:r>
              <w:t>2026-07-07</w:t>
            </w:r>
          </w:p>
        </w:tc>
      </w:tr>
      <w:tr>
        <w:tc>
          <w:tcPr>
            <w:tcW w:type="dxa" w:w="4997"/>
          </w:tcPr>
          <w:p>
            <w:r>
              <w:rPr>
                <w:b/>
              </w:rPr>
              <w:t>SSCI分类</w:t>
            </w:r>
          </w:p>
        </w:tc>
        <w:tc>
          <w:tcPr>
            <w:tcW w:type="dxa" w:w="4997"/>
          </w:tcPr>
          <w:p>
            <w:r>
              <w:t>Education &amp; Educational Research；Linguistics</w:t>
            </w:r>
          </w:p>
        </w:tc>
      </w:tr>
      <w:tr>
        <w:tc>
          <w:tcPr>
            <w:tcW w:type="dxa" w:w="4997"/>
          </w:tcPr>
          <w:p>
            <w:r>
              <w:rPr>
                <w:b/>
              </w:rPr>
              <w:t>论文链接</w:t>
            </w:r>
          </w:p>
        </w:tc>
        <w:tc>
          <w:tcPr>
            <w:tcW w:type="dxa" w:w="4997"/>
          </w:tcPr>
          <w:p>
            <w:hyperlink r:id="rId10">
              <w:r>
                <w:rPr>
                  <w:color w:val="0563C1"/>
                  <w:u w:val="single"/>
                </w:rPr>
                <w:t>https://doi.org/10.1515/jccall-2025-0032</w:t>
              </w:r>
            </w:hyperlink>
          </w:p>
        </w:tc>
      </w:tr>
    </w:tbl>
    <w:p>
      <w:pPr>
        <w:pStyle w:val="Heading3"/>
      </w:pPr>
      <w:r>
        <w:t>研究摘要</w:t>
      </w:r>
    </w:p>
    <w:p>
      <w:r>
        <w:t>人工智能(AI)在语言教育中的整合正在重塑教学可能性，但其在培养跨文化能力(IC)方面的潜力仍未得到充分探索，尤其是在中国作为外语(EFL)背景下。本研究通过为期四个月的教学干预(结合Kimi聊天机器人与虚拟现实文化模拟)，调查了AI技术在320名中国EFL本科生中发展IC的效果。采用序贯混合方法设计，研究揭示了所有IC维度在前后测中的显著增益，其中文化知识与沟通技能效应尤为强烈，态度开放性与批判性文化意识也有显著提高。回归分析识别出AI中介活动(如策展模拟、VR参与)和有组织的人类引导(如教师指导的反思)是这些增益的关键预测因子。定性结果记录了三种增强机制：认知-情感桥接(68%的学习者)、情境化刻板印象减少(降低53%)以及元认知镜像(89%的采用率)。研究揭示了AI中介IC发展的潜力与局限，其中文化误译实例凸显了教学监督的必要性。这些结果通过提出一个平衡的人机协作框架——将技术能力与基本跨文化学习原则相结合——为EFL教学提供了贡献，尤其适用于在数字化转型中同时保护本地文化教育价值的教育情境。</w:t>
      </w:r>
    </w:p>
    <w:p>
      <w:pPr>
        <w:pStyle w:val="Heading3"/>
      </w:pPr>
      <w:r>
        <w:t>研究主要内容</w:t>
      </w:r>
    </w:p>
    <w:p>
      <w:r>
        <w:t>本研究聚焦于AI技术(聊天机器人、虚拟现实)在中国EFL大学生跨文化能力发展中的应用效果，提出了一个平衡的人机协作框架。</w:t>
      </w:r>
    </w:p>
    <w:p>
      <w:pPr>
        <w:pStyle w:val="Heading3"/>
      </w:pPr>
      <w:r>
        <w:t>研究论点</w:t>
      </w:r>
    </w:p>
    <w:p>
      <w:r>
        <w:t>人机协作框架能够有效提升跨文化能力，但需要教学监督以弥补AI的局限(如文化误译)。</w:t>
      </w:r>
    </w:p>
    <w:p>
      <w:pPr>
        <w:pStyle w:val="Heading3"/>
      </w:pPr>
      <w:r>
        <w:t>研究问题</w:t>
      </w:r>
    </w:p>
    <w:p>
      <w:r>
        <w:t>摘要未明确陈述研究问题；隐含问题为：AI技术(结合Kimi聊天机器人和VR文化模拟)在中国EFL情境下如何影响本科生的跨文化能力发展？其作用机制与局限是什么？</w:t>
      </w:r>
    </w:p>
    <w:p>
      <w:pPr>
        <w:pStyle w:val="Heading3"/>
      </w:pPr>
      <w:r>
        <w:t>研究方法</w:t>
      </w:r>
    </w:p>
    <w:p>
      <w:r>
        <w:t>{'研究类型': '混合方法(序贯混合设计，sequential mixed-methods design)', '样本或参与者': '320名中国EFL本科生', '数据来源': '① 跨文化能力前后测量表(覆盖各维度) ② 人工智能中介活动参与数据(如策展模拟、VR参与) ③ 结构化的教师引导反思记录 ④ 定性访谈或开放式问卷(用于提炼增强机制，但摘要未具体说明定性数据收集工具)', '分析方法': '定量分析：① 前后测差异检验(如配对t检验或非参数检验，报告显著增益) ② 回归分析(以AI中介活动、人类引导为预测因子，IC增益为因变量)。定性分析：主题编码/内容分析(提炼出认知-情感桥接、情境化刻板印象减少、元认知镜像三种机制，并报告百分比)。摘要未说明定性分析方法的具体名称(如主题分析)。'}</w:t>
      </w:r>
    </w:p>
    <w:p>
      <w:pPr>
        <w:pStyle w:val="Heading3"/>
      </w:pPr>
      <w:r>
        <w:t>主要发现</w:t>
      </w:r>
    </w:p>
    <w:p>
      <w:r>
        <w:t>['所有跨文化能力维度在干预后均显著提升，其中文化知识与沟通技能的效应量最大，态度开放性与批判性文化意识也有显著提高。', '回归分析显示，AI中介活动(如策展模拟、VR参与)和结构化的人类引导(如教师指导的反思)是跨文化能力增益的关键正向预测因子。', '定性分析揭示了三种增强机制：68%的学习者经历认知-情感桥接、刻板印象减少53%、89%的学习者采纳元认知镜像；同时发现了AI导致的文化误译问题，强调教学监督的必要性。']</w:t>
      </w:r>
    </w:p>
    <w:p>
      <w:pPr>
        <w:pStyle w:val="Heading3"/>
      </w:pPr>
      <w:r>
        <w:t>对教师教育研究的启示</w:t>
      </w:r>
    </w:p>
    <w:p>
      <w:r>
        <w:t>本研究为教师教育中AI整合提供了前沿主题方向：人机协作框架如何在语言/跨文化教学中平衡技术优势与人文引导。研究设计上，采用序贯混合方法(前后测+回归分析+定性机制提炼)可作为类似干预研究的范本。数据收集方面，建议同时使用标准量表、行为日志(如AI互动量)、反思文本等多源数据。分析方法上，定量回归可识别关键预测变量，定性主题分析可揭示深层机制，两者的结合有助于构建可迁移的教学框架。教师培训需关注如何设计AI中介活动(如模拟、VR)以及如何实施结构化引导(如反思提问)，同时培养教师识别并纠正AI文化误译的能力。</w:t>
      </w:r>
    </w:p>
    <w:p>
      <w:pPr>
        <w:pStyle w:val="Heading3"/>
      </w:pPr>
      <w:r>
        <w:t>APA引用格式</w:t>
      </w:r>
    </w:p>
    <w:p>
      <w:r>
        <w:t>Ma, G., &amp; Shi, Y. (2026). Toward a human-AI collaboration framework for intercultural competence development: evidence from a mixed-methods study in Chinese EFL context. Journal of China Computer-Assisted Language Learning. https://doi.org/10.1515/jccall-2025-0032</w:t>
      </w:r>
    </w:p>
    <w:p>
      <w:r>
        <w:br w:type="page"/>
      </w:r>
    </w:p>
    <w:p>
      <w:pPr>
        <w:pStyle w:val="Heading2"/>
      </w:pPr>
      <w:r>
        <w:t>3. Artificial Intelligence in Instrumentation: Applications, Methodologies, and Future Directions / 人工智能在仪器仪表中的应用：方法、应用与未来方向</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Artificial Intelligence in Instrumentation: Applications, Methodologies, and Future Directions / 人工智能在仪器仪表中的应用：方法、应用与未来方向</w:t>
            </w:r>
          </w:p>
        </w:tc>
      </w:tr>
      <w:tr>
        <w:tc>
          <w:tcPr>
            <w:tcW w:type="dxa" w:w="4997"/>
          </w:tcPr>
          <w:p>
            <w:r>
              <w:rPr>
                <w:b/>
              </w:rPr>
              <w:t>作者</w:t>
            </w:r>
          </w:p>
        </w:tc>
        <w:tc>
          <w:tcPr>
            <w:tcW w:type="dxa" w:w="4997"/>
          </w:tcPr>
          <w:p>
            <w:r>
              <w:t>Fujie Lu</w:t>
            </w:r>
          </w:p>
        </w:tc>
      </w:tr>
      <w:tr>
        <w:tc>
          <w:tcPr>
            <w:tcW w:type="dxa" w:w="4997"/>
          </w:tcPr>
          <w:p>
            <w:r>
              <w:rPr>
                <w:b/>
              </w:rPr>
              <w:t>期刊及影响因子</w:t>
            </w:r>
          </w:p>
        </w:tc>
        <w:tc>
          <w:tcPr>
            <w:tcW w:type="dxa" w:w="4997"/>
          </w:tcPr>
          <w:p>
            <w:r>
              <w:t>白名单未提供影响因子 / 白名单未提供JCR分区</w:t>
            </w:r>
          </w:p>
        </w:tc>
      </w:tr>
      <w:tr>
        <w:tc>
          <w:tcPr>
            <w:tcW w:type="dxa" w:w="4997"/>
          </w:tcPr>
          <w:p>
            <w:r>
              <w:rPr>
                <w:b/>
              </w:rPr>
              <w:t>JIF/影响因子</w:t>
            </w:r>
          </w:p>
        </w:tc>
        <w:tc>
          <w:tcPr>
            <w:tcW w:type="dxa" w:w="4997"/>
          </w:tcPr>
          <w:p>
            <w:r>
              <w:t>白名单未提供</w:t>
            </w:r>
          </w:p>
        </w:tc>
      </w:tr>
      <w:tr>
        <w:tc>
          <w:tcPr>
            <w:tcW w:type="dxa" w:w="4997"/>
          </w:tcPr>
          <w:p>
            <w:r>
              <w:rPr>
                <w:b/>
              </w:rPr>
              <w:t>JCR分区</w:t>
            </w:r>
          </w:p>
        </w:tc>
        <w:tc>
          <w:tcPr>
            <w:tcW w:type="dxa" w:w="4997"/>
          </w:tcPr>
          <w:p>
            <w:r>
              <w:t>白名单未提供</w:t>
            </w:r>
          </w:p>
        </w:tc>
      </w:tr>
      <w:tr>
        <w:tc>
          <w:tcPr>
            <w:tcW w:type="dxa" w:w="4997"/>
          </w:tcPr>
          <w:p>
            <w:r>
              <w:rPr>
                <w:b/>
              </w:rPr>
              <w:t>CiteScore</w:t>
            </w:r>
          </w:p>
        </w:tc>
        <w:tc>
          <w:tcPr>
            <w:tcW w:type="dxa" w:w="4997"/>
          </w:tcPr>
          <w:p>
            <w:r>
              <w:t>白名单未提供</w:t>
            </w:r>
          </w:p>
        </w:tc>
      </w:tr>
      <w:tr>
        <w:tc>
          <w:tcPr>
            <w:tcW w:type="dxa" w:w="4997"/>
          </w:tcPr>
          <w:p>
            <w:r>
              <w:rPr>
                <w:b/>
              </w:rPr>
              <w:t>出版社</w:t>
            </w:r>
          </w:p>
        </w:tc>
        <w:tc>
          <w:tcPr>
            <w:tcW w:type="dxa" w:w="4997"/>
          </w:tcPr>
          <w:p>
            <w:r>
              <w:t>SAGE PUBLICATIONS INC</w:t>
            </w:r>
          </w:p>
        </w:tc>
      </w:tr>
      <w:tr>
        <w:tc>
          <w:tcPr>
            <w:tcW w:type="dxa" w:w="4997"/>
          </w:tcPr>
          <w:p>
            <w:r>
              <w:rPr>
                <w:b/>
              </w:rPr>
              <w:t>卷期/DOI</w:t>
            </w:r>
          </w:p>
        </w:tc>
        <w:tc>
          <w:tcPr>
            <w:tcW w:type="dxa" w:w="4997"/>
          </w:tcPr>
          <w:p>
            <w:r>
              <w:t>v1n4.01</w:t>
            </w:r>
          </w:p>
        </w:tc>
      </w:tr>
      <w:tr>
        <w:tc>
          <w:tcPr>
            <w:tcW w:type="dxa" w:w="4997"/>
          </w:tcPr>
          <w:p>
            <w:r>
              <w:rPr>
                <w:b/>
              </w:rPr>
              <w:t>在线发表时间</w:t>
            </w:r>
          </w:p>
        </w:tc>
        <w:tc>
          <w:tcPr>
            <w:tcW w:type="dxa" w:w="4997"/>
          </w:tcPr>
          <w:p>
            <w:r>
              <w:t>2026-07-06</w:t>
            </w:r>
          </w:p>
        </w:tc>
      </w:tr>
      <w:tr>
        <w:tc>
          <w:tcPr>
            <w:tcW w:type="dxa" w:w="4997"/>
          </w:tcPr>
          <w:p>
            <w:r>
              <w:rPr>
                <w:b/>
              </w:rPr>
              <w:t>SSCI分类</w:t>
            </w:r>
          </w:p>
        </w:tc>
        <w:tc>
          <w:tcPr>
            <w:tcW w:type="dxa" w:w="4997"/>
          </w:tcPr>
          <w:p>
            <w:r>
              <w:t>Applied；Business；Management；Psychology</w:t>
            </w:r>
          </w:p>
        </w:tc>
      </w:tr>
      <w:tr>
        <w:tc>
          <w:tcPr>
            <w:tcW w:type="dxa" w:w="4997"/>
          </w:tcPr>
          <w:p>
            <w:r>
              <w:rPr>
                <w:b/>
              </w:rPr>
              <w:t>论文链接</w:t>
            </w:r>
          </w:p>
        </w:tc>
        <w:tc>
          <w:tcPr>
            <w:tcW w:type="dxa" w:w="4997"/>
          </w:tcPr>
          <w:p>
            <w:hyperlink r:id="rId11">
              <w:r>
                <w:rPr>
                  <w:color w:val="0563C1"/>
                  <w:u w:val="single"/>
                </w:rPr>
                <w:t>https://doi.org/10.62051/ajmse.v1n4.01</w:t>
              </w:r>
            </w:hyperlink>
          </w:p>
        </w:tc>
      </w:tr>
    </w:tbl>
    <w:p>
      <w:pPr>
        <w:pStyle w:val="Heading3"/>
      </w:pPr>
      <w:r>
        <w:t>研究摘要</w:t>
      </w:r>
    </w:p>
    <w:p>
      <w:r>
        <w:t>The integration of artificial intelligence into instrumentation and measurement systems has emerged as a transformative force across industrial, environmental, and scientific domains. This article provides a systematic overview of AI applications in instrumentation, encompassing intelligent sensor data processing, predictive maintenance, automated meter reading, and fault diagnosis. Drawing upon recent advances documented in the literature, we examine the methodological landscape ranging from conventional machine learning to deep learning and large language models. Key benefits include enhanced measurement accuracy through intelligent compensation, reduced downtime through predictive maintenance, and improved operational efficiency through automation. However, significant challenges persist, including the blackbox nature of AI models, data scarcity, uncertainty quantification, and the gap between laboratory performance and realworld deployment. We argue that the future of intelligent instrumentation lies in hybrid approaches that integrate datadriven AI with conventional modeldriven methods, thereby combining the pattern recognition capabilities of AI with the interpretability and rigor of physicsbased models.</w:t>
      </w:r>
    </w:p>
    <w:p>
      <w:pPr>
        <w:pStyle w:val="Heading3"/>
      </w:pPr>
      <w:r>
        <w:t>研究主要内容</w:t>
      </w:r>
    </w:p>
    <w:p>
      <w:r>
        <w:t>本文系统综述了人工智能在仪器仪表与测量系统中的应用，涵盖智能传感器数据处理、预测性维护、自动抄表和故障诊断。基于文献中的最新进展，考察了从传统机器学习到深度学习及大语言模型的方法论图谱。主要优势包括通过智能补偿提高测量精度、通过预测性维护减少停机时间、通过自动化提升运营效率。同时存在挑战：AI模型的黑箱特性、数据稀缺、不确定性量化以及实验室性能与现实部署之间的差距。论文提出智能仪器仪表的未来在于数据驱动AI与传统模型驱动方法相结合的混合方法，以融合AI的模式识别能力与基于物理模型的解释性和严谨性。</w:t>
      </w:r>
    </w:p>
    <w:p>
      <w:pPr>
        <w:pStyle w:val="Heading3"/>
      </w:pPr>
      <w:r>
        <w:t>研究论点</w:t>
      </w:r>
    </w:p>
    <w:p>
      <w:r>
        <w:t>智能仪器仪表的未来发展方向是数据驱动AI与基于物理的传统模型相结合的混合方法，以兼顾AI的模式识别优势与传统模型的可解释性和严谨性。</w:t>
      </w:r>
    </w:p>
    <w:p>
      <w:pPr>
        <w:pStyle w:val="Heading3"/>
      </w:pPr>
      <w:r>
        <w:t>研究问题</w:t>
      </w:r>
    </w:p>
    <w:p>
      <w:r>
        <w:t>摘要未明确说明具体研究问题，但隐含的研究问题为：人工智能在仪器仪表领域有哪些应用、方法论及未来发展方向？</w:t>
      </w:r>
    </w:p>
    <w:p>
      <w:pPr>
        <w:pStyle w:val="Heading3"/>
      </w:pPr>
      <w:r>
        <w:t>研究方法</w:t>
      </w:r>
    </w:p>
    <w:p>
      <w:r>
        <w:t>研究类型：文献综述（系统概述）；样本或参与者：无；数据来源：已发表文献；分析方法：摘要未说明具体的系统性文献检索或综合方法，仅提及“drawing upon recent advances documented in the literature”，缺乏可复现的方法学细节。</w:t>
      </w:r>
    </w:p>
    <w:p>
      <w:pPr>
        <w:pStyle w:val="Heading3"/>
      </w:pPr>
      <w:r>
        <w:t>主要发现</w:t>
      </w:r>
    </w:p>
    <w:p>
      <w:r>
        <w:t>['通过智能补偿，AI能够显著提升测量精度；', '预测性维护有效降低了设备停机时间；', '自动化提高了整体运营效率，但面临AI模型黑箱、数据稀缺、不确定性量化及现实部署差距等挑战。']</w:t>
      </w:r>
    </w:p>
    <w:p>
      <w:pPr>
        <w:pStyle w:val="Heading3"/>
      </w:pPr>
      <w:r>
        <w:t>对教师教育研究的启示</w:t>
      </w:r>
    </w:p>
    <w:p>
      <w:r>
        <w:t>尽管本文聚焦工业领域，但其强调的AI方法论（如混合方法、融合数据驱动与模型驱动）对教育研究中AI应用设计具有参考价值。教师教育研究者可借鉴其将深度学习、大语言模型与学科教学知识结合的思想，探索可解释人工智能辅助教学评价、教师反思工具等方向。同时，文中指出的黑箱问题提示教育AI应用中需注重透明性与可解释性，以增强教师信任与教学整合。</w:t>
      </w:r>
    </w:p>
    <w:p>
      <w:pPr>
        <w:pStyle w:val="Heading3"/>
      </w:pPr>
      <w:r>
        <w:t>APA引用格式</w:t>
      </w:r>
    </w:p>
    <w:p>
      <w:r>
        <w:t>Lu, F. (2026). Artificial Intelligence in Instrumentation: Applications, Methodologies, and Future Directions. Academic Journal of Management Science and Engineering, 1(4). https://doi.org/10.62051/ajmse.v1n4.01</w:t>
      </w:r>
    </w:p>
    <w:p>
      <w:r>
        <w:br w:type="page"/>
      </w:r>
    </w:p>
    <w:p>
      <w:pPr>
        <w:pStyle w:val="Heading2"/>
      </w:pPr>
      <w:r>
        <w:t>4. AI-Literacy Load by Occupation: a reproducible map of where knowing AI becomes part of the job / 按职业划分的AI素养负荷：一张可复现的、显示AI知识何时成为工作一部分的地图</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AI-Literacy Load by Occupation: a reproducible map of where knowing AI becomes part of the job / 按职业划分的AI素养负荷：一张可复现的、显示AI知识何时成为工作一部分的地图</w:t>
            </w:r>
          </w:p>
        </w:tc>
      </w:tr>
      <w:tr>
        <w:tc>
          <w:tcPr>
            <w:tcW w:type="dxa" w:w="4997"/>
          </w:tcPr>
          <w:p>
            <w:r>
              <w:rPr>
                <w:b/>
              </w:rPr>
              <w:t>作者</w:t>
            </w:r>
          </w:p>
        </w:tc>
        <w:tc>
          <w:tcPr>
            <w:tcW w:type="dxa" w:w="4997"/>
          </w:tcPr>
          <w:p>
            <w:r>
              <w:t>N Milton</w:t>
            </w:r>
          </w:p>
        </w:tc>
      </w:tr>
      <w:tr>
        <w:tc>
          <w:tcPr>
            <w:tcW w:type="dxa" w:w="4997"/>
          </w:tcPr>
          <w:p>
            <w:r>
              <w:rPr>
                <w:b/>
              </w:rPr>
              <w:t>期刊及影响因子</w:t>
            </w:r>
          </w:p>
        </w:tc>
        <w:tc>
          <w:tcPr>
            <w:tcW w:type="dxa" w:w="4997"/>
          </w:tcPr>
          <w:p>
            <w:r>
              <w:t>未提供影响因子和JCR分区</w:t>
            </w:r>
          </w:p>
        </w:tc>
      </w:tr>
      <w:tr>
        <w:tc>
          <w:tcPr>
            <w:tcW w:type="dxa" w:w="4997"/>
          </w:tcPr>
          <w:p>
            <w:r>
              <w:rPr>
                <w:b/>
              </w:rPr>
              <w:t>JIF/影响因子</w:t>
            </w:r>
          </w:p>
        </w:tc>
        <w:tc>
          <w:tcPr>
            <w:tcW w:type="dxa" w:w="4997"/>
          </w:tcPr>
          <w:p>
            <w:r>
              <w:t>白名单未提供</w:t>
            </w:r>
          </w:p>
        </w:tc>
      </w:tr>
      <w:tr>
        <w:tc>
          <w:tcPr>
            <w:tcW w:type="dxa" w:w="4997"/>
          </w:tcPr>
          <w:p>
            <w:r>
              <w:rPr>
                <w:b/>
              </w:rPr>
              <w:t>JCR分区</w:t>
            </w:r>
          </w:p>
        </w:tc>
        <w:tc>
          <w:tcPr>
            <w:tcW w:type="dxa" w:w="4997"/>
          </w:tcPr>
          <w:p>
            <w:r>
              <w:t>白名单未提供</w:t>
            </w:r>
          </w:p>
        </w:tc>
      </w:tr>
      <w:tr>
        <w:tc>
          <w:tcPr>
            <w:tcW w:type="dxa" w:w="4997"/>
          </w:tcPr>
          <w:p>
            <w:r>
              <w:rPr>
                <w:b/>
              </w:rPr>
              <w:t>CiteScore</w:t>
            </w:r>
          </w:p>
        </w:tc>
        <w:tc>
          <w:tcPr>
            <w:tcW w:type="dxa" w:w="4997"/>
          </w:tcPr>
          <w:p>
            <w:r>
              <w:t>白名单未提供</w:t>
            </w:r>
          </w:p>
        </w:tc>
      </w:tr>
      <w:tr>
        <w:tc>
          <w:tcPr>
            <w:tcW w:type="dxa" w:w="4997"/>
          </w:tcPr>
          <w:p>
            <w:r>
              <w:rPr>
                <w:b/>
              </w:rPr>
              <w:t>出版社</w:t>
            </w:r>
          </w:p>
        </w:tc>
        <w:tc>
          <w:tcPr>
            <w:tcW w:type="dxa" w:w="4997"/>
          </w:tcPr>
          <w:p>
            <w:r>
              <w:t>SAGE PUBLICATIONS LTD</w:t>
            </w:r>
          </w:p>
        </w:tc>
      </w:tr>
      <w:tr>
        <w:tc>
          <w:tcPr>
            <w:tcW w:type="dxa" w:w="4997"/>
          </w:tcPr>
          <w:p>
            <w:r>
              <w:rPr>
                <w:b/>
              </w:rPr>
              <w:t>卷期/DOI</w:t>
            </w:r>
          </w:p>
        </w:tc>
        <w:tc>
          <w:tcPr>
            <w:tcW w:type="dxa" w:w="4997"/>
          </w:tcPr>
          <w:p>
            <w:r>
              <w:t>https://doi.org/10.5281/zenodo.20778968</w:t>
            </w:r>
          </w:p>
        </w:tc>
      </w:tr>
      <w:tr>
        <w:tc>
          <w:tcPr>
            <w:tcW w:type="dxa" w:w="4997"/>
          </w:tcPr>
          <w:p>
            <w:r>
              <w:rPr>
                <w:b/>
              </w:rPr>
              <w:t>在线发表时间</w:t>
            </w:r>
          </w:p>
        </w:tc>
        <w:tc>
          <w:tcPr>
            <w:tcW w:type="dxa" w:w="4997"/>
          </w:tcPr>
          <w:p>
            <w:r>
              <w:t>2026-07-04</w:t>
            </w:r>
          </w:p>
        </w:tc>
      </w:tr>
      <w:tr>
        <w:tc>
          <w:tcPr>
            <w:tcW w:type="dxa" w:w="4997"/>
          </w:tcPr>
          <w:p>
            <w:r>
              <w:rPr>
                <w:b/>
              </w:rPr>
              <w:t>SSCI分类</w:t>
            </w:r>
          </w:p>
        </w:tc>
        <w:tc>
          <w:tcPr>
            <w:tcW w:type="dxa" w:w="4997"/>
          </w:tcPr>
          <w:p>
            <w:r>
              <w:t>Management</w:t>
            </w:r>
          </w:p>
        </w:tc>
      </w:tr>
      <w:tr>
        <w:tc>
          <w:tcPr>
            <w:tcW w:type="dxa" w:w="4997"/>
          </w:tcPr>
          <w:p>
            <w:r>
              <w:rPr>
                <w:b/>
              </w:rPr>
              <w:t>论文链接</w:t>
            </w:r>
          </w:p>
        </w:tc>
        <w:tc>
          <w:tcPr>
            <w:tcW w:type="dxa" w:w="4997"/>
          </w:tcPr>
          <w:p>
            <w:hyperlink r:id="rId12">
              <w:r>
                <w:rPr>
                  <w:color w:val="0563C1"/>
                  <w:u w:val="single"/>
                </w:rPr>
                <w:t>https://doi.org/10.5281/zenodo.20778968</w:t>
              </w:r>
            </w:hyperlink>
          </w:p>
        </w:tc>
      </w:tr>
    </w:tbl>
    <w:p>
      <w:pPr>
        <w:pStyle w:val="Heading3"/>
      </w:pPr>
      <w:r>
        <w:t>研究摘要</w:t>
      </w:r>
    </w:p>
    <w:p>
      <w:r>
        <w:t>一张可复现的、显示每个职业在领域技能之外需要多少AI熟练度的地图，基于公开的Anthropic经济指数（AEI，第5版）与公共O*NET 29.3职业分类法的关联构建。该方法交叉每个职业的两个测量输入：AI使用渗透率（AI已经接触多少工作）和增强/自动化混合（接触的类型）。交叉得到2×2分类：生产性素养负荷（高渗透率、增强主导：学习以利用）与防御性素养负荷（高渗透率、自动化主导：学习以保持参与）。推导出的指数保持精简，并与原始输入并列展示，以便读者可以重建并质疑其构建。主要发现（按渗透率加权，仅限Claude使用）：在146个有可测量Claude.ai采纳的职业中，114个是自动化主导，32个是增强主导。相同的任务在开发者API上的自动化程度远高于消费者网页界面（67.2%对42.2%），这是工作正在被工业化的最清晰信号。软件、编辑和行政角色属于防御性；辅导、教学和分析角色保持增强主导。附录给出了八种通俗易懂的AI素养失败模式原语（训练截止、非确定性、压缩、模型层级、实时搜索和验证）。该工作将人机共存研究议程（Caviola, Keeling, Street &amp; Shevlin, 2026）的部分内容操作化，并在增强/自动化轴上得到了斯坦福煤矿金丝雀研究（2025）的独立证实。论文附带两个零依赖Python脚本、开放输入指针以及所有输出表格（包括一个丢弃任务的透明文件）。利益冲突：整个数据集由Anthropic发布并测量Anthropic自己的模型（Claude），且辅助AI模型也由Anthropic制造。所有数字均基于Claude使用，而非全AI；论文以自动化数字为首并全程标注。CC BY 4.0。ORCID 0009-0003-4213-7769。</w:t>
      </w:r>
    </w:p>
    <w:p>
      <w:pPr>
        <w:pStyle w:val="Heading3"/>
      </w:pPr>
      <w:r>
        <w:t>研究主要内容</w:t>
      </w:r>
    </w:p>
    <w:p>
      <w:r>
        <w:t>本文利用Anthropic经济指数（AEI）和O*NET职业分类数据，构建了一种可复现的方法来量化各职业所需的AI素养负荷。该方法通过交叉两个关键指标——AI使用渗透率（AI对工作的触及程度）和增强/自动化混合（AI是辅助还是替代人类）——将职业划分为生产性素养负荷（增强主导）和防御性素养负荷（自动化主导）。研究基于146个有可测量Claude.ai使用的职业，揭示了自动化与增强的分布差异，并特别指出教学、辅导等教育相关职业属于增强主导，提示教师需学习AI以增强而非替代工作。</w:t>
      </w:r>
    </w:p>
    <w:p>
      <w:pPr>
        <w:pStyle w:val="Heading3"/>
      </w:pPr>
      <w:r>
        <w:t>研究论点</w:t>
      </w:r>
    </w:p>
    <w:p>
      <w:r>
        <w:t>AI素养的需求因职业而异，其核心驱动因素不是简单的AI使用频率，而是“如何使用AI”——增强还是自动化。通过可复现的开放数据方法，可以绘制出这种差异，为职业培训和教育政策提供依据。对于教师等教育角色，AI素养更多是增强型学习，而非防御型（即避免被取代）。</w:t>
      </w:r>
    </w:p>
    <w:p>
      <w:pPr>
        <w:pStyle w:val="Heading3"/>
      </w:pPr>
      <w:r>
        <w:t>研究问题</w:t>
      </w:r>
    </w:p>
    <w:p>
      <w:r>
        <w:t>不同职业对AI素养的需求如何量化？AI使用渗透率与增强/自动化混合如何共同定义职业的AI素养负荷？</w:t>
      </w:r>
    </w:p>
    <w:p>
      <w:pPr>
        <w:pStyle w:val="Heading3"/>
      </w:pPr>
      <w:r>
        <w:t>研究方法</w:t>
      </w:r>
    </w:p>
    <w:p>
      <w:r>
        <w:t>研究类型：定量研究。样本/参与者：146个具有可测量Claude.ai使用的职业（基于Anthropic经济指数第5版与O*NET 29.3职业分类的匹配）。数据来源：公开数据集（Anthropic AEI、O*NET）。分析方法：交叉两个指标——AI使用渗透率（工作被AI触及的比例）和增强/自动化混合（任务被自动化或增强的比例），形成2×2分类矩阵；计算渗透率加权的头条发现；比较API与消费者界面的自动化比例。所有分析脚本为Python，零依赖，随论文公开。注：摘要未明确说明研究类型，但从数据和分析方式判断为定量研究。</w:t>
      </w:r>
    </w:p>
    <w:p>
      <w:pPr>
        <w:pStyle w:val="Heading3"/>
      </w:pPr>
      <w:r>
        <w:t>主要发现</w:t>
      </w:r>
    </w:p>
    <w:p>
      <w:r>
        <w:t>['在146个有可测量Claude.ai使用的职业中，114个（78%）是自动化主导，32个（22%）是增强主导。', '相同任务在开发者API上的自动化比例（67.2%）远高于消费者网页界面（42.2%），表明工作正在通过API被工业化。', '软件、编辑和行政角色表现为防御性素养负荷（高渗透率、自动化主导）；辅导、教学和分析角色表现为增强主导（高渗透率、增强主导），即需要学习AI以增强工作而非仅防御替代。']</w:t>
      </w:r>
    </w:p>
    <w:p>
      <w:pPr>
        <w:pStyle w:val="Heading3"/>
      </w:pPr>
      <w:r>
        <w:t>对教师教育研究的启示</w:t>
      </w:r>
    </w:p>
    <w:p>
      <w:r>
        <w:t>本研究为教师教育提供了前沿主题和方法论启示：（1）教师应被培养为AI增强型用户，而非防御型学习者，教师教育课程应强调如何利用AI辅助教学设计与评估，而非仅担心替代；（2）研究者可借鉴本研究的可复现方法（开放数据+交叉指标）来评估不同学科、学段教师的AI素养负荷差异，从而设计针对性培训；（3）数据收集与分析方面，可利用公开的职业数据和AI使用指标（如Claude使用渗透率）进行量化研究，避免依赖自陈式问卷，提升可靠性。</w:t>
      </w:r>
    </w:p>
    <w:p>
      <w:pPr>
        <w:pStyle w:val="Heading3"/>
      </w:pPr>
      <w:r>
        <w:t>APA引用格式</w:t>
      </w:r>
    </w:p>
    <w:p>
      <w:r>
        <w:t>Milton, N. (2026). AI-Literacy Load by Occupation: a reproducible map of where knowing AI becomes part of the job. Zenodo. https://doi.org/10.5281/zenodo.20778968</w:t>
      </w:r>
    </w:p>
    <w:p>
      <w:r>
        <w:br w:type="page"/>
      </w:r>
    </w:p>
    <w:p>
      <w:pPr>
        <w:pStyle w:val="Heading2"/>
      </w:pPr>
      <w:r>
        <w:t>5. AI-Literacy Load by Occupation: a reproducible map of where knowing AI becomes part of the job / 按职业划分的AI素养负荷：一张可复现的、显示AI知识在何处成为工作一部分的地图</w:t>
      </w:r>
    </w:p>
    <w:tbl>
      <w:tblPr>
        <w:tblStyle w:val="LightList-Accent1"/>
        <w:tblW w:type="auto" w:w="0"/>
        <w:tblLook w:firstColumn="1" w:firstRow="1" w:lastColumn="0" w:lastRow="0" w:noHBand="0" w:noVBand="1" w:val="04A0"/>
      </w:tblPr>
      <w:tblGrid>
        <w:gridCol w:w="4997"/>
        <w:gridCol w:w="4997"/>
      </w:tblGrid>
      <w:tr>
        <w:tc>
          <w:tcPr>
            <w:tcW w:type="dxa" w:w="4997"/>
          </w:tcPr>
          <w:p>
            <w:r>
              <w:rPr>
                <w:b/>
              </w:rPr>
              <w:t>标题</w:t>
            </w:r>
          </w:p>
        </w:tc>
        <w:tc>
          <w:tcPr>
            <w:tcW w:type="dxa" w:w="4997"/>
          </w:tcPr>
          <w:p>
            <w:r>
              <w:t>AI-Literacy Load by Occupation: a reproducible map of where knowing AI becomes part of the job / 按职业划分的AI素养负荷：一张可复现的、显示AI知识在何处成为工作一部分的地图</w:t>
            </w:r>
          </w:p>
        </w:tc>
      </w:tr>
      <w:tr>
        <w:tc>
          <w:tcPr>
            <w:tcW w:type="dxa" w:w="4997"/>
          </w:tcPr>
          <w:p>
            <w:r>
              <w:rPr>
                <w:b/>
              </w:rPr>
              <w:t>作者</w:t>
            </w:r>
          </w:p>
        </w:tc>
        <w:tc>
          <w:tcPr>
            <w:tcW w:type="dxa" w:w="4997"/>
          </w:tcPr>
          <w:p>
            <w:r>
              <w:t>N Milton</w:t>
            </w:r>
          </w:p>
        </w:tc>
      </w:tr>
      <w:tr>
        <w:tc>
          <w:tcPr>
            <w:tcW w:type="dxa" w:w="4997"/>
          </w:tcPr>
          <w:p>
            <w:r>
              <w:rPr>
                <w:b/>
              </w:rPr>
              <w:t>期刊及影响因子</w:t>
            </w:r>
          </w:p>
        </w:tc>
        <w:tc>
          <w:tcPr>
            <w:tcW w:type="dxa" w:w="4997"/>
          </w:tcPr>
          <w:p>
            <w:r>
              <w:t>未提供影响因子 / 未提供JCR分区</w:t>
            </w:r>
          </w:p>
        </w:tc>
      </w:tr>
      <w:tr>
        <w:tc>
          <w:tcPr>
            <w:tcW w:type="dxa" w:w="4997"/>
          </w:tcPr>
          <w:p>
            <w:r>
              <w:rPr>
                <w:b/>
              </w:rPr>
              <w:t>JIF/影响因子</w:t>
            </w:r>
          </w:p>
        </w:tc>
        <w:tc>
          <w:tcPr>
            <w:tcW w:type="dxa" w:w="4997"/>
          </w:tcPr>
          <w:p>
            <w:r>
              <w:t>白名单未提供</w:t>
            </w:r>
          </w:p>
        </w:tc>
      </w:tr>
      <w:tr>
        <w:tc>
          <w:tcPr>
            <w:tcW w:type="dxa" w:w="4997"/>
          </w:tcPr>
          <w:p>
            <w:r>
              <w:rPr>
                <w:b/>
              </w:rPr>
              <w:t>JCR分区</w:t>
            </w:r>
          </w:p>
        </w:tc>
        <w:tc>
          <w:tcPr>
            <w:tcW w:type="dxa" w:w="4997"/>
          </w:tcPr>
          <w:p>
            <w:r>
              <w:t>白名单未提供</w:t>
            </w:r>
          </w:p>
        </w:tc>
      </w:tr>
      <w:tr>
        <w:tc>
          <w:tcPr>
            <w:tcW w:type="dxa" w:w="4997"/>
          </w:tcPr>
          <w:p>
            <w:r>
              <w:rPr>
                <w:b/>
              </w:rPr>
              <w:t>CiteScore</w:t>
            </w:r>
          </w:p>
        </w:tc>
        <w:tc>
          <w:tcPr>
            <w:tcW w:type="dxa" w:w="4997"/>
          </w:tcPr>
          <w:p>
            <w:r>
              <w:t>白名单未提供</w:t>
            </w:r>
          </w:p>
        </w:tc>
      </w:tr>
      <w:tr>
        <w:tc>
          <w:tcPr>
            <w:tcW w:type="dxa" w:w="4997"/>
          </w:tcPr>
          <w:p>
            <w:r>
              <w:rPr>
                <w:b/>
              </w:rPr>
              <w:t>出版社</w:t>
            </w:r>
          </w:p>
        </w:tc>
        <w:tc>
          <w:tcPr>
            <w:tcW w:type="dxa" w:w="4997"/>
          </w:tcPr>
          <w:p>
            <w:r>
              <w:t>SAGE PUBLICATIONS LTD</w:t>
            </w:r>
          </w:p>
        </w:tc>
      </w:tr>
      <w:tr>
        <w:tc>
          <w:tcPr>
            <w:tcW w:type="dxa" w:w="4997"/>
          </w:tcPr>
          <w:p>
            <w:r>
              <w:rPr>
                <w:b/>
              </w:rPr>
              <w:t>卷期/DOI</w:t>
            </w:r>
          </w:p>
        </w:tc>
        <w:tc>
          <w:tcPr>
            <w:tcW w:type="dxa" w:w="4997"/>
          </w:tcPr>
          <w:p>
            <w:r>
              <w:t>https://doi.org/10.5281/zenodo.21192428</w:t>
            </w:r>
          </w:p>
        </w:tc>
      </w:tr>
      <w:tr>
        <w:tc>
          <w:tcPr>
            <w:tcW w:type="dxa" w:w="4997"/>
          </w:tcPr>
          <w:p>
            <w:r>
              <w:rPr>
                <w:b/>
              </w:rPr>
              <w:t>在线发表时间</w:t>
            </w:r>
          </w:p>
        </w:tc>
        <w:tc>
          <w:tcPr>
            <w:tcW w:type="dxa" w:w="4997"/>
          </w:tcPr>
          <w:p>
            <w:r>
              <w:t>2026-07-04</w:t>
            </w:r>
          </w:p>
        </w:tc>
      </w:tr>
      <w:tr>
        <w:tc>
          <w:tcPr>
            <w:tcW w:type="dxa" w:w="4997"/>
          </w:tcPr>
          <w:p>
            <w:r>
              <w:rPr>
                <w:b/>
              </w:rPr>
              <w:t>SSCI分类</w:t>
            </w:r>
          </w:p>
        </w:tc>
        <w:tc>
          <w:tcPr>
            <w:tcW w:type="dxa" w:w="4997"/>
          </w:tcPr>
          <w:p>
            <w:r>
              <w:t>Management</w:t>
            </w:r>
          </w:p>
        </w:tc>
      </w:tr>
      <w:tr>
        <w:tc>
          <w:tcPr>
            <w:tcW w:type="dxa" w:w="4997"/>
          </w:tcPr>
          <w:p>
            <w:r>
              <w:rPr>
                <w:b/>
              </w:rPr>
              <w:t>论文链接</w:t>
            </w:r>
          </w:p>
        </w:tc>
        <w:tc>
          <w:tcPr>
            <w:tcW w:type="dxa" w:w="4997"/>
          </w:tcPr>
          <w:p>
            <w:hyperlink r:id="rId13">
              <w:r>
                <w:rPr>
                  <w:color w:val="0563C1"/>
                  <w:u w:val="single"/>
                </w:rPr>
                <w:t>https://doi.org/10.5281/zenodo.21192428</w:t>
              </w:r>
            </w:hyperlink>
          </w:p>
        </w:tc>
      </w:tr>
    </w:tbl>
    <w:p>
      <w:pPr>
        <w:pStyle w:val="Heading3"/>
      </w:pPr>
      <w:r>
        <w:t>研究摘要</w:t>
      </w:r>
    </w:p>
    <w:p>
      <w:r>
        <w:t>一项可复现的职业AI素养负荷地图，基于公开的Anthropic Economic Index（AEI第5版）与O*NET 29.3职业分类数据，通过交叉两个输入指标（每个职业的AI使用渗透率——AI已涉及的工作比例，以及增强/自动化组合——AI接触的类型）构建。交叉结果形成2×2矩阵：生产性素养负荷（高渗透、增强主导：为杠杆而学习）与防御性素养负荷（高渗透、自动化主导：为保持参与而学习）。该指数保持简洁并附有原始输入，供读者重建和质疑。主要发现（按渗透率加权，仅Claude使用数据）：在146个有可测量Claude.ai使用量的职业中，114个为自动化主导，32个为增强主导。通过开发者API自动化相同任务的比例远高于消费者网页端（67.2%对42.2%），这是工作工业化最清晰的信号。软件、编辑和行政角色属于防御性负荷；辅导、教学和分析保持增强主导。附录给出八种简明且失效模式的AI素养原语（训练截止、非确定性、压缩、模型层级、实时搜索和验证）。该研究将人类-AI共存研究议程部分操作化，并在增强/自动化轴上得到斯坦福“煤矿中的金丝雀”研究（2025）的独立验证。论文附带两个零依赖Python脚本、开放输入指针和所有输出表格（包括任务删除透明度文件）。利益冲突：整个数据集由Anthropic发布并测量Anthropic自己的模型（Claude），辅助AI模型也由Anthropic制作。所有数据仅限Claude使用，不涵盖所有AI；论文以自动化数字为首并全程标注。CC BY 4.0。ORCID 0009-0003-4213-7769。</w:t>
      </w:r>
    </w:p>
    <w:p>
      <w:pPr>
        <w:pStyle w:val="Heading3"/>
      </w:pPr>
      <w:r>
        <w:t>研究主要内容</w:t>
      </w:r>
    </w:p>
    <w:p>
      <w:r>
        <w:t>论文利用Anthropic Economic Index（AEI第5版）和O*NET 29.3职业分类的公开数据，构建了一个可复现的职业AI素养负荷地图。通过计算每个职业的AI使用渗透率（AI已涉及的工作比例）和增强/自动化混合指标（AI接触的类型），将职业分为生产性素养负荷（高渗透且增强主导）和防御性素养负荷（高渗透且自动化主导）。研究提供了Python脚本和开放数据，确保可复现性。附录给出了八种AI素养原语，并讨论了研究局限（仅基于Claude使用数据）。</w:t>
      </w:r>
    </w:p>
    <w:p>
      <w:pPr>
        <w:pStyle w:val="Heading3"/>
      </w:pPr>
      <w:r>
        <w:t>研究论点</w:t>
      </w:r>
    </w:p>
    <w:p>
      <w:r>
        <w:t>不同职业对AI素养的需求存在系统性差异，可通过AI使用渗透率和增强/自动化混合两个维度进行量化分类，从而区分哪些职业需要学习AI作为杠杆（生产性负荷）与哪些需要仅为了保持参与而学习AI（防御性负荷）。</w:t>
      </w:r>
    </w:p>
    <w:p>
      <w:pPr>
        <w:pStyle w:val="Heading3"/>
      </w:pPr>
      <w:r>
        <w:t>研究问题</w:t>
      </w:r>
    </w:p>
    <w:p>
      <w:r>
        <w:t>不同职业在AI使用渗透率和增强/自动化组合上的分布如何？哪些职业属于生产性AI素养负荷（增强主导）？哪些属于防御性AI素养负荷（自动化主导）？</w:t>
      </w:r>
    </w:p>
    <w:p>
      <w:pPr>
        <w:pStyle w:val="Heading3"/>
      </w:pPr>
      <w:r>
        <w:t>研究方法</w:t>
      </w:r>
    </w:p>
    <w:p>
      <w:r>
        <w:t>定量研究。使用公开数据集：Anthropic Economic Index（AEI第5版）和O*NET 29.3职业分类。每个职业测量两个输入指标：AI使用渗透率（AI已涉及的工作比例）和增强/自动化混合指标（增强占比 vs 自动化占比）。通过交叉这两个指标构建2×2矩阵，区分生产性素养负荷和防御性素养负荷。数据来源仅限Claude使用数据，不覆盖所有AI。分析方法包括渗透率加权描述性统计和两轴交叉分类。研究附带两个零依赖Python脚本和所有输出表格，确保可复现。</w:t>
      </w:r>
    </w:p>
    <w:p>
      <w:pPr>
        <w:pStyle w:val="Heading3"/>
      </w:pPr>
      <w:r>
        <w:t>主要发现</w:t>
      </w:r>
    </w:p>
    <w:p>
      <w:r>
        <w:t>['在146个有可测量Claude.ai使用量的职业中，114个（78.1%）为自动化主导，32个（21.9%）为增强主导。', '通过开发者API自动化相同任务的比例（67.2%）显著高于消费者网页端（42.2%），表明API接口是工作工业化的主要渠道。', '软件、编辑和行政角色属于防御性素养负荷（高渗透、自动化主导）；辅导、教学和分析角色保持增强主导（高渗透、增强主导），即这些职业的从业者需要学习AI以提升工作杠杆。']</w:t>
      </w:r>
    </w:p>
    <w:p>
      <w:pPr>
        <w:pStyle w:val="Heading3"/>
      </w:pPr>
      <w:r>
        <w:t>对教师教育研究的启示</w:t>
      </w:r>
    </w:p>
    <w:p>
      <w:r>
        <w:t>研究发现教学（包括辅导、培训）职业属于增强主导型，意味着教师在AI时代需要学习AI素养以提升教学效能（杠杆作用），而非仅被动防御。对教师教育研究的启示：（1）研究设计方面，可采用类似的双轴交叉分类法（AI渗透率×增强/自动化混合）来定位不同教师角色的AI素养需求；（2）数据收集方面，可借鉴公开的职业分类（如O*NET）和AI平台使用日志（如Claude等）的间接数据，避免依赖自我报告；（3）分析方法方面，渗透率加权和分类矩阵可帮助识别教师教育中应优先培养的AI素养类型（增强型 vs 防御型）。</w:t>
      </w:r>
    </w:p>
    <w:p>
      <w:pPr>
        <w:pStyle w:val="Heading3"/>
      </w:pPr>
      <w:r>
        <w:t>APA引用格式</w:t>
      </w:r>
    </w:p>
    <w:p>
      <w:r>
        <w:t>Milton, N. (2026). AI-Literacy Load by Occupation: a reproducible map of where knowing AI becomes part of the job. Zenodo. https://doi.org/10.5281/zenodo.21192428</w:t>
      </w:r>
    </w:p>
    <w:p>
      <w:pPr>
        <w:pStyle w:val="Heading1"/>
      </w:pPr>
      <w:r>
        <w:t>运行统计</w:t>
      </w:r>
    </w:p>
    <w:tbl>
      <w:tblPr>
        <w:tblStyle w:val="LightShading-Accent1"/>
        <w:tblW w:type="auto" w:w="0"/>
        <w:tblLook w:firstColumn="1" w:firstRow="1" w:lastColumn="0" w:lastRow="0" w:noHBand="0" w:noVBand="1" w:val="04A0"/>
      </w:tblPr>
      <w:tblGrid>
        <w:gridCol w:w="4997"/>
        <w:gridCol w:w="4997"/>
      </w:tblGrid>
      <w:tr>
        <w:tc>
          <w:tcPr>
            <w:tcW w:type="dxa" w:w="4997"/>
          </w:tcPr>
          <w:p>
            <w:r>
              <w:rPr>
                <w:b/>
              </w:rPr>
              <w:t>检索数量</w:t>
            </w:r>
          </w:p>
        </w:tc>
        <w:tc>
          <w:tcPr>
            <w:tcW w:type="dxa" w:w="4997"/>
          </w:tcPr>
          <w:p>
            <w:r>
              <w:t>750</w:t>
            </w:r>
          </w:p>
        </w:tc>
      </w:tr>
      <w:tr>
        <w:tc>
          <w:tcPr>
            <w:tcW w:type="dxa" w:w="4997"/>
          </w:tcPr>
          <w:p>
            <w:r>
              <w:rPr>
                <w:b/>
              </w:rPr>
              <w:t>筛选数量</w:t>
            </w:r>
          </w:p>
        </w:tc>
        <w:tc>
          <w:tcPr>
            <w:tcW w:type="dxa" w:w="4997"/>
          </w:tcPr>
          <w:p>
            <w:r>
              <w:t>5</w:t>
            </w:r>
          </w:p>
        </w:tc>
      </w:tr>
      <w:tr>
        <w:tc>
          <w:tcPr>
            <w:tcW w:type="dxa" w:w="4997"/>
          </w:tcPr>
          <w:p>
            <w:r>
              <w:rPr>
                <w:b/>
              </w:rPr>
              <w:t>AI成功数量</w:t>
            </w:r>
          </w:p>
        </w:tc>
        <w:tc>
          <w:tcPr>
            <w:tcW w:type="dxa" w:w="4997"/>
          </w:tcPr>
          <w:p>
            <w:r>
              <w:t>5</w:t>
            </w:r>
          </w:p>
        </w:tc>
      </w:tr>
      <w:tr>
        <w:tc>
          <w:tcPr>
            <w:tcW w:type="dxa" w:w="4997"/>
          </w:tcPr>
          <w:p>
            <w:r>
              <w:rPr>
                <w:b/>
              </w:rPr>
              <w:t>失败数量</w:t>
            </w:r>
          </w:p>
        </w:tc>
        <w:tc>
          <w:tcPr>
            <w:tcW w:type="dxa" w:w="4997"/>
          </w:tcPr>
          <w:p>
            <w:r>
              <w:t>0</w:t>
            </w:r>
          </w:p>
        </w:tc>
      </w:tr>
      <w:tr>
        <w:tc>
          <w:tcPr>
            <w:tcW w:type="dxa" w:w="4997"/>
          </w:tcPr>
          <w:p>
            <w:r>
              <w:rPr>
                <w:b/>
              </w:rPr>
              <w:t>API耗时</w:t>
            </w:r>
          </w:p>
        </w:tc>
        <w:tc>
          <w:tcPr>
            <w:tcW w:type="dxa" w:w="4997"/>
          </w:tcPr>
          <w:p>
            <w:r>
              <w:t>86.67 秒</w:t>
            </w:r>
          </w:p>
        </w:tc>
      </w:tr>
    </w:tbl>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5496"/>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F5D9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7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F549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3390/su18136882" TargetMode="External"/><Relationship Id="rId10" Type="http://schemas.openxmlformats.org/officeDocument/2006/relationships/hyperlink" Target="https://doi.org/10.1515/jccall-2025-0032" TargetMode="External"/><Relationship Id="rId11" Type="http://schemas.openxmlformats.org/officeDocument/2006/relationships/hyperlink" Target="https://doi.org/10.62051/ajmse.v1n4.01" TargetMode="External"/><Relationship Id="rId12" Type="http://schemas.openxmlformats.org/officeDocument/2006/relationships/hyperlink" Target="https://doi.org/10.5281/zenodo.20778968" TargetMode="External"/><Relationship Id="rId13" Type="http://schemas.openxmlformats.org/officeDocument/2006/relationships/hyperlink" Target="https://doi.org/10.5281/zenodo.211924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