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每日SSCI文献简报｜2026-07-16</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2026-07-16 09:23:46（北京时间）</w:t>
            </w:r>
          </w:p>
        </w:tc>
      </w:tr>
      <w:tr>
        <w:tc>
          <w:tcPr>
            <w:tcW w:type="dxa" w:w="4997"/>
          </w:tcPr>
          <w:p>
            <w:r>
              <w:rPr>
                <w:b/>
              </w:rPr>
              <w:t>检索窗口</w:t>
            </w:r>
          </w:p>
        </w:tc>
        <w:tc>
          <w:tcPr>
            <w:tcW w:type="dxa" w:w="4997"/>
          </w:tcPr>
          <w:p>
            <w:r>
              <w:t>2023-07-17 — 2026-07-16</w:t>
            </w:r>
          </w:p>
        </w:tc>
      </w:tr>
      <w:tr>
        <w:tc>
          <w:tcPr>
            <w:tcW w:type="dxa" w:w="4997"/>
          </w:tcPr>
          <w:p>
            <w:r>
              <w:rPr>
                <w:b/>
              </w:rPr>
              <w:t>检索与筛选</w:t>
            </w:r>
          </w:p>
        </w:tc>
        <w:tc>
          <w:tcPr>
            <w:tcW w:type="dxa" w:w="4997"/>
          </w:tcPr>
          <w:p>
            <w:r>
              <w:t>检索 750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今日文献聚焦“AI素养培养”，尤其是职前教师群体。方法上涵盖结构方程模型、定性比较分析及课堂戏剧等创新范式。研究趋势强调心理准备、经验与数字能力的中介作用，并探索基于TAM-IDT模型的差异化路径，其性别平等视角与多元化培养策略对国内师范教育数字化转型具有直接参考价值。</w:t>
      </w:r>
    </w:p>
    <w:p>
      <w:pPr>
        <w:pStyle w:val="Heading1"/>
      </w:pPr>
      <w:r>
        <w:t>目录</w:t>
      </w:r>
    </w:p>
    <w:p>
      <w:pPr>
        <w:pStyle w:val="ListNumber"/>
      </w:pPr>
      <w:r>
        <w:rPr>
          <w:b/>
        </w:rPr>
        <w:t>基于TAM-IDT整合模型的职前教师AI素养可持续培养路径探究</w:t>
      </w:r>
      <w:r>
        <w:t>｜Sustainability｜2026-07-14</w:t>
      </w:r>
    </w:p>
    <w:p>
      <w:pPr>
        <w:pStyle w:val="ListNumber"/>
      </w:pPr>
      <w:r>
        <w:rPr>
          <w:b/>
        </w:rPr>
        <w:t>土耳其英语职前教师对生成式人工智能融入英语教师教育的看法：益处、挑战与未来方向</w:t>
      </w:r>
      <w:r>
        <w:t>｜Asian-Pacific Journal of Second and Foreign Language Education｜2026-07-16</w:t>
      </w:r>
    </w:p>
    <w:p>
      <w:pPr>
        <w:pStyle w:val="ListNumber"/>
      </w:pPr>
      <w:r>
        <w:rPr>
          <w:b/>
        </w:rPr>
        <w:t>课堂戏剧作为叙事文本：向职前教师介绍塞索托语和祖鲁语中的人工智能相关词汇</w:t>
      </w:r>
      <w:r>
        <w:t>｜African Journal of Teacher Education and Development｜2026-07-16</w:t>
      </w:r>
    </w:p>
    <w:p>
      <w:pPr>
        <w:pStyle w:val="ListNumber"/>
      </w:pPr>
      <w:r>
        <w:rPr>
          <w:b/>
        </w:rPr>
        <w:t>弥合心灵与机器：心理准备、经验与数字能力在人工智能素养发展中的作用</w:t>
      </w:r>
      <w:r>
        <w:t>｜The Electronic Library｜2026-07-16</w:t>
      </w:r>
    </w:p>
    <w:p>
      <w:pPr>
        <w:pStyle w:val="ListNumber"/>
      </w:pPr>
      <w:r>
        <w:rPr>
          <w:b/>
        </w:rPr>
        <w:t>加勒比地区人工智能素养教育调查研究</w:t>
      </w:r>
      <w:r>
        <w:t>｜Caribbean Educational Research Journal｜2026-07-16</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Exploring the Sustainable Cultivation Pathways of Pre-Service Teachers’ AI Literacy Based on the TAM-IDT Integrated Model / 基于TAM-IDT整合模型的职前教师AI素养可持续培养路径探究</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Exploring the Sustainable Cultivation Pathways of Pre-Service Teachers’ AI Literacy Based on the TAM-IDT Integrated Model / 基于TAM-IDT整合模型的职前教师AI素养可持续培养路径探究</w:t>
            </w:r>
          </w:p>
        </w:tc>
      </w:tr>
      <w:tr>
        <w:tc>
          <w:tcPr>
            <w:tcW w:type="dxa" w:w="4997"/>
          </w:tcPr>
          <w:p>
            <w:r>
              <w:rPr>
                <w:b/>
              </w:rPr>
              <w:t>作者</w:t>
            </w:r>
          </w:p>
        </w:tc>
        <w:tc>
          <w:tcPr>
            <w:tcW w:type="dxa" w:w="4997"/>
          </w:tcPr>
          <w:p>
            <w:r>
              <w:t>Shuai Cao, Yanlin Zheng</w:t>
            </w:r>
          </w:p>
        </w:tc>
      </w:tr>
      <w:tr>
        <w:tc>
          <w:tcPr>
            <w:tcW w:type="dxa" w:w="4997"/>
          </w:tcPr>
          <w:p>
            <w:r>
              <w:rPr>
                <w:b/>
              </w:rPr>
              <w:t>期刊及影响因子</w:t>
            </w:r>
          </w:p>
        </w:tc>
        <w:tc>
          <w:tcPr>
            <w:tcW w:type="dxa" w:w="4997"/>
          </w:tcPr>
          <w:p>
            <w:r>
              <w:t>未提供影响因子和JCR分区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MDPI AG, Grosspeteranlage 5, BASEL, Switzerland, CH-4052</w:t>
            </w:r>
          </w:p>
        </w:tc>
      </w:tr>
      <w:tr>
        <w:tc>
          <w:tcPr>
            <w:tcW w:type="dxa" w:w="4997"/>
          </w:tcPr>
          <w:p>
            <w:r>
              <w:rPr>
                <w:b/>
              </w:rPr>
              <w:t>卷期/DOI</w:t>
            </w:r>
          </w:p>
        </w:tc>
        <w:tc>
          <w:tcPr>
            <w:tcW w:type="dxa" w:w="4997"/>
          </w:tcPr>
          <w:p>
            <w:r>
              <w:t>卷期未说明; doi:10.3390/su18147206</w:t>
            </w:r>
          </w:p>
        </w:tc>
      </w:tr>
      <w:tr>
        <w:tc>
          <w:tcPr>
            <w:tcW w:type="dxa" w:w="4997"/>
          </w:tcPr>
          <w:p>
            <w:r>
              <w:rPr>
                <w:b/>
              </w:rPr>
              <w:t>在线发表时间</w:t>
            </w:r>
          </w:p>
        </w:tc>
        <w:tc>
          <w:tcPr>
            <w:tcW w:type="dxa" w:w="4997"/>
          </w:tcPr>
          <w:p>
            <w:r>
              <w:t>2026-07-14</w:t>
            </w:r>
          </w:p>
        </w:tc>
      </w:tr>
      <w:tr>
        <w:tc>
          <w:tcPr>
            <w:tcW w:type="dxa" w:w="4997"/>
          </w:tcPr>
          <w:p>
            <w:r>
              <w:rPr>
                <w:b/>
              </w:rPr>
              <w:t>SSCI分类</w:t>
            </w:r>
          </w:p>
        </w:tc>
        <w:tc>
          <w:tcPr>
            <w:tcW w:type="dxa" w:w="4997"/>
          </w:tcPr>
          <w:p>
            <w:r>
              <w:t>Education &amp; Educational Research；Green &amp; Sustainable Science &amp; Technology</w:t>
            </w:r>
          </w:p>
        </w:tc>
      </w:tr>
      <w:tr>
        <w:tc>
          <w:tcPr>
            <w:tcW w:type="dxa" w:w="4997"/>
          </w:tcPr>
          <w:p>
            <w:r>
              <w:rPr>
                <w:b/>
              </w:rPr>
              <w:t>论文链接</w:t>
            </w:r>
          </w:p>
        </w:tc>
        <w:tc>
          <w:tcPr>
            <w:tcW w:type="dxa" w:w="4997"/>
          </w:tcPr>
          <w:p>
            <w:hyperlink r:id="rId9">
              <w:r>
                <w:rPr>
                  <w:color w:val="0563C1"/>
                  <w:u w:val="single"/>
                </w:rPr>
                <w:t>https://doi.org/10.3390/su18147206</w:t>
              </w:r>
            </w:hyperlink>
          </w:p>
        </w:tc>
      </w:tr>
    </w:tbl>
    <w:p>
      <w:pPr>
        <w:pStyle w:val="Heading3"/>
      </w:pPr>
      <w:r>
        <w:t>研究摘要</w:t>
      </w:r>
    </w:p>
    <w:p>
      <w:r>
        <w:t>随着人工智能技术深度融入教育，AI素养已成为职前教师不可或缺的核心能力。然而，其形成机制及可持续培养路径仍有待深入探索。本研究整合技术接受模型（TAM）与创新扩散理论（IDT），构建了一个理论模型，其中个体创新性（II）和自我效能（SE）作为前因，感知有用性（PU）和感知易用性（PEOU）作为中介，行为意向（BI）作为近端变量，AI素养作为结果变量，性别和专业作为调节变量，年级和AI接触时间作为控制变量，探索职前教师AI素养的影响因素及机制。通过对778名职前教师的问卷调查，采用偏最小二乘结构方程模型（PLS-SEM）和模糊集定性比较分析（fsQCA）进行顺序实证分析。PLS-SEM结果表明，II和SE通过PU、PEOU和BI的串行中介与AI素养呈显著正向关联。fsQCA进一步识别出四种与高AI素养相关的等效配置路径：“高效能实践导向型”、“高行为意向导向型”、“高创新性导向型”和“长期发展导向型”。研究表明，职前教师AI素养的提升遵循多种等效机制，需超越单一培训思维。据此，本研究提出差异化培养路径，为师范院校实施有针对性且可持续的AI素养培训提供了理论基础和实践参考；同时也为SDG 4中关于教师能力建设和教育数字化转型的子目标（确保包容和公平的优质教育，促进全民终身学习机会）提供了实证证据和战略支持。</w:t>
      </w:r>
    </w:p>
    <w:p>
      <w:pPr>
        <w:pStyle w:val="Heading3"/>
      </w:pPr>
      <w:r>
        <w:t>研究主要内容</w:t>
      </w:r>
    </w:p>
    <w:p>
      <w:r>
        <w:t>本研究整合技术接受模型（TAM）与创新扩散理论（IDT），构建了职前教师AI素养影响机制的理论模型。通过对778名职前教师进行问卷调查，采用偏最小二乘结构方程模型（PLS-SEM）和模糊集定性比较分析（fsQCA）进行顺序实证分析，揭示了AI素养的影响因素及多条等效培养路径。</w:t>
      </w:r>
    </w:p>
    <w:p>
      <w:pPr>
        <w:pStyle w:val="Heading3"/>
      </w:pPr>
      <w:r>
        <w:t>研究论点</w:t>
      </w:r>
    </w:p>
    <w:p>
      <w:r>
        <w:t>职前教师AI素养的提升遵循多种等效机制，需超越单一培训思维，提出差异化培养路径，从而为师范院校提供可持续性培训的理论基础与实践参考。</w:t>
      </w:r>
    </w:p>
    <w:p>
      <w:pPr>
        <w:pStyle w:val="Heading3"/>
      </w:pPr>
      <w:r>
        <w:t>研究问题</w:t>
      </w:r>
    </w:p>
    <w:p>
      <w:r>
        <w:t>探索职前教师AI素养的影响因素及其形成机制，并识别可持续培养的差异化路径。</w:t>
      </w:r>
    </w:p>
    <w:p>
      <w:pPr>
        <w:pStyle w:val="Heading3"/>
      </w:pPr>
      <w:r>
        <w:t>研究方法</w:t>
      </w:r>
    </w:p>
    <w:p>
      <w:r>
        <w:t>{'study_type': '混合研究（定量为主，辅以定性比较分析）', 'participants': '778名职前教师', 'data_source': '问卷调查', 'analysis_methods': '偏最小二乘结构方程模型（PLS-SEM）和模糊集定性比较分析（fsQCA）；摘要未说明问卷具体条目、量表信效度、样本抽样方式等细节'}</w:t>
      </w:r>
    </w:p>
    <w:p>
      <w:pPr>
        <w:pStyle w:val="Heading3"/>
      </w:pPr>
      <w:r>
        <w:t>主要发现</w:t>
      </w:r>
    </w:p>
    <w:p>
      <w:r>
        <w:t>['个体创新性（II）和自我效能（SE）通过感知有用性（PU）、感知易用性（PEOU）和行为意向（BI）的串行中介与AI素养呈显著正向关联。', '模糊集定性比较分析识别出四种与高AI素养相关的等效配置路径：“高效能实践导向型”、“高行为意向导向型”、“高创新性导向型”和“长期发展导向型”。', '摘要未说明性别、专业等调节变量的具体调节效应，以及年级、AI接触时间等控制变量的具体影响结果。']</w:t>
      </w:r>
    </w:p>
    <w:p>
      <w:pPr>
        <w:pStyle w:val="Heading3"/>
      </w:pPr>
      <w:r>
        <w:t>对教师教育研究的启示</w:t>
      </w:r>
    </w:p>
    <w:p>
      <w:r>
        <w:t>本研究为教师教育领域的AI素养研究提供了理论模型（整合TAM与IDT）和实证分析方法（PLS-SEM与fsQCA的组合），展示了如何将量化路径分析与质性的配置视角结合，以探索复杂素养的多因等效机制。研究者可借鉴该研究设计，在教师教育其他素养（如数据素养、智能素养）的研究中，采用问卷调查与混合分析策略，识别不同教师群体的差异化培养路径。同时，研究结论支持师范院校设计分层、可持续的培训课程，而非单一的集中培训。</w:t>
      </w:r>
    </w:p>
    <w:p>
      <w:pPr>
        <w:pStyle w:val="Heading3"/>
      </w:pPr>
      <w:r>
        <w:t>APA引用格式</w:t>
      </w:r>
    </w:p>
    <w:p>
      <w:r>
        <w:t>Cao, S., &amp; Zheng, Y. (2026). Exploring the sustainable cultivation pathways of pre-service teachers’ AI literacy based on the TAM-IDT integrated model. Sustainability. https://doi.org/10.3390/su18147206</w:t>
      </w:r>
    </w:p>
    <w:p>
      <w:r>
        <w:br w:type="page"/>
      </w:r>
    </w:p>
    <w:p>
      <w:pPr>
        <w:pStyle w:val="Heading2"/>
      </w:pPr>
      <w:r>
        <w:t>2. An exploration of Turkish EFL pre-service Teachers' perceptions on the integration of generative AI in English language Teacher Education: benefits, challenges, and future directions / 土耳其英语职前教师对生成式人工智能融入英语教师教育的看法：益处、挑战与未来方向</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An exploration of Turkish EFL pre-service Teachers' perceptions on the integration of generative AI in English language Teacher Education: benefits, challenges, and future directions / 土耳其英语职前教师对生成式人工智能融入英语教师教育的看法：益处、挑战与未来方向</w:t>
            </w:r>
          </w:p>
        </w:tc>
      </w:tr>
      <w:tr>
        <w:tc>
          <w:tcPr>
            <w:tcW w:type="dxa" w:w="4997"/>
          </w:tcPr>
          <w:p>
            <w:r>
              <w:rPr>
                <w:b/>
              </w:rPr>
              <w:t>作者</w:t>
            </w:r>
          </w:p>
        </w:tc>
        <w:tc>
          <w:tcPr>
            <w:tcW w:type="dxa" w:w="4997"/>
          </w:tcPr>
          <w:p>
            <w:r>
              <w:t>Meltem Eşki, Nurullah Eryılmaz</w:t>
            </w:r>
          </w:p>
        </w:tc>
      </w:tr>
      <w:tr>
        <w:tc>
          <w:tcPr>
            <w:tcW w:type="dxa" w:w="4997"/>
          </w:tcPr>
          <w:p>
            <w:r>
              <w:rPr>
                <w:b/>
              </w:rPr>
              <w:t>期刊及影响因子</w:t>
            </w:r>
          </w:p>
        </w:tc>
        <w:tc>
          <w:tcPr>
            <w:tcW w:type="dxa" w:w="4997"/>
          </w:tcPr>
          <w:p>
            <w:r>
              <w:t>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ROUTLEDGE JOURNALS, TAYLOR &amp; FRANCIS LTD</w:t>
            </w:r>
          </w:p>
        </w:tc>
      </w:tr>
      <w:tr>
        <w:tc>
          <w:tcPr>
            <w:tcW w:type="dxa" w:w="4997"/>
          </w:tcPr>
          <w:p>
            <w:r>
              <w:rPr>
                <w:b/>
              </w:rPr>
              <w:t>卷期/DOI</w:t>
            </w:r>
          </w:p>
        </w:tc>
        <w:tc>
          <w:tcPr>
            <w:tcW w:type="dxa" w:w="4997"/>
          </w:tcPr>
          <w:p>
            <w:r>
              <w:t>DOI: 10.1186/s40862-026-00420-w</w:t>
            </w:r>
          </w:p>
        </w:tc>
      </w:tr>
      <w:tr>
        <w:tc>
          <w:tcPr>
            <w:tcW w:type="dxa" w:w="4997"/>
          </w:tcPr>
          <w:p>
            <w:r>
              <w:rPr>
                <w:b/>
              </w:rPr>
              <w:t>在线发表时间</w:t>
            </w:r>
          </w:p>
        </w:tc>
        <w:tc>
          <w:tcPr>
            <w:tcW w:type="dxa" w:w="4997"/>
          </w:tcPr>
          <w:p>
            <w:r>
              <w:t>2026-07-16</w:t>
            </w:r>
          </w:p>
        </w:tc>
      </w:tr>
      <w:tr>
        <w:tc>
          <w:tcPr>
            <w:tcW w:type="dxa" w:w="4997"/>
          </w:tcPr>
          <w:p>
            <w:r>
              <w:rPr>
                <w:b/>
              </w:rPr>
              <w:t>SSCI分类</w:t>
            </w:r>
          </w:p>
        </w:tc>
        <w:tc>
          <w:tcPr>
            <w:tcW w:type="dxa" w:w="4997"/>
          </w:tcPr>
          <w:p>
            <w:r>
              <w:t>Education &amp; Educational Research；Linguistics</w:t>
            </w:r>
          </w:p>
        </w:tc>
      </w:tr>
      <w:tr>
        <w:tc>
          <w:tcPr>
            <w:tcW w:type="dxa" w:w="4997"/>
          </w:tcPr>
          <w:p>
            <w:r>
              <w:rPr>
                <w:b/>
              </w:rPr>
              <w:t>论文链接</w:t>
            </w:r>
          </w:p>
        </w:tc>
        <w:tc>
          <w:tcPr>
            <w:tcW w:type="dxa" w:w="4997"/>
          </w:tcPr>
          <w:p>
            <w:hyperlink r:id="rId10">
              <w:r>
                <w:rPr>
                  <w:color w:val="0563C1"/>
                  <w:u w:val="single"/>
                </w:rPr>
                <w:t>https://doi.org/10.1186/s40862-026-00420-w</w:t>
              </w:r>
            </w:hyperlink>
          </w:p>
        </w:tc>
      </w:tr>
    </w:tbl>
    <w:p>
      <w:pPr>
        <w:pStyle w:val="Heading3"/>
      </w:pPr>
      <w:r>
        <w:t>研究摘要</w:t>
      </w:r>
    </w:p>
    <w:p>
      <w:r>
        <w:t>本研究探讨了土耳其英语作为外语（EFL）职前教师对生成式人工智能（GenAI）融入英语教师教育的看法。采用定量研究设计，数据收集自150名职前教师，调查了他们对AI技术的意识、对语言学习影响的感知以及将AI作为教学工具的接受度。研究结果提供了职前教师在教育环境中如何接触AI的细致理解，并强调了在教师教育项目中需要深思熟虑地将GenAI工具进行教学整合。研究突出了结构化、反思性初始教师教育的重要性，该教育需同时解决课堂中AI使用的技术可行性和伦理影响。研究还强调了AI采纳中的性别平等，表明男性和女性职前教师在AI技术参与度上相似。此外，结果显示了AI参与中的性别均等，表明男性和女性参与者对AI的采纳是公平的。本研究为倡导教育中包容和负责任技术整合的不断增长的文献做出了贡献。</w:t>
      </w:r>
    </w:p>
    <w:p>
      <w:pPr>
        <w:pStyle w:val="Heading3"/>
      </w:pPr>
      <w:r>
        <w:t>研究主要内容</w:t>
      </w:r>
    </w:p>
    <w:p>
      <w:r>
        <w:t>论文探讨了生成式人工智能（GenAI）在土耳其英语教师教育中的整合，重点关注职前教师的感知、益处和挑战。</w:t>
      </w:r>
    </w:p>
    <w:p>
      <w:pPr>
        <w:pStyle w:val="Heading3"/>
      </w:pPr>
      <w:r>
        <w:t>研究论点</w:t>
      </w:r>
    </w:p>
    <w:p>
      <w:r>
        <w:t>职前教师普遍对GenAI持积极态度，但需要结构化、反思性的初始教师教育来应对技术伦理和教学整合问题；AI采纳在性别上呈现均等趋势。</w:t>
      </w:r>
    </w:p>
    <w:p>
      <w:pPr>
        <w:pStyle w:val="Heading3"/>
      </w:pPr>
      <w:r>
        <w:t>研究问题</w:t>
      </w:r>
    </w:p>
    <w:p>
      <w:r>
        <w:t>土耳其英语职前教师对生成式人工智能融入英语教师教育的感知如何？具体包括其对AI技术的意识、对语言学习影响的感知以及将AI作为教学工具的接受度。</w:t>
      </w:r>
    </w:p>
    <w:p>
      <w:pPr>
        <w:pStyle w:val="Heading3"/>
      </w:pPr>
      <w:r>
        <w:t>研究方法</w:t>
      </w:r>
    </w:p>
    <w:p>
      <w:r>
        <w:t>{'research_type': '定量研究', 'sample_participants': '150名土耳其英语作为外语（EFL）职前教师', 'data_collection': '摘要未说明具体工具（如问卷、量表等）', 'analysis_method': '摘要未说明具体统计方法（如描述性统计、t检验、ANOVA等）'}</w:t>
      </w:r>
    </w:p>
    <w:p>
      <w:pPr>
        <w:pStyle w:val="Heading3"/>
      </w:pPr>
      <w:r>
        <w:t>主要发现</w:t>
      </w:r>
    </w:p>
    <w:p>
      <w:r>
        <w:t>['职前教师对AI技术有基本意识，并感知到GenAI对语言学习的积极影响。', '职前教师普遍接受将AI作为教学工具，但强调需要反思性整合。', '男性和女性职前教师在AI技术参与度上无显著差异，呈现性别平等。']</w:t>
      </w:r>
    </w:p>
    <w:p>
      <w:pPr>
        <w:pStyle w:val="Heading3"/>
      </w:pPr>
      <w:r>
        <w:t>对教师教育研究的启示</w:t>
      </w:r>
    </w:p>
    <w:p>
      <w:r>
        <w:t>本研究为教师教育研究提供了定量研究设计的范例（150名样本），启示后续研究可补充数据收集工具和分析细节。研究发现强调了在初始教师教育中纳入结构化、反思性的AI整合模块，兼顾技术伦理与教学实践。同时，性别平等的发现提示研究者在设计AI相关课程时无需特别区分性别。建议未来研究可探索不同背景（如年级、地区）对AI感知的影响。</w:t>
      </w:r>
    </w:p>
    <w:p>
      <w:pPr>
        <w:pStyle w:val="Heading3"/>
      </w:pPr>
      <w:r>
        <w:t>APA引用格式</w:t>
      </w:r>
    </w:p>
    <w:p>
      <w:r>
        <w:t>Eşki, M., &amp; Eryılmaz, N. (2026). An exploration of Turkish EFL pre-service teachers' perceptions on the integration of generative AI in English language teacher education: benefits, challenges, and future directions. Asian-Pacific Journal of Second and Foreign Language Education. https://doi.org/10.1186/s40862-026-00420-w</w:t>
      </w:r>
    </w:p>
    <w:p>
      <w:r>
        <w:br w:type="page"/>
      </w:r>
    </w:p>
    <w:p>
      <w:pPr>
        <w:pStyle w:val="Heading2"/>
      </w:pPr>
      <w:r>
        <w:t>3. Classroom plays as narrative texts that introduce preservice teachers to artificial intelligence-related vocabulary in Sesotho and isiZulu / 课堂戏剧作为叙事文本：向职前教师介绍塞索托语和祖鲁语中的人工智能相关词汇</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Classroom plays as narrative texts that introduce preservice teachers to artificial intelligence-related vocabulary in Sesotho and isiZulu / 课堂戏剧作为叙事文本：向职前教师介绍塞索托语和祖鲁语中的人工智能相关词汇</w:t>
            </w:r>
          </w:p>
        </w:tc>
      </w:tr>
      <w:tr>
        <w:tc>
          <w:tcPr>
            <w:tcW w:type="dxa" w:w="4997"/>
          </w:tcPr>
          <w:p>
            <w:r>
              <w:rPr>
                <w:b/>
              </w:rPr>
              <w:t>作者</w:t>
            </w:r>
          </w:p>
        </w:tc>
        <w:tc>
          <w:tcPr>
            <w:tcW w:type="dxa" w:w="4997"/>
          </w:tcPr>
          <w:p>
            <w:r>
              <w:t>Mosa N. Khasu</w:t>
            </w:r>
          </w:p>
        </w:tc>
      </w:tr>
      <w:tr>
        <w:tc>
          <w:tcPr>
            <w:tcW w:type="dxa" w:w="4997"/>
          </w:tcPr>
          <w:p>
            <w:r>
              <w:rPr>
                <w:b/>
              </w:rPr>
              <w:t>期刊及影响因子</w:t>
            </w:r>
          </w:p>
        </w:tc>
        <w:tc>
          <w:tcPr>
            <w:tcW w:type="dxa" w:w="4997"/>
          </w:tcPr>
          <w:p>
            <w:r>
              <w:t>未提供影响因子及JCR分区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INC</w:t>
            </w:r>
          </w:p>
        </w:tc>
      </w:tr>
      <w:tr>
        <w:tc>
          <w:tcPr>
            <w:tcW w:type="dxa" w:w="4997"/>
          </w:tcPr>
          <w:p>
            <w:r>
              <w:rPr>
                <w:b/>
              </w:rPr>
              <w:t>卷期/DOI</w:t>
            </w:r>
          </w:p>
        </w:tc>
        <w:tc>
          <w:tcPr>
            <w:tcW w:type="dxa" w:w="4997"/>
          </w:tcPr>
          <w:p>
            <w:r>
              <w:t>卷5期1, DOI: 10.4102/ajoted.v5i1.154</w:t>
            </w:r>
          </w:p>
        </w:tc>
      </w:tr>
      <w:tr>
        <w:tc>
          <w:tcPr>
            <w:tcW w:type="dxa" w:w="4997"/>
          </w:tcPr>
          <w:p>
            <w:r>
              <w:rPr>
                <w:b/>
              </w:rPr>
              <w:t>在线发表时间</w:t>
            </w:r>
          </w:p>
        </w:tc>
        <w:tc>
          <w:tcPr>
            <w:tcW w:type="dxa" w:w="4997"/>
          </w:tcPr>
          <w:p>
            <w:r>
              <w:t>2026-07-16</w:t>
            </w:r>
          </w:p>
        </w:tc>
      </w:tr>
      <w:tr>
        <w:tc>
          <w:tcPr>
            <w:tcW w:type="dxa" w:w="4997"/>
          </w:tcPr>
          <w:p>
            <w:r>
              <w:rPr>
                <w:b/>
              </w:rPr>
              <w:t>SSCI分类</w:t>
            </w:r>
          </w:p>
        </w:tc>
        <w:tc>
          <w:tcPr>
            <w:tcW w:type="dxa" w:w="4997"/>
          </w:tcPr>
          <w:p>
            <w:r>
              <w:t>Education &amp; Educational Research</w:t>
            </w:r>
          </w:p>
        </w:tc>
      </w:tr>
      <w:tr>
        <w:tc>
          <w:tcPr>
            <w:tcW w:type="dxa" w:w="4997"/>
          </w:tcPr>
          <w:p>
            <w:r>
              <w:rPr>
                <w:b/>
              </w:rPr>
              <w:t>论文链接</w:t>
            </w:r>
          </w:p>
        </w:tc>
        <w:tc>
          <w:tcPr>
            <w:tcW w:type="dxa" w:w="4997"/>
          </w:tcPr>
          <w:p>
            <w:hyperlink r:id="rId11">
              <w:r>
                <w:rPr>
                  <w:color w:val="0563C1"/>
                  <w:u w:val="single"/>
                </w:rPr>
                <w:t>https://doi.org/10.4102/ajoted.v5i1.154</w:t>
              </w:r>
            </w:hyperlink>
          </w:p>
        </w:tc>
      </w:tr>
    </w:tbl>
    <w:p>
      <w:pPr>
        <w:pStyle w:val="Heading3"/>
      </w:pPr>
      <w:r>
        <w:t>研究摘要</w:t>
      </w:r>
    </w:p>
    <w:p>
      <w:r>
        <w:t>背景：本研究探讨如何利用课堂戏剧（亦称剧作创作）这一模态，向基础教育与中级教育阶段的教育学士（B.Ed.）项目的职前教师介绍包含塞索托语和祖鲁语中编程与机器人语言在内的人工智能相关词汇。研究运用舒尔曼的“标志性教学法”理论和维果茨基的“社会文化理论”（聚焦最近发展区），分析学生教师的剧作创作活动。目的：旨在探索学生教师如何通过剧作创作过程，用塞索托语和祖鲁语创作关于人工智能的戏剧文本。环境：本研究为定性研究，采用案例研究设计，在南非一所城市大学进行。样本由90名B.Ed.项目最后一年学生教师组成的完整班级构成。方法：通过半结构化焦点小组访谈收集数据，并分析学生教师的戏剧文本。对访谈数据采用归纳主题分析法，对戏剧文本则依据“具有教学目的的剧作创作”标准进行演绎分析。结果：研究发现剧作创作是教授词汇的可行方法。通过戏剧活动，学生认识到戏剧表演作为使学习对学习者更具吸引力和实用性的工具的价值。结论：剧作创作和有意义反馈等戏剧活动能促进学习的主动参与。该方法支持职前教师在明确教授词汇时采用对小学生具有吸引力的方式。贡献：本研究的贡献在于将AI相关术语引入塞索托语和祖鲁语，这些术语由B.Ed.项目剧作创作课程中的职前教师开发。</w:t>
      </w:r>
    </w:p>
    <w:p>
      <w:pPr>
        <w:pStyle w:val="Heading3"/>
      </w:pPr>
      <w:r>
        <w:t>研究主要内容</w:t>
      </w:r>
    </w:p>
    <w:p>
      <w:r>
        <w:t>研究以舒尔曼的标志性教学法和维果茨基的社会文化理论为框架，在南非一所城市大学中，对90名教育学士项目最后一年学生教师进行案例研究。通过半结构化焦点小组访谈和戏剧文本分析，探索将戏剧创作作为教学模态引入AI相关塞索托语和祖鲁语词汇的过程。</w:t>
      </w:r>
    </w:p>
    <w:p>
      <w:pPr>
        <w:pStyle w:val="Heading3"/>
      </w:pPr>
      <w:r>
        <w:t>研究论点</w:t>
      </w:r>
    </w:p>
    <w:p>
      <w:r>
        <w:t>剧作创作是一种可行的职前教师教学方法，能有效引入AI相关词汇，并通过戏剧表演提升学习的互动性和实用性。</w:t>
      </w:r>
    </w:p>
    <w:p>
      <w:pPr>
        <w:pStyle w:val="Heading3"/>
      </w:pPr>
      <w:r>
        <w:t>研究问题</w:t>
      </w:r>
    </w:p>
    <w:p>
      <w:r>
        <w:t>学生教师如何通过剧作创作过程，用塞索托语和祖鲁语创建关于人工智能的戏剧文本？</w:t>
      </w:r>
    </w:p>
    <w:p>
      <w:pPr>
        <w:pStyle w:val="Heading3"/>
      </w:pPr>
      <w:r>
        <w:t>研究方法</w:t>
      </w:r>
    </w:p>
    <w:p>
      <w:r>
        <w:t>研究类型：定性研究；研究设计：案例研究设计；样本：90名B.Ed.项目最后一年学生教师（完整班级）；数据来源：半结构化焦点小组访谈、戏剧文本分析；分析方法：访谈数据采用归纳主题分析，戏剧文本采用基于教学目的剧作创作标准的演绎分析。</w:t>
      </w:r>
    </w:p>
    <w:p>
      <w:pPr>
        <w:pStyle w:val="Heading3"/>
      </w:pPr>
      <w:r>
        <w:t>主要发现</w:t>
      </w:r>
    </w:p>
    <w:p>
      <w:r>
        <w:t>['剧作创作是教授塞索托语和祖鲁语中AI相关词汇的可行方法，职前教师通过创作戏剧文本主动构建了术语。', '学生教师认识到戏剧表演作为一种工具，能使学习过程更具吸引力和实用性，尤其适用于小学课堂。', '戏剧活动（如剧作创作）结合有意义反馈，促进了学习中的主动参与和深度理解。']</w:t>
      </w:r>
    </w:p>
    <w:p>
      <w:pPr>
        <w:pStyle w:val="Heading3"/>
      </w:pPr>
      <w:r>
        <w:t>对教师教育研究的启示</w:t>
      </w:r>
    </w:p>
    <w:p>
      <w:r>
        <w:t>该研究展示了将AI术语融入本土语言教学的创新路径，为职前教师培训提供了以戏剧创作为载体的词汇教学策略。研究者可借鉴其定性案例研究设计，尤其是半结构化焦点小组访谈与文本分析的结合方法，用于探索其他模态在数字素养或学科教学中的整合效果。此外，归纳与演绎相结合的混合分析策略有助于同时捕捉参与者主观体验与预设教学标准下的表现。</w:t>
      </w:r>
    </w:p>
    <w:p>
      <w:pPr>
        <w:pStyle w:val="Heading3"/>
      </w:pPr>
      <w:r>
        <w:t>APA引用格式</w:t>
      </w:r>
    </w:p>
    <w:p>
      <w:r>
        <w:t>Khasu, M. N. (2026). Classroom plays as narrative texts that introduce preservice teachers to artificial intelligence-related vocabulary in Sesotho and isiZulu. African Journal of Teacher Education and Development, 5(1). https://doi.org/10.4102/ajoted.v5i1.154</w:t>
      </w:r>
    </w:p>
    <w:p>
      <w:r>
        <w:br w:type="page"/>
      </w:r>
    </w:p>
    <w:p>
      <w:pPr>
        <w:pStyle w:val="Heading2"/>
      </w:pPr>
      <w:r>
        <w:t>4. Bridging minds and machines: the role of psychological readiness, experience, and digital competence in developing AI literacy / 弥合心灵与机器：心理准备、经验与数字能力在人工智能素养发展中的作用</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Bridging minds and machines: the role of psychological readiness, experience, and digital competence in developing AI literacy / 弥合心灵与机器：心理准备、经验与数字能力在人工智能素养发展中的作用</w:t>
            </w:r>
          </w:p>
        </w:tc>
      </w:tr>
      <w:tr>
        <w:tc>
          <w:tcPr>
            <w:tcW w:type="dxa" w:w="4997"/>
          </w:tcPr>
          <w:p>
            <w:r>
              <w:rPr>
                <w:b/>
              </w:rPr>
              <w:t>作者</w:t>
            </w:r>
          </w:p>
        </w:tc>
        <w:tc>
          <w:tcPr>
            <w:tcW w:type="dxa" w:w="4997"/>
          </w:tcPr>
          <w:p>
            <w:r>
              <w:t>Amara Malik, Faiqa Salman Butt, Khalid Mahmood</w:t>
            </w:r>
          </w:p>
        </w:tc>
      </w:tr>
      <w:tr>
        <w:tc>
          <w:tcPr>
            <w:tcW w:type="dxa" w:w="4997"/>
          </w:tcPr>
          <w:p>
            <w:r>
              <w:rPr>
                <w:b/>
              </w:rPr>
              <w:t>期刊及影响因子</w:t>
            </w:r>
          </w:p>
        </w:tc>
        <w:tc>
          <w:tcPr>
            <w:tcW w:type="dxa" w:w="4997"/>
          </w:tcPr>
          <w:p>
            <w:r>
              <w:t>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EMERALD GROUP PUBLISHING LTD</w:t>
            </w:r>
          </w:p>
        </w:tc>
      </w:tr>
      <w:tr>
        <w:tc>
          <w:tcPr>
            <w:tcW w:type="dxa" w:w="4997"/>
          </w:tcPr>
          <w:p>
            <w:r>
              <w:rPr>
                <w:b/>
              </w:rPr>
              <w:t>卷期/DOI</w:t>
            </w:r>
          </w:p>
        </w:tc>
        <w:tc>
          <w:tcPr>
            <w:tcW w:type="dxa" w:w="4997"/>
          </w:tcPr>
          <w:p>
            <w:r>
              <w:t>10.1108/el-10-2025-0432</w:t>
            </w:r>
          </w:p>
        </w:tc>
      </w:tr>
      <w:tr>
        <w:tc>
          <w:tcPr>
            <w:tcW w:type="dxa" w:w="4997"/>
          </w:tcPr>
          <w:p>
            <w:r>
              <w:rPr>
                <w:b/>
              </w:rPr>
              <w:t>在线发表时间</w:t>
            </w:r>
          </w:p>
        </w:tc>
        <w:tc>
          <w:tcPr>
            <w:tcW w:type="dxa" w:w="4997"/>
          </w:tcPr>
          <w:p>
            <w:r>
              <w:t>2026-07-16</w:t>
            </w:r>
          </w:p>
        </w:tc>
      </w:tr>
      <w:tr>
        <w:tc>
          <w:tcPr>
            <w:tcW w:type="dxa" w:w="4997"/>
          </w:tcPr>
          <w:p>
            <w:r>
              <w:rPr>
                <w:b/>
              </w:rPr>
              <w:t>SSCI分类</w:t>
            </w:r>
          </w:p>
        </w:tc>
        <w:tc>
          <w:tcPr>
            <w:tcW w:type="dxa" w:w="4997"/>
          </w:tcPr>
          <w:p>
            <w:r>
              <w:t>English；Information Science &amp; Library Science</w:t>
            </w:r>
          </w:p>
        </w:tc>
      </w:tr>
      <w:tr>
        <w:tc>
          <w:tcPr>
            <w:tcW w:type="dxa" w:w="4997"/>
          </w:tcPr>
          <w:p>
            <w:r>
              <w:rPr>
                <w:b/>
              </w:rPr>
              <w:t>论文链接</w:t>
            </w:r>
          </w:p>
        </w:tc>
        <w:tc>
          <w:tcPr>
            <w:tcW w:type="dxa" w:w="4997"/>
          </w:tcPr>
          <w:p>
            <w:hyperlink r:id="rId12">
              <w:r>
                <w:rPr>
                  <w:color w:val="0563C1"/>
                  <w:u w:val="single"/>
                </w:rPr>
                <w:t>https://doi.org/10.1108/el-10-2025-0432</w:t>
              </w:r>
            </w:hyperlink>
          </w:p>
        </w:tc>
      </w:tr>
    </w:tbl>
    <w:p>
      <w:pPr>
        <w:pStyle w:val="Heading3"/>
      </w:pPr>
      <w:r>
        <w:t>研究摘要</w:t>
      </w:r>
    </w:p>
    <w:p>
      <w:r>
        <w:t>目的：本研究旨在探讨人工智能素养的关键预测因素，考察数字素养在心理因素（兴趣、态度和自我效能）和经验因素（之前使用AI工具的经验）与AI素养关系中的中介作用。设计/方法/路径：采用基于问卷的定量研究方法，从旁遮普大学754名不同专业的学生中收集数据。使用结构方程模型检验构念间的直接和中介关系。发现：兴趣、态度、自我效能和先前经验显著预测AI素养，既有直接效应，也有通过数字素养的中介效应。自我效能对AI素养的总效应最强。先前使用AI工具的经验显著提升数字素养，进而增强AI素养。结果突显了心理准备与经验学习之间的动态交互，数字素养是AI素养发展的关键中介。实践意义：教育者和政策制定者应设计培养数字能力的课程，鼓励早期接触AI工具，并增强学习者的自我效能感。结构化的AI技术实践经验有助于培养自信且胜任的AI用户。原创性/价值：本研究提出了一个通过数字素养连接心理和经验变量与AI素养的综合模型，为教育利益相关者应对AI融合的未来提供了理论推进和实践指导。</w:t>
      </w:r>
    </w:p>
    <w:p>
      <w:pPr>
        <w:pStyle w:val="Heading3"/>
      </w:pPr>
      <w:r>
        <w:t>研究主要内容</w:t>
      </w:r>
    </w:p>
    <w:p>
      <w:r>
        <w:t>本研究聚焦于高等教育阶段（大学学生）的AI素养预测因素，但研究框架（心理准备、经验、数字素养与AI素养的关系）对基础教育阶段的教师教育研究具有参考价值。研究采用定量调查法，样本为754名大学生，通过结构方程模型进行数据分析。</w:t>
      </w:r>
    </w:p>
    <w:p>
      <w:pPr>
        <w:pStyle w:val="Heading3"/>
      </w:pPr>
      <w:r>
        <w:t>研究论点</w:t>
      </w:r>
    </w:p>
    <w:p>
      <w:r>
        <w:t>研究论证了心理因素（兴趣、态度、自我效能）和经验因素（先前AI经验）通过数字素养的中介作用影响AI素养，其中自我效能效应最强。该模型强调心理准备与经验学习的协同作用，数字素养是关键的中介机制。</w:t>
      </w:r>
    </w:p>
    <w:p>
      <w:pPr>
        <w:pStyle w:val="Heading3"/>
      </w:pPr>
      <w:r>
        <w:t>研究问题</w:t>
      </w:r>
    </w:p>
    <w:p>
      <w:r>
        <w:t>研究问题：心理因素（兴趣、态度、自我效能）和经验因素（先前AI经验）如何预测AI素养？数字素养是否在其中发挥中介作用？</w:t>
      </w:r>
    </w:p>
    <w:p>
      <w:pPr>
        <w:pStyle w:val="Heading3"/>
      </w:pPr>
      <w:r>
        <w:t>研究方法</w:t>
      </w:r>
    </w:p>
    <w:p>
      <w:r>
        <w:t>{'research_type': '定量研究', 'participants': '旁遮普大学754名不同专业的学生（摘要未说明具体年级或年龄分布，但属于高等教育阶段）', 'data_source': '问卷调查', 'analysis_method': '结构方程模型（SEM），用于检验直接和中介关系'}</w:t>
      </w:r>
    </w:p>
    <w:p>
      <w:pPr>
        <w:pStyle w:val="Heading3"/>
      </w:pPr>
      <w:r>
        <w:t>主要发现</w:t>
      </w:r>
    </w:p>
    <w:p>
      <w:r>
        <w:t>['兴趣、态度、自我效能和先前AI经验均显著预测AI素养，既有直接效应也有通过数字素养的中介效应。', '自我效能对AI素养的总效应最强，表明提升自我效能对发展AI素养最为关键。', '先前使用AI工具的经验显著提升数字素养，进而增强AI素养，突显了实践经验和数字能力的中介作用。']</w:t>
      </w:r>
    </w:p>
    <w:p>
      <w:pPr>
        <w:pStyle w:val="Heading3"/>
      </w:pPr>
      <w:r>
        <w:t>对教师教育研究的启示</w:t>
      </w:r>
    </w:p>
    <w:p>
      <w:r>
        <w:t>['教师教育研究可借鉴本研究的综合模型，将心理准备（自我效能、态度等）和数字素养作为AI整合培训的关键变量，采用定量方法（如问卷调查+结构方程模型）进行因果路径分析。', '研究者可针对基础教育的教师或职前教师设计类似调查，考察其AI素养的形成机制，特别是自我效能的调节/中介作用。', '数据收集可使用成熟量表（如数字素养、AI素养量表），分析方法建议使用SEM或路径分析，以检验多变量间的直接和间接效应。']</w:t>
      </w:r>
    </w:p>
    <w:p>
      <w:pPr>
        <w:pStyle w:val="Heading3"/>
      </w:pPr>
      <w:r>
        <w:t>APA引用格式</w:t>
      </w:r>
    </w:p>
    <w:p>
      <w:r>
        <w:t>Malik, A., Butt, F. S., &amp; Mahmood, K. (2026, July 16). Bridging minds and machines: the role of psychological readiness, experience, and digital competence in developing AI literacy. The Electronic Library. https://doi.org/10.1108/el-10-2025-0432</w:t>
      </w:r>
    </w:p>
    <w:p>
      <w:r>
        <w:br w:type="page"/>
      </w:r>
    </w:p>
    <w:p>
      <w:pPr>
        <w:pStyle w:val="Heading2"/>
      </w:pPr>
      <w:r>
        <w:t>5. Investigating AI literacy education in the Caribbean / 加勒比地区人工智能素养教育调查研究</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Investigating AI literacy education in the Caribbean / 加勒比地区人工智能素养教育调查研究</w:t>
            </w:r>
          </w:p>
        </w:tc>
      </w:tr>
      <w:tr>
        <w:tc>
          <w:tcPr>
            <w:tcW w:type="dxa" w:w="4997"/>
          </w:tcPr>
          <w:p>
            <w:r>
              <w:rPr>
                <w:b/>
              </w:rPr>
              <w:t>作者</w:t>
            </w:r>
          </w:p>
        </w:tc>
        <w:tc>
          <w:tcPr>
            <w:tcW w:type="dxa" w:w="4997"/>
          </w:tcPr>
          <w:p>
            <w:r>
              <w:t>Paul Walcott, Adrian Als, Gail Rolle-Greenidge</w:t>
            </w:r>
          </w:p>
        </w:tc>
      </w:tr>
      <w:tr>
        <w:tc>
          <w:tcPr>
            <w:tcW w:type="dxa" w:w="4997"/>
          </w:tcPr>
          <w:p>
            <w:r>
              <w:rPr>
                <w:b/>
              </w:rPr>
              <w:t>期刊及影响因子</w:t>
            </w:r>
          </w:p>
        </w:tc>
        <w:tc>
          <w:tcPr>
            <w:tcW w:type="dxa" w:w="4997"/>
          </w:tcPr>
          <w:p>
            <w:r>
              <w:t>期刊为Caribbean Educational Research Journal，SSCI分类为Education &amp; Educational Research，但白名单未提供影响因子和JCR分区，故填“未提供”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ROUTLEDGE JOURNALS, TAYLOR &amp; FRANCIS LTD</w:t>
            </w:r>
          </w:p>
        </w:tc>
      </w:tr>
      <w:tr>
        <w:tc>
          <w:tcPr>
            <w:tcW w:type="dxa" w:w="4997"/>
          </w:tcPr>
          <w:p>
            <w:r>
              <w:rPr>
                <w:b/>
              </w:rPr>
              <w:t>卷期/DOI</w:t>
            </w:r>
          </w:p>
        </w:tc>
        <w:tc>
          <w:tcPr>
            <w:tcW w:type="dxa" w:w="4997"/>
          </w:tcPr>
          <w:p>
            <w:r>
              <w:t>DOI: 10.1108/cerj-04-2026-0011（卷期未说明）</w:t>
            </w:r>
          </w:p>
        </w:tc>
      </w:tr>
      <w:tr>
        <w:tc>
          <w:tcPr>
            <w:tcW w:type="dxa" w:w="4997"/>
          </w:tcPr>
          <w:p>
            <w:r>
              <w:rPr>
                <w:b/>
              </w:rPr>
              <w:t>在线发表时间</w:t>
            </w:r>
          </w:p>
        </w:tc>
        <w:tc>
          <w:tcPr>
            <w:tcW w:type="dxa" w:w="4997"/>
          </w:tcPr>
          <w:p>
            <w:r>
              <w:t>2026-07-16</w:t>
            </w:r>
          </w:p>
        </w:tc>
      </w:tr>
      <w:tr>
        <w:tc>
          <w:tcPr>
            <w:tcW w:type="dxa" w:w="4997"/>
          </w:tcPr>
          <w:p>
            <w:r>
              <w:rPr>
                <w:b/>
              </w:rPr>
              <w:t>SSCI分类</w:t>
            </w:r>
          </w:p>
        </w:tc>
        <w:tc>
          <w:tcPr>
            <w:tcW w:type="dxa" w:w="4997"/>
          </w:tcPr>
          <w:p>
            <w:r>
              <w:t>Education &amp; Educational Research</w:t>
            </w:r>
          </w:p>
        </w:tc>
      </w:tr>
      <w:tr>
        <w:tc>
          <w:tcPr>
            <w:tcW w:type="dxa" w:w="4997"/>
          </w:tcPr>
          <w:p>
            <w:r>
              <w:rPr>
                <w:b/>
              </w:rPr>
              <w:t>论文链接</w:t>
            </w:r>
          </w:p>
        </w:tc>
        <w:tc>
          <w:tcPr>
            <w:tcW w:type="dxa" w:w="4997"/>
          </w:tcPr>
          <w:p>
            <w:hyperlink r:id="rId13">
              <w:r>
                <w:rPr>
                  <w:color w:val="0563C1"/>
                  <w:u w:val="single"/>
                </w:rPr>
                <w:t>https://doi.org/10.1108/cerj-04-2026-0011</w:t>
              </w:r>
            </w:hyperlink>
          </w:p>
        </w:tc>
      </w:tr>
    </w:tbl>
    <w:p>
      <w:pPr>
        <w:pStyle w:val="Heading3"/>
      </w:pPr>
      <w:r>
        <w:t>研究摘要</w:t>
      </w:r>
    </w:p>
    <w:p>
      <w:r>
        <w:t>目的：本文调查牙买加、特立尼达和多巴哥、巴巴多斯及安提瓜的人工智能素养教育，以了解AI使用的感知益处与挑战、AI素养教育的实施程度以及公民对日常生活中使用AI的态度。设计/方法论/方法：采用二手数据分析研究设计，包括提出研究问题、搜索二手数据并分析数据。发现：感知到的AI使用益处包括收入增长和生产力提升，挑战则是伦理问题和失业；成人学习者接受最多AI培训；部分公民对AI持负面态度。研究局限/启示：二手数据限制了可提出的问题，但优点是研究完成更快、成本更低。实践启示：需为所有教育阶段开发适龄的加勒比AI素养课程，并需加勒比各国政府合作制定AI实施计划和政策，这需要时间和资金。社会启示：公民对AI的理解程度很重要，因为有效使用AI可提高生产力、创新和收入，从而改善生活质量。原创性/价值：加勒比地区关于AI素养教育的研究匮乏，本文为教育工作者、政府及其他利益相关者提供了AI素养现状的信息，有助于制定加勒比地区AI素养教育的战略计划。</w:t>
      </w:r>
    </w:p>
    <w:p>
      <w:pPr>
        <w:pStyle w:val="Heading3"/>
      </w:pPr>
      <w:r>
        <w:t>研究主要内容</w:t>
      </w:r>
    </w:p>
    <w:p>
      <w:r>
        <w:t>本文通过二手数据分析，调查了加勒比四国（牙买加、特立尼达和多巴哥、巴巴多斯、安提瓜）的AI素养教育现状，聚焦于AI使用的感知收益与挑战、AI素养教育实施程度以及公民态度。研究发现AI使用的感知收益包括收入增长和生产力提升，挑战主要是伦理问题和失业；成人学习者接受了最多的AI培训，部分公民对AI持负面态度。研究还提出需开发适龄的加勒比AI素养课程，并加强政府间合作。</w:t>
      </w:r>
    </w:p>
    <w:p>
      <w:pPr>
        <w:pStyle w:val="Heading3"/>
      </w:pPr>
      <w:r>
        <w:t>研究论点</w:t>
      </w:r>
    </w:p>
    <w:p>
      <w:r>
        <w:t>加勒比地区AI素养教育尚处初期阶段，公民对AI的理解和态度分化明显，需要系统性的课程开发与政策协同来推进AI素养教育，从而促进区域生产力和生活质量的提升。</w:t>
      </w:r>
    </w:p>
    <w:p>
      <w:pPr>
        <w:pStyle w:val="Heading3"/>
      </w:pPr>
      <w:r>
        <w:t>研究问题</w:t>
      </w:r>
    </w:p>
    <w:p>
      <w:r>
        <w:t>核心研究问题：加勒比四国（牙买加、特立尼达和多巴哥、巴巴多斯、安提瓜）中，公民对AI使用的感知收益与挑战是什么？AI素养教育的实施程度如何？公民对日常生活中使用AI的态度如何？</w:t>
      </w:r>
    </w:p>
    <w:p>
      <w:pPr>
        <w:pStyle w:val="Heading3"/>
      </w:pPr>
      <w:r>
        <w:t>研究方法</w:t>
      </w:r>
    </w:p>
    <w:p>
      <w:r>
        <w:t>研究类型：二手数据分析（未明确说明是定量还是定性，但基于内容判断属于混合取向的二手分析）。样本/参与者：未明确说明具体样本，数据来源于已存在的二手数据集（具体来源未在摘要中说明）。数据来源：二手数据（具体数据库或调查报告未指明）。分析方法：摘要未说明具体的分析技术（如主题编码、统计检验等），仅提及“分析该数据”。</w:t>
      </w:r>
    </w:p>
    <w:p>
      <w:pPr>
        <w:pStyle w:val="Heading3"/>
      </w:pPr>
      <w:r>
        <w:t>主要发现</w:t>
      </w:r>
    </w:p>
    <w:p>
      <w:r>
        <w:t>['1. 感知收益：AI使用的感知收益主要包括收入增长和生产力提升；感知挑战则涉及伦理问题和失业风险。', '2. 培训分布：成人学习者接受了最多的AI培训，而其他年龄段（如学龄儿童）的AI素养教育相对薄弱。', '3. 公民态度：部分公民对AI持负面态度，这可能是由于缺乏理解或对伦理与就业影响的担忧。']</w:t>
      </w:r>
    </w:p>
    <w:p>
      <w:pPr>
        <w:pStyle w:val="Heading3"/>
      </w:pPr>
      <w:r>
        <w:t>对教师教育研究的启示</w:t>
      </w:r>
    </w:p>
    <w:p>
      <w:r>
        <w:t>1. 主题前沿：该研究揭示了加勒比地区AI素养教育在基础教育（小学、初中）阶段的缺失，提示教师教育应关注不同学段的AI素养课程设计。2. 研究设计启示：采用二手数据分析可在较低成本下快速获得区域现状，但受限于原始数据的问题设计，未来教师教育研究可尝试结合一手调查（如问卷、访谈）来获取更精细的数据，以弥补二手数据的不足。3. 数据收集与分析方法：本研究未明确分析技术，教师教育研究者可借鉴此类二手分析框架，并明确使用内容分析或描述性统计等方法，同时需注意数据来源的代表性和时效性。4. 实践方向：教师教育应包含AI基本概念、伦理与社会影响、以及如何将AI素养融入课程教学（例如针对小学、初中开发适龄的跨学科AI活动），同时需对教师自身进行AI素养培训以应对学生态度分化。</w:t>
      </w:r>
    </w:p>
    <w:p>
      <w:pPr>
        <w:pStyle w:val="Heading3"/>
      </w:pPr>
      <w:r>
        <w:t>APA引用格式</w:t>
      </w:r>
    </w:p>
    <w:p>
      <w:r>
        <w:t>Walcott, P., Als, A., &amp; Rolle-Greenidge, G. (2026). Investigating AI literacy education in the Caribbean. Caribbean Educational Research Journal. https://doi.org/10.1108/cerj-04-2026-0011</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750</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79.52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3390/su18147206" TargetMode="External"/><Relationship Id="rId10" Type="http://schemas.openxmlformats.org/officeDocument/2006/relationships/hyperlink" Target="https://doi.org/10.1186/s40862-026-00420-w" TargetMode="External"/><Relationship Id="rId11" Type="http://schemas.openxmlformats.org/officeDocument/2006/relationships/hyperlink" Target="https://doi.org/10.4102/ajoted.v5i1.154" TargetMode="External"/><Relationship Id="rId12" Type="http://schemas.openxmlformats.org/officeDocument/2006/relationships/hyperlink" Target="https://doi.org/10.1108/el-10-2025-0432" TargetMode="External"/><Relationship Id="rId13" Type="http://schemas.openxmlformats.org/officeDocument/2006/relationships/hyperlink" Target="https://doi.org/10.1108/cerj-04-2026-00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