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2026-10-20 10:26:03（北京时间）</w:t>
            </w:r>
          </w:p>
        </w:tc>
      </w:tr>
      <w:tr>
        <w:tc>
          <w:tcPr>
            <w:tcW w:type="dxa" w:w="4997"/>
          </w:tcPr>
          <w:p>
            <w:r>
              <w:rPr>
                <w:b/>
              </w:rPr>
              <w:t>检索窗口</w:t>
            </w:r>
          </w:p>
        </w:tc>
        <w:tc>
          <w:tcPr>
            <w:tcW w:type="dxa" w:w="4997"/>
          </w:tcPr>
          <w:p>
            <w:r>
              <w:t>2023-10-21 — 2026-10-20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与教师专业知能：强调人类监督、伦理判断及低资源适用；并关注AI语料分析、女性AI素养转化和移动端教师学习共同体。趋势正从“会用AI”转向“负责任地共创与专业成长”，对中国教师AI素养与校本教研有启示。</w:t>
      </w:r>
    </w:p>
    <w:p>
      <w:pPr>
        <w:pStyle w:val="Heading1"/>
      </w:pPr>
      <w:r>
        <w:t>目录</w:t>
      </w:r>
    </w:p>
    <w:p>
      <w:pPr>
        <w:pStyle w:val="ListNumber"/>
      </w:pPr>
      <w:r>
        <w:rPr>
          <w:b/>
        </w:rPr>
        <w:t>教师指南：AI驱动课堂工具包</w:t>
      </w:r>
      <w:r>
        <w:t>｜Zenodo (CERN European Organization for Nuclear Research)｜2026-10-17</w:t>
      </w:r>
    </w:p>
    <w:p>
      <w:pPr>
        <w:pStyle w:val="ListNumber"/>
      </w:pPr>
      <w:r>
        <w:rPr>
          <w:b/>
        </w:rPr>
        <w:t>儿童印刷文本中的形态学模式：基于创新AI辅助的英美词族数据库估计多语素词汇</w:t>
      </w:r>
      <w:r>
        <w:t>｜Frontiers in Psychology｜2026-10-19</w:t>
      </w:r>
    </w:p>
    <w:p>
      <w:pPr>
        <w:pStyle w:val="ListNumber"/>
      </w:pPr>
      <w:r>
        <w:rPr>
          <w:b/>
        </w:rPr>
        <w:t>表征能支持什么？生成式人工智能与实践中的专业知能</w:t>
      </w:r>
      <w:r>
        <w:t>｜Postdigital Science and Education｜2026-10-17</w:t>
      </w:r>
    </w:p>
    <w:p>
      <w:pPr>
        <w:pStyle w:val="ListNumber"/>
      </w:pPr>
      <w:r>
        <w:rPr>
          <w:b/>
        </w:rPr>
        <w:t>乌兹别克斯坦女性从人工智能消费者转变为创造者的职业适应性模型</w:t>
      </w:r>
      <w:r>
        <w:t>｜International journal of technology and academic research｜2026-10-17</w:t>
      </w:r>
    </w:p>
    <w:p>
      <w:pPr>
        <w:pStyle w:val="ListNumber"/>
      </w:pPr>
      <w:r>
        <w:rPr>
          <w:b/>
        </w:rPr>
        <w:t>共同学习，共同成长：教师教育者在虚拟专业学习中的参与</w:t>
      </w:r>
      <w:r>
        <w:t>｜Qualitative Research Journal｜2026-10-20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Teacher's Guide to the AI-Driven Classroom Toolkit / 教师指南：AI驱动课堂工具包</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 Guide to the AI-Driven Classroom Toolkit / 教师指南：AI驱动课堂工具包</w:t>
            </w:r>
          </w:p>
        </w:tc>
      </w:tr>
      <w:tr>
        <w:tc>
          <w:tcPr>
            <w:tcW w:type="dxa" w:w="4997"/>
          </w:tcPr>
          <w:p>
            <w:r>
              <w:rPr>
                <w:b/>
              </w:rPr>
              <w:t>作者</w:t>
            </w:r>
          </w:p>
        </w:tc>
        <w:tc>
          <w:tcPr>
            <w:tcW w:type="dxa" w:w="4997"/>
          </w:tcPr>
          <w:p>
            <w:r>
              <w:t>Obasanjo Fajemirokun, Amber M. Neal-Stanley, Waliu Oluwaseun Abioja, Christabel Kanayo Anumenechi, Favour Oluwatosin Olaosebikan, Maria Regina Jaga, Kofoworola Elegbede</w:t>
            </w:r>
          </w:p>
        </w:tc>
      </w:tr>
      <w:tr>
        <w:tc>
          <w:tcPr>
            <w:tcW w:type="dxa" w:w="4997"/>
          </w:tcPr>
          <w:p>
            <w:r>
              <w:rPr>
                <w:b/>
              </w:rPr>
              <w:t>期刊及影响因子</w:t>
            </w:r>
          </w:p>
        </w:tc>
        <w:tc>
          <w:tcPr>
            <w:tcW w:type="dxa" w:w="4997"/>
          </w:tcPr>
          <w:p>
            <w:r>
              <w:t>期刊：Zenodo（CERN European Organization for Nuclear Research）；元数据SSCI分类：Management；白名单未提供影响因子，白名单未提供JCR分区。摘要未说明期刊影响因子或分区。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卷期：摘要未说明；DOI：https://doi.org/10.5281/zenodo.23429750</w:t>
            </w:r>
          </w:p>
        </w:tc>
      </w:tr>
      <w:tr>
        <w:tc>
          <w:tcPr>
            <w:tcW w:type="dxa" w:w="4997"/>
          </w:tcPr>
          <w:p>
            <w:r>
              <w:rPr>
                <w:b/>
              </w:rPr>
              <w:t>在线发表时间</w:t>
            </w:r>
          </w:p>
        </w:tc>
        <w:tc>
          <w:tcPr>
            <w:tcW w:type="dxa" w:w="4997"/>
          </w:tcPr>
          <w:p>
            <w:r>
              <w:t>2026-10-17（发表日期；摘要未说明在线发布日期）</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https://doi.org/10.5281/zenodo.23429750</w:t>
              </w:r>
            </w:hyperlink>
          </w:p>
        </w:tc>
      </w:tr>
    </w:tbl>
    <w:p>
      <w:pPr>
        <w:pStyle w:val="Heading3"/>
      </w:pPr>
      <w:r>
        <w:t>研究摘要</w:t>
      </w:r>
    </w:p>
    <w:p>
      <w:r>
        <w:t>该工具包旨在提升教师负责任且有效地使用人工智能支持教与学的能力。内容涵盖人工智能基础概念、数字素养、提示工程、AI支持的备课、评估、差异化教学、学生参与和反思性教学实践，并提供低资源环境下设备与网络受限条件的实践指导。工具包讨论准确核验、数据隐私、学术诚信、偏见意识、公平、包容、透明以及教师判断和人类监督等伦理议题。其核心立场是AI作为支持工具，可提升教学效率和学习体验，但不替代教师的专业、关系与伦理责任。</w:t>
      </w:r>
    </w:p>
    <w:p>
      <w:pPr>
        <w:pStyle w:val="Heading3"/>
      </w:pPr>
      <w:r>
        <w:t>研究主要内容</w:t>
      </w:r>
    </w:p>
    <w:p>
      <w:r>
        <w:t>该文献是一份面向教师的实践工具包，主要介绍AI基础概念、数字素养、提示工程、AI辅助备课、评估、差异化教学、学生参与和反思性教学实践；同时提供低资源环境中设备与网络受限条件下的使用建议。工具包还讨论负责任与伦理化AI使用，包括准确性核验、数据隐私、学术诚信、偏见意识、公平、包容、透明以及教师判断和人类监督的重要性。目标读者包括教师、教师教育者、教育管理者、专业发展促进者、研究者及其他关注学校AI实践整合的利益相关者。</w:t>
      </w:r>
    </w:p>
    <w:p>
      <w:pPr>
        <w:pStyle w:val="Heading3"/>
      </w:pPr>
      <w:r>
        <w:t>研究论点</w:t>
      </w:r>
    </w:p>
    <w:p>
      <w:r>
        <w:t>核心论点是：AI应作为增强教学效率和学习体验的支持工具，而非替代教师；AI整合必须坚持负责任和伦理化使用，包括准确性核验、数据隐私、学术诚信、偏见与公平/包容/透明意识，并保留教师判断和人类监督。</w:t>
      </w:r>
    </w:p>
    <w:p>
      <w:pPr>
        <w:pStyle w:val="Heading3"/>
      </w:pPr>
      <w:r>
        <w:t>研究问题</w:t>
      </w:r>
    </w:p>
    <w:p>
      <w:r>
        <w:t>摘要未说明明确研究问题；该文献为实践工具包/指南，而非报告假设检验或质性探究的研究论文。</w:t>
      </w:r>
    </w:p>
    <w:p>
      <w:pPr>
        <w:pStyle w:val="Heading3"/>
      </w:pPr>
      <w:r>
        <w:t>研究方法</w:t>
      </w:r>
    </w:p>
    <w:p>
      <w:r>
        <w:t>研究类型：非实证性实践资源/工具包（摘要未说明是否经过系统开发评估或实证检验）；样本或参与者：无实证样本，摘要未说明（目标读者包括教师、教师教育者、教育管理者、专业发展促进者、研究者等）；数据来源：摘要未说明；分析方法：摘要未说明。</w:t>
      </w:r>
    </w:p>
    <w:p>
      <w:pPr>
        <w:pStyle w:val="Heading3"/>
      </w:pPr>
      <w:r>
        <w:t>主要发现</w:t>
      </w:r>
    </w:p>
    <w:p>
      <w:r>
        <w:t>摘要未报告实证发现；作为工具包，其主要内容要点为：1）系统介绍AI基础、数字素养、提示工程及AI支持的备课、评估、差异化教学、学生参与和反思实践；2）提供低资源环境下设备与网络受限的实践指导；3）强调准确核验、数据隐私、学术诚信、偏见意识、公平、包容、透明及教师判断与人类监督，定位AI为支持而非替代教师。</w:t>
      </w:r>
    </w:p>
    <w:p>
      <w:pPr>
        <w:pStyle w:val="Heading3"/>
      </w:pPr>
      <w:r>
        <w:t>对教师教育研究的启示</w:t>
      </w:r>
    </w:p>
    <w:p>
      <w:r>
        <w:t>对教师教育研究的启示：1）前沿主题可关注教师AI素养、提示工程、AI伦理、低资源环境中的AI整合及教师角色；2）研究设计上，该文献本身不是实证研究，后续研究需明确需求分析、工具开发、试点实施、前后测或混合方法评估；3）数据收集可考虑教师问卷、访谈、课堂观察、教学日志/反思、学生反馈和平台使用数据，并报告伦理与隐私保护；4）分析方法需与设计匹配，如描述统计/配对检验、主题分析或混合方法整合。以上为基于该工具包主题的研究设计建议，非摘要报告内容。</w:t>
      </w:r>
    </w:p>
    <w:p>
      <w:pPr>
        <w:pStyle w:val="Heading3"/>
      </w:pPr>
      <w:r>
        <w:t>APA引用格式</w:t>
      </w:r>
    </w:p>
    <w:p>
      <w:r>
        <w:t>Fajemirokun, O., Neal-Stanley, A. M., Abioja, W. O., Anumenechi, C. K., Olaosebikan, F. O., Jaga, M. R., &amp; Elegbede, K. (2026). Teacher's guide to the AI-driven classroom toolkit. Zenodo. https://doi.org/10.5281/zenodo.23429750</w:t>
      </w:r>
    </w:p>
    <w:p>
      <w:r>
        <w:br w:type="page"/>
      </w:r>
    </w:p>
    <w:p>
      <w:pPr>
        <w:pStyle w:val="Heading2"/>
      </w:pPr>
      <w:r>
        <w:t>2. Patterns of morphology in children’s print: estimates of polymorphemic vocabulary using an innovative, AI-informed database of British and American word families / 儿童印刷文本中的形态学模式：基于创新AI辅助的英美词族数据库估计多语素词汇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Patterns of morphology in children’s print: estimates of polymorphemic vocabulary using an innovative, AI-informed database of British and American word families / 儿童印刷文本中的形态学模式：基于创新AI辅助的英美词族数据库估计多语素词汇</w:t>
            </w:r>
          </w:p>
        </w:tc>
      </w:tr>
      <w:tr>
        <w:tc>
          <w:tcPr>
            <w:tcW w:type="dxa" w:w="4997"/>
          </w:tcPr>
          <w:p>
            <w:r>
              <w:rPr>
                <w:b/>
              </w:rPr>
              <w:t>作者</w:t>
            </w:r>
          </w:p>
        </w:tc>
        <w:tc>
          <w:tcPr>
            <w:tcW w:type="dxa" w:w="4997"/>
          </w:tcPr>
          <w:p>
            <w:r>
              <w:t>Clarence Green, Elfrieda H. Hiebert, Averil Coxhead</w:t>
            </w:r>
          </w:p>
        </w:tc>
      </w:tr>
      <w:tr>
        <w:tc>
          <w:tcPr>
            <w:tcW w:type="dxa" w:w="4997"/>
          </w:tcPr>
          <w:p>
            <w:r>
              <w:rPr>
                <w:b/>
              </w:rPr>
              <w:t>期刊及影响因子</w:t>
            </w:r>
          </w:p>
        </w:tc>
        <w:tc>
          <w:tcPr>
            <w:tcW w:type="dxa" w:w="4997"/>
          </w:tcPr>
          <w:p>
            <w:r>
              <w:t>白名单未提供影响因子；白名单未提供JCR分区；SSCI分类：English, 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卷期未提供；DOI: 10.3389/fpsyg.2026.1985734</w:t>
            </w:r>
          </w:p>
        </w:tc>
      </w:tr>
      <w:tr>
        <w:tc>
          <w:tcPr>
            <w:tcW w:type="dxa" w:w="4997"/>
          </w:tcPr>
          <w:p>
            <w:r>
              <w:rPr>
                <w:b/>
              </w:rPr>
              <w:t>在线发表时间</w:t>
            </w:r>
          </w:p>
        </w:tc>
        <w:tc>
          <w:tcPr>
            <w:tcW w:type="dxa" w:w="4997"/>
          </w:tcPr>
          <w:p>
            <w:r>
              <w:t>2026-10-19</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0">
              <w:r>
                <w:rPr>
                  <w:color w:val="0563C1"/>
                  <w:u w:val="single"/>
                </w:rPr>
                <w:t>https://doi.org/10.3389/fpsyg.2026.1985734</w:t>
              </w:r>
            </w:hyperlink>
          </w:p>
        </w:tc>
      </w:tr>
    </w:tbl>
    <w:p>
      <w:pPr>
        <w:pStyle w:val="Heading3"/>
      </w:pPr>
      <w:r>
        <w:t>研究摘要</w:t>
      </w:r>
    </w:p>
    <w:p>
      <w:r>
        <w:t>背景：形态复杂性是儿童印刷词汇的普遍特征，但研究形态的资源仍然有限。本研究介绍英美词族（BAWF）项目，一个约37.8万词的开放数据库，并回答儿童印刷文本中的语素模式问题。方法：使用Morpholex中约6000个形态标注词微调GPT-4.1，对Wiktionary中见于大型英美语料库的词进行词部编码，并以与现有数据库的一致性评估性能；将Wikipedia词根列表映射到Wiktionary相关词条以标注古典词根；随后用BAWF估计儿童文本数据库中的语素模式并开发在线应用。结果：LLM词部预测总体良好，处于现有数据库一致性范围内，但输出仍有错误/噪声；儿童印刷文本中多语素词从图画书到少年小说和学校阅读项目呈增加趋势，希腊-拉丁词根词出现早且常见，估计约100个前缀/后缀可覆盖几乎所有派生词；BAWF开源并含频率、词族大小、语素数等变量。讨论：优先教授高产语素可能让儿童接触大词族，BAWF可辅助筛选教学语素和生成定制词表。</w:t>
      </w:r>
    </w:p>
    <w:p>
      <w:pPr>
        <w:pStyle w:val="Heading3"/>
      </w:pPr>
      <w:r>
        <w:t>研究主要内容</w:t>
      </w:r>
    </w:p>
    <w:p>
      <w:r>
        <w:t>论文不是教师样本或教学干预研究，而是面向儿童印刷文本词汇的资源开发与语料分析研究。作者构建BAWF开放数据库，覆盖约37.8万词，整合词汇、形态和心理语言学变量，并转化为可生成定制词表、提供AI辅助检索与解释、解析复核和教学支持的在线平台。研究先用人工形态数据库Morpholex微调GPT-4.1，再对Wiktionary中见于大型英美语料库的词进行词部编码，并通过与现有数据库的一致性评估模型表现；同时将Wikipedia词根列表映射到Wiktionary词条以识别古典词根。随后利用BAWF估计图画书、少年小说和学校阅读项目等儿童文本中的多语素词与语素覆盖模式。摘要未说明儿童文本数据库的具体名称、规模、年级分布及具体统计检验方法。</w:t>
      </w:r>
    </w:p>
    <w:p>
      <w:pPr>
        <w:pStyle w:val="Heading3"/>
      </w:pPr>
      <w:r>
        <w:t>研究论点</w:t>
      </w:r>
    </w:p>
    <w:p>
      <w:r>
        <w:t>论文主张：优先教授高产语素可能使儿童接触大规模词族；这些语素在儿童印刷文本早期即出现且常见；BAWF可帮助识别哪些语素可能值得教，并支持生成针对特定特征和词族的定制词表。</w:t>
      </w:r>
    </w:p>
    <w:p>
      <w:pPr>
        <w:pStyle w:val="Heading3"/>
      </w:pPr>
      <w:r>
        <w:t>研究问题</w:t>
      </w:r>
    </w:p>
    <w:p>
      <w:r>
        <w:t>儿童在印刷文本中会遇到哪些语素模式？哪些语素覆盖多少多语素词或阅读经验中的多语素词汇？</w:t>
      </w:r>
    </w:p>
    <w:p>
      <w:pPr>
        <w:pStyle w:val="Heading3"/>
      </w:pPr>
      <w:r>
        <w:t>研究方法</w:t>
      </w:r>
    </w:p>
    <w:p>
      <w:r>
        <w:t>研究类型：方法学/数据库构建研究，包含AI模型开发与定量语料分析；摘要未明确标注为定量、定性或混合研究。参与者/样本：无人类参与者报告；模型训练使用Morpholex约6000个形态标注词；BAWF覆盖约37.8万词；应用语料包括大型英美语料库、Wiktionary、Wikipedia词根列表及儿童文本数据库（图画书、少年小说、学校阅读项目），具体儿童文本数据库名称、规模与年级范围摘要未说明。数据收集：从Morpholex获取人工形态编码训练数据；微调GPT-4.1；对Wiktionary中见于大型英美语料库的词进行词部编码；映射Wikipedia词根到Wiktionary词条；整合儿童文本数据库进行估计；开发在线应用。数据分析：以与现有数据库的一致性评估LLM编码性能；描述性估计儿童文本中的语素/词族覆盖模式；未说明具体统计模型或显著性检验。</w:t>
      </w:r>
    </w:p>
    <w:p>
      <w:pPr>
        <w:pStyle w:val="Heading3"/>
      </w:pPr>
      <w:r>
        <w:t>主要发现</w:t>
      </w:r>
    </w:p>
    <w:p>
      <w:r>
        <w:t>1）LLM词部预测总体良好，与现有数据库的一致性处于常见范围，但输出存在错误和噪声。2）儿童印刷文本中多语素词从图画书到少年小说再到学校阅读项目逐步增加；希腊-拉丁词根词很早就出现且常见；约100个前缀/后缀可能解释几乎所有派生词。3）BAWF开放数据库提供频率、词族大小、语素数等词汇、形态和心理语言学变量，并配有AI辅助检索、解释、解析复核和教学支持功能。</w:t>
      </w:r>
    </w:p>
    <w:p>
      <w:pPr>
        <w:pStyle w:val="Heading3"/>
      </w:pPr>
      <w:r>
        <w:t>对教师教育研究的启示</w:t>
      </w:r>
    </w:p>
    <w:p>
      <w:r>
        <w:t>直接针对教师教育或教师培训的证据摘要未说明；对教师教育研究的启示主要是方法学与资源开发。1）主题前沿：将AI微调模型与开放语料库用于儿童词汇和教材语素覆盖分析，可支撑职前与在职教师的语言教学知识、教材词汇选择和AI辅助资源评估。2）研究设计：示范“人工标注数据库微调LLM—与现有数据库一致性验证—大规模语料应用—儿童文本估计—在线工具转化”的路径；教师教育研究可借鉴此流程开发学科教学资源并设置人工校验。3）数据与方法：整合人工形态标注、词典/词根资源、大型语料库和儿童文本数据库，采用模型一致性评估与描述性覆盖估计；需明确报告模型误差/噪声、儿童文本样本与年级范围，并增加教师使用与教学效果验证。</w:t>
      </w:r>
    </w:p>
    <w:p>
      <w:pPr>
        <w:pStyle w:val="Heading3"/>
      </w:pPr>
      <w:r>
        <w:t>APA引用格式</w:t>
      </w:r>
    </w:p>
    <w:p>
      <w:r>
        <w:t>Green, C., Hiebert, E. H., &amp; Coxhead, A. (2026). Patterns of morphology in children’s print: Estimates of polymorphemic vocabulary using an innovative, AI-informed database of British and American word families. Frontiers in Psychology. https://doi.org/10.3389/fpsyg.2026.1985734</w:t>
      </w:r>
    </w:p>
    <w:p>
      <w:r>
        <w:br w:type="page"/>
      </w:r>
    </w:p>
    <w:p>
      <w:pPr>
        <w:pStyle w:val="Heading2"/>
      </w:pPr>
      <w:r>
        <w:t>3. What Can a Representation Support? Generative Artificial Intelligence and Professional Knowing in Practice / 表征能支持什么？生成式人工智能与实践中的专业知能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What Can a Representation Support? Generative Artificial Intelligence and Professional Knowing in Practice / 表征能支持什么？生成式人工智能与实践中的专业知能</w:t>
            </w:r>
          </w:p>
        </w:tc>
      </w:tr>
      <w:tr>
        <w:tc>
          <w:tcPr>
            <w:tcW w:type="dxa" w:w="4997"/>
          </w:tcPr>
          <w:p>
            <w:r>
              <w:rPr>
                <w:b/>
              </w:rPr>
              <w:t>作者</w:t>
            </w:r>
          </w:p>
        </w:tc>
        <w:tc>
          <w:tcPr>
            <w:tcW w:type="dxa" w:w="4997"/>
          </w:tcPr>
          <w:p>
            <w:r>
              <w:t>Charlotte Arkenback-Sundström, Andreas Stenberg, Martina Wyszynska Johansson</w:t>
            </w:r>
          </w:p>
        </w:tc>
      </w:tr>
      <w:tr>
        <w:tc>
          <w:tcPr>
            <w:tcW w:type="dxa" w:w="4997"/>
          </w:tcPr>
          <w:p>
            <w:r>
              <w:rPr>
                <w:b/>
              </w:rPr>
              <w:t>期刊及影响因子</w:t>
            </w:r>
          </w:p>
        </w:tc>
        <w:tc>
          <w:tcPr>
            <w:tcW w:type="dxa" w:w="4997"/>
          </w:tcPr>
          <w:p>
            <w:r>
              <w:t>白名单未提供影响因子；白名单未提供JCR分区；SSCI分类：Education &amp; Educational Research, History &amp; Philosophy Of Science</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卷期：元数据未提供；DOI：https://doi.org/10.1007/s42438-026-00713-w</w:t>
            </w:r>
          </w:p>
        </w:tc>
      </w:tr>
      <w:tr>
        <w:tc>
          <w:tcPr>
            <w:tcW w:type="dxa" w:w="4997"/>
          </w:tcPr>
          <w:p>
            <w:r>
              <w:rPr>
                <w:b/>
              </w:rPr>
              <w:t>在线发表时间</w:t>
            </w:r>
          </w:p>
        </w:tc>
        <w:tc>
          <w:tcPr>
            <w:tcW w:type="dxa" w:w="4997"/>
          </w:tcPr>
          <w:p>
            <w:r>
              <w:t>2026-10-17</w:t>
            </w:r>
          </w:p>
        </w:tc>
      </w:tr>
      <w:tr>
        <w:tc>
          <w:tcPr>
            <w:tcW w:type="dxa" w:w="4997"/>
          </w:tcPr>
          <w:p>
            <w:r>
              <w:rPr>
                <w:b/>
              </w:rPr>
              <w:t>SSCI分类</w:t>
            </w:r>
          </w:p>
        </w:tc>
        <w:tc>
          <w:tcPr>
            <w:tcW w:type="dxa" w:w="4997"/>
          </w:tcPr>
          <w:p>
            <w:r>
              <w:t>Education &amp; Educational Research；History &amp; Philosophy Of Science</w:t>
            </w:r>
          </w:p>
        </w:tc>
      </w:tr>
      <w:tr>
        <w:tc>
          <w:tcPr>
            <w:tcW w:type="dxa" w:w="4997"/>
          </w:tcPr>
          <w:p>
            <w:r>
              <w:rPr>
                <w:b/>
              </w:rPr>
              <w:t>论文链接</w:t>
            </w:r>
          </w:p>
        </w:tc>
        <w:tc>
          <w:tcPr>
            <w:tcW w:type="dxa" w:w="4997"/>
          </w:tcPr>
          <w:p>
            <w:hyperlink r:id="rId11">
              <w:r>
                <w:rPr>
                  <w:color w:val="0563C1"/>
                  <w:u w:val="single"/>
                </w:rPr>
                <w:t>https://doi.org/10.1007/s42438-026-00713-w</w:t>
              </w:r>
            </w:hyperlink>
          </w:p>
        </w:tc>
      </w:tr>
    </w:tbl>
    <w:p>
      <w:pPr>
        <w:pStyle w:val="Heading3"/>
      </w:pPr>
      <w:r>
        <w:t>研究摘要</w:t>
      </w:r>
    </w:p>
    <w:p>
      <w:r>
        <w:t>生成式人工智能日益嵌入大学专业工作，但其意义不能从单个提示、输出或名义使用类别推断。本研究考察不同组织方式的专业实践如何塑造实践者使用GenAI的方式，以及当GenAI中介工作成为持续专业项目的一部分时，什么发生变化、持续或被重新开启。研究基于实践者主导的协作行动研究和实践架构理论，分析嵌入评估与校准、课程开发、认证与学分转换、实习督导、学术督导和学术工作等持续专业项目中的GenAI中介互动纵向文档语料。研究发现专业知能具有实践特异性；跨实践比较识别出连接专业依据、物质条件和情境责任的反复但重叠配置；分析性工作可分配给GenAI，但专业授权并未对称转移；早期表述和文档可能持续、被重开、再情境化或影响后续实践；局部连贯的生成工作可能不再服务于更广专业项目却未必事实错误。研究因此复杂化以最终输出核验为中心的人类监督叙述，并指出披露类别或保存聊天记录本身不足以使GenAI参与可审查。</w:t>
      </w:r>
    </w:p>
    <w:p>
      <w:pPr>
        <w:pStyle w:val="Heading3"/>
      </w:pPr>
      <w:r>
        <w:t>研究主要内容</w:t>
      </w:r>
    </w:p>
    <w:p>
      <w:r>
        <w:t>论文聚焦大学专业工作中生成式人工智能介入后的专业知能与判断问题。作者不把GenAI的意义归因于单个提示词、输出质量或使用类别，而是将其置于不同组织方式的专业实践和持续专业项目中考察。研究覆盖评估与校准、课程开发、认证与学分转换、实习督导、学术督导和学术工作等场景，追踪GenAI中介互动如何被文档化并进入后续实践。分析显示，专业知能具有实践特异性，不同项目要求实践者区分和判断的对象不同；跨实践比较发现专业依据、物质条件与情境责任之间存在反复但重叠的配置；纵向看，早期GenAI中介表述和文档可能持续、被重开、再情境化或对后续实践产生后果。论文据此主张，专业判断贯穿协作全过程，不能简化为对最终输出的核验；披露类别或保存聊天记录也不足以使GenAI参与真正可审查。需注意：摘要显示研究对象为大学专业工作场景，未涉及学前教育或基础教育阶段。</w:t>
      </w:r>
    </w:p>
    <w:p>
      <w:pPr>
        <w:pStyle w:val="Heading3"/>
      </w:pPr>
      <w:r>
        <w:t>研究论点</w:t>
      </w:r>
    </w:p>
    <w:p>
      <w:r>
        <w:t>核心论点是：GenAI的意义与后果不能由提示词、输出或使用类别推断，而须置于具体实践架构与持续专业项目中理解；专业判断不是事后输出核验，而是贯穿协作过程的协商、限制、归属、重开与项目层面监控。</w:t>
      </w:r>
    </w:p>
    <w:p>
      <w:pPr>
        <w:pStyle w:val="Heading3"/>
      </w:pPr>
      <w:r>
        <w:t>研究问题</w:t>
      </w:r>
    </w:p>
    <w:p>
      <w:r>
        <w:t>摘要未以问句明确列出研究问题。其核心研究问题是：不同组织方式的专业实践如何塑造实践者使用GenAI的方式？当GenAI中介工作纳入持续专业项目后，哪些实践发生变化、持续或被重新开启？专业知能、专业授权与人类监督在何种实践架构中被重构？</w:t>
      </w:r>
    </w:p>
    <w:p>
      <w:pPr>
        <w:pStyle w:val="Heading3"/>
      </w:pPr>
      <w:r>
        <w:t>研究方法</w:t>
      </w:r>
    </w:p>
    <w:p>
      <w:r>
        <w:t>研究类型：实践者主导的协作行动研究；摘要未说明是否包含定量成分，所述资料为纵向文档语料，整体呈质性研究取向。样本/参与者：摘要未说明具体人数、机构与遴选方式；研究覆盖评估与校准、课程开发、认证与学分转换、实习督导、学术督导、学术工作等持续专业项目中的实践者。数据来源：嵌入持续专业项目中的GenAI中介互动纵向文档语料。分析方法：以实践架构理论为分析框架，进行跨实践比较与纵向分析，关注专业依据、物质条件、情境责任及协商、限制、归属、重开、项目层面监控等过程。摘要未说明具体编码软件、信效度程序与伦理细节。</w:t>
      </w:r>
    </w:p>
    <w:p>
      <w:pPr>
        <w:pStyle w:val="Heading3"/>
      </w:pPr>
      <w:r>
        <w:t>主要发现</w:t>
      </w:r>
    </w:p>
    <w:p>
      <w:r>
        <w:t>1）专业知能具有实践特异性：不同专业项目与实践架构下，实践者需要区分和判断的对象不同，GenAI使用不能由提示词、输出或名义使用类别直接推断。2）跨实践比较发现专业依据、物质条件与情境责任之间存在反复但重叠的配置；分析性工作可分配给GenAI，但专业授权并未对称转移；局部连贯的生成工作可能不再服务于更广专业项目却未必事实错误。3）纵向看，早期GenAI中介表述和文档可能持续、被重开、再情境化并对后续实践产生后果；专业判断贯穿协商、限制、归属、重开与项目层面监控，仅靠最终输出核验或披露类别/聊天记录不足以使GenAI参与可审查。</w:t>
      </w:r>
    </w:p>
    <w:p>
      <w:pPr>
        <w:pStyle w:val="Heading3"/>
      </w:pPr>
      <w:r>
        <w:t>对教师教育研究的启示</w:t>
      </w:r>
    </w:p>
    <w:p>
      <w:r>
        <w:t>注意：摘要研究对象为大学专业工作场景，未涉及学前教育或基础教育阶段；以下为对教师教育研究的迁移性启示。1）前沿主题：教师教育中的AI研究可从“工具接受度/输出质量”转向GenAI如何重构教师专业判断、专业授权与责任，以及制度、材料与情境条件如何塑造AI整合。2）研究设计：可借鉴实践者主导的协作行动研究、实践架构理论与纵向追踪，关注教师培训或AI整合项目中专业实践的变化、持续与重开；跨实践/跨场景比较有助于识别反复配置与差异。3）数据收集与分析：收集GenAI中介互动的文档化纵向语料（对话记录、项目文档、实践材料等），分析协商、限制、归属、重开与项目层面监控，而非只编码提示词或使用类别；同时需补充摘要未说明的样本、伦理与信效度程序。</w:t>
      </w:r>
    </w:p>
    <w:p>
      <w:pPr>
        <w:pStyle w:val="Heading3"/>
      </w:pPr>
      <w:r>
        <w:t>APA引用格式</w:t>
      </w:r>
    </w:p>
    <w:p>
      <w:r>
        <w:t>Arkenback-Sundström, C., Stenberg, A., &amp; Wyszynska Johansson, M. (2026). What can a representation support? Generative artificial intelligence and professional knowing in practice. Postdigital Science and Education. https://doi.org/10.1007/s42438-026-00713-w</w:t>
      </w:r>
    </w:p>
    <w:p>
      <w:r>
        <w:br w:type="page"/>
      </w:r>
    </w:p>
    <w:p>
      <w:pPr>
        <w:pStyle w:val="Heading2"/>
      </w:pPr>
      <w:r>
        <w:t>4. PROFESSIONAL-ADAPTIVE MODEL OF TRANSFORMING WOMEN IN UZBEKISTAN FROM AI CONSUMERS TO CREATORS / 乌兹别克斯坦女性从人工智能消费者转变为创造者的职业适应性模型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PROFESSIONAL-ADAPTIVE MODEL OF TRANSFORMING WOMEN IN UZBEKISTAN FROM AI CONSUMERS TO CREATORS / 乌兹别克斯坦女性从人工智能消费者转变为创造者的职业适应性模型</w:t>
            </w:r>
          </w:p>
        </w:tc>
      </w:tr>
      <w:tr>
        <w:tc>
          <w:tcPr>
            <w:tcW w:type="dxa" w:w="4997"/>
          </w:tcPr>
          <w:p>
            <w:r>
              <w:rPr>
                <w:b/>
              </w:rPr>
              <w:t>作者</w:t>
            </w:r>
          </w:p>
        </w:tc>
        <w:tc>
          <w:tcPr>
            <w:tcW w:type="dxa" w:w="4997"/>
          </w:tcPr>
          <w:p>
            <w:r>
              <w:t>Sirojiddinova Xamidaxon Xasanboy kizi；Worldly Knowledge Publishing Centre（元数据所列）</w:t>
            </w:r>
          </w:p>
        </w:tc>
      </w:tr>
      <w:tr>
        <w:tc>
          <w:tcPr>
            <w:tcW w:type="dxa" w:w="4997"/>
          </w:tcPr>
          <w:p>
            <w:r>
              <w:rPr>
                <w:b/>
              </w:rPr>
              <w:t>期刊及影响因子</w:t>
            </w:r>
          </w:p>
        </w:tc>
        <w:tc>
          <w:tcPr>
            <w:tcW w:type="dxa" w:w="4997"/>
          </w:tcPr>
          <w:p>
            <w:r>
              <w:t>期刊：International Journal of Technology and Academic Research；元数据标注SSCI分类为International Relations；白名单未提供影响因子与JCR分区。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卷期：摘要/元数据未说明；DOI：https://doi.org/10.5281/zenodo.23432826</w:t>
            </w:r>
          </w:p>
        </w:tc>
      </w:tr>
      <w:tr>
        <w:tc>
          <w:tcPr>
            <w:tcW w:type="dxa" w:w="4997"/>
          </w:tcPr>
          <w:p>
            <w:r>
              <w:rPr>
                <w:b/>
              </w:rPr>
              <w:t>在线发表时间</w:t>
            </w:r>
          </w:p>
        </w:tc>
        <w:tc>
          <w:tcPr>
            <w:tcW w:type="dxa" w:w="4997"/>
          </w:tcPr>
          <w:p>
            <w:r>
              <w:t>2026-10-17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http://waerasia.org/index.php/index/article/view/834</w:t>
              </w:r>
            </w:hyperlink>
          </w:p>
        </w:tc>
      </w:tr>
    </w:tbl>
    <w:p>
      <w:pPr>
        <w:pStyle w:val="Heading3"/>
      </w:pPr>
      <w:r>
        <w:t>研究摘要</w:t>
      </w:r>
    </w:p>
    <w:p>
      <w:r>
        <w:t>该研究面向乌兹别克斯坦女性人工智能素养提升，指出女性在AI使用与独立运用AI创造专业创新方案之间存在差距，旨在构建职业适应性AI教育模型，推动女性从AI基础使用者转变为实践方案创造者。研究采用系统分析、比较分析、模型设计与数字教育平台原型开发等方法，提出包含职业领域识别、初始AI能力评估、个性化学习路径、与职业任务匹配的AI培训和实践项目等环节的模型，并开发SheTechAI平台作为技术原型。摘要报告了四阶段能力模型，但未说明实证样本、数据收集与效果评估结果。</w:t>
      </w:r>
    </w:p>
    <w:p>
      <w:pPr>
        <w:pStyle w:val="Heading3"/>
      </w:pPr>
      <w:r>
        <w:t>研究主要内容</w:t>
      </w:r>
    </w:p>
    <w:p>
      <w:r>
        <w:t>论文关注AI快速发展背景下数字能力需求变化及女性AI应用能力差距，提出一个面向乌兹别克斯坦女性的职业适应性AI教育模型。模型设计包括识别用户职业领域、评估初始AI能力、形成个性化学习路径，并提供与专业任务对齐的AI培训课程和实践项目；同时开发SheTechAI平台作为模型的技术原型。研究最终提出四阶段能力模型，目标是从“提供AI知识”推进到“运用AI解决真实专业问题并创造新方案”。摘要未报告样本、干预过程、平台使用数据或效果检验。</w:t>
      </w:r>
    </w:p>
    <w:p>
      <w:pPr>
        <w:pStyle w:val="Heading3"/>
      </w:pPr>
      <w:r>
        <w:t>研究论点</w:t>
      </w:r>
    </w:p>
    <w:p>
      <w:r>
        <w:t>作者的核心主张是：女性AI教育不应停留在工具使用和知识普及层面，而应通过职业适应性的个性化学习路径、项目实践与平台支持，促进其运用AI解决真实专业问题并创造新方案，从而实现从AI消费者向AI创造者的转变。</w:t>
      </w:r>
    </w:p>
    <w:p>
      <w:pPr>
        <w:pStyle w:val="Heading3"/>
      </w:pPr>
      <w:r>
        <w:t>研究问题</w:t>
      </w:r>
    </w:p>
    <w:p>
      <w:r>
        <w:t>研究目的是开发一个职业适应性AI教育模型，帮助乌兹别克斯坦女性从AI基础使用者转变为实际解决方案的创造者；具体研究问题摘要未逐条列出。</w:t>
      </w:r>
    </w:p>
    <w:p>
      <w:pPr>
        <w:pStyle w:val="Heading3"/>
      </w:pPr>
      <w:r>
        <w:t>研究方法</w:t>
      </w:r>
    </w:p>
    <w:p>
      <w:r>
        <w:t>研究类型：模型设计与数字平台原型开发研究，非明确标注为定量、定性或混合方法。样本/参与者：摘要未说明。数据来源：摘要未说明；研究提及系统分析、比较分析、模型设计与数字教育平台原型开发。分析方法：采用系统分析、比较分析和模型设计，开发SheTechAI平台原型；是否开展需求调查、试点测试、统计检验或质性分析，摘要未说明。</w:t>
      </w:r>
    </w:p>
    <w:p>
      <w:pPr>
        <w:pStyle w:val="Heading3"/>
      </w:pPr>
      <w:r>
        <w:t>主要发现</w:t>
      </w:r>
    </w:p>
    <w:p>
      <w:r>
        <w:t>1. 研究识别出女性在AI使用水平与独立运用AI创造专业创新方案之间存在差距，并将其作为AI教育模型设计的核心问题。2. 提出职业适应性AI教育模型，包含识别用户职业领域、评估初始AI能力、形成个性化学习路径，以及提供与职业任务匹配的AI培训和实践项目。3. 开发SheTechAI平台作为模型技术原型，并提出四阶段能力模型，目标是从“提供AI知识”转向“运用AI解决真实专业问题并创造新方案”；摘要未报告模型效果的实证评估结果。</w:t>
      </w:r>
    </w:p>
    <w:p>
      <w:pPr>
        <w:pStyle w:val="Heading3"/>
      </w:pPr>
      <w:r>
        <w:t>对教师教育研究的启示</w:t>
      </w:r>
    </w:p>
    <w:p>
      <w:r>
        <w:t>该文不直接涉及学前教育或基础教育教学场景，对教师教育研究的启示主要在主题与研究设计层面：其一，教师AI素养/智能素养培训可借鉴“职业领域识别—初始能力评估—个性化学习路径—任务导向项目实践”的设计逻辑，将培训与教师真实教学任务结合；其二，可采用模型设计与平台原型开发推进教师教育AI整合研究，但需在后续研究中补充教师样本、前后测、课堂观察、平台日志、访谈等数据，并明确定量/定性/混合分析方案以检验效果；其三，若研究教师角色转型，应避免仅报告模型架构，需增加实施过程与学习成效证据。</w:t>
      </w:r>
    </w:p>
    <w:p>
      <w:pPr>
        <w:pStyle w:val="Heading3"/>
      </w:pPr>
      <w:r>
        <w:t>APA引用格式</w:t>
      </w:r>
    </w:p>
    <w:p>
      <w:r>
        <w:t>Sirojiddinova, X. X. k., &amp; Worldly Knowledge Publishing Centre. (2026). Professional-adaptive model of transforming women in Uzbekistan from AI consumers to creators. International Journal of Technology and Academic Research. https://doi.org/10.5281/zenodo.23432826</w:t>
      </w:r>
    </w:p>
    <w:p>
      <w:r>
        <w:br w:type="page"/>
      </w:r>
    </w:p>
    <w:p>
      <w:pPr>
        <w:pStyle w:val="Heading2"/>
      </w:pPr>
      <w:r>
        <w:t>5. Learning together, growing together: teacher educators' engagement in a virtual professional learning / 共同学习，共同成长：教师教育者在虚拟专业学习中的参与</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Learning together, growing together: teacher educators' engagement in a virtual professional learning / 共同学习，共同成长：教师教育者在虚拟专业学习中的参与</w:t>
            </w:r>
          </w:p>
        </w:tc>
      </w:tr>
      <w:tr>
        <w:tc>
          <w:tcPr>
            <w:tcW w:type="dxa" w:w="4997"/>
          </w:tcPr>
          <w:p>
            <w:r>
              <w:rPr>
                <w:b/>
              </w:rPr>
              <w:t>作者</w:t>
            </w:r>
          </w:p>
        </w:tc>
        <w:tc>
          <w:tcPr>
            <w:tcW w:type="dxa" w:w="4997"/>
          </w:tcPr>
          <w:p>
            <w:r>
              <w:t>Lulut Widyaningrum, Issy Yuliasri, Januarius Mujiyanto, Yuliati Yuliati</w:t>
            </w:r>
          </w:p>
        </w:tc>
      </w:tr>
      <w:tr>
        <w:tc>
          <w:tcPr>
            <w:tcW w:type="dxa" w:w="4997"/>
          </w:tcPr>
          <w:p>
            <w:r>
              <w:rPr>
                <w:b/>
              </w:rPr>
              <w:t>期刊及影响因子</w:t>
            </w:r>
          </w:p>
        </w:tc>
        <w:tc>
          <w:tcPr>
            <w:tcW w:type="dxa" w:w="4997"/>
          </w:tcPr>
          <w:p>
            <w:r>
              <w:t>SSCI分类：Interdisciplinary, Social Sciences, Sociology；影响因子/JCR分区：白名单未提供影响因子，白名单未提供JCR分区。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卷期：摘要未说明；DOI：10.1108/qrj-05-2025-0163</w:t>
            </w:r>
          </w:p>
        </w:tc>
      </w:tr>
      <w:tr>
        <w:tc>
          <w:tcPr>
            <w:tcW w:type="dxa" w:w="4997"/>
          </w:tcPr>
          <w:p>
            <w:r>
              <w:rPr>
                <w:b/>
              </w:rPr>
              <w:t>在线发表时间</w:t>
            </w:r>
          </w:p>
        </w:tc>
        <w:tc>
          <w:tcPr>
            <w:tcW w:type="dxa" w:w="4997"/>
          </w:tcPr>
          <w:p>
            <w:r>
              <w:t>2026-10-20</w:t>
            </w:r>
          </w:p>
        </w:tc>
      </w:tr>
      <w:tr>
        <w:tc>
          <w:tcPr>
            <w:tcW w:type="dxa" w:w="4997"/>
          </w:tcPr>
          <w:p>
            <w:r>
              <w:rPr>
                <w:b/>
              </w:rPr>
              <w:t>SSCI分类</w:t>
            </w:r>
          </w:p>
        </w:tc>
        <w:tc>
          <w:tcPr>
            <w:tcW w:type="dxa" w:w="4997"/>
          </w:tcPr>
          <w:p>
            <w:r>
              <w:t>Interdisciplinary；Social Sciences；Sociology</w:t>
            </w:r>
          </w:p>
        </w:tc>
      </w:tr>
      <w:tr>
        <w:tc>
          <w:tcPr>
            <w:tcW w:type="dxa" w:w="4997"/>
          </w:tcPr>
          <w:p>
            <w:r>
              <w:rPr>
                <w:b/>
              </w:rPr>
              <w:t>论文链接</w:t>
            </w:r>
          </w:p>
        </w:tc>
        <w:tc>
          <w:tcPr>
            <w:tcW w:type="dxa" w:w="4997"/>
          </w:tcPr>
          <w:p>
            <w:hyperlink r:id="rId13">
              <w:r>
                <w:rPr>
                  <w:color w:val="0563C1"/>
                  <w:u w:val="single"/>
                </w:rPr>
                <w:t>https://doi.org/10.1108/qrj-05-2025-0163</w:t>
              </w:r>
            </w:hyperlink>
          </w:p>
        </w:tc>
      </w:tr>
    </w:tbl>
    <w:p>
      <w:pPr>
        <w:pStyle w:val="Heading3"/>
      </w:pPr>
      <w:r>
        <w:t>研究摘要</w:t>
      </w:r>
    </w:p>
    <w:p>
      <w:r>
        <w:t>该研究探讨印度尼西亚教师教育者如何通过基于WhatsApp的虚拟专业学习共同体（VPLC）参与虚拟专业学习，聚焦“共同学习”与“共同成长”过程。研究采用解释性定性案例研究设计，数据主要来自半结构化访谈，分析受多维度参与框架（行为、认知、协作、社会、情感）引导。摘要显示，同伴反馈、资源共享、结构化对话和反思性探究支持教学适应与专业信心；情感支持、信任和分布式领导有助于维持参与；工作负荷和数字素养不均构成挑战，但移动端专业共同体为情境敏感、合作性和持续性的专业成长提供空间。摘要未说明样本量、参与者具体背景及具体数据分析技术；也未说明其是否直接对应学前教育或小学、初中阶段。</w:t>
      </w:r>
    </w:p>
    <w:p>
      <w:pPr>
        <w:pStyle w:val="Heading3"/>
      </w:pPr>
      <w:r>
        <w:t>研究主要内容</w:t>
      </w:r>
    </w:p>
    <w:p>
      <w:r>
        <w:t>论文关注教师教育者这一在VPLC研究中相对代表性不足的群体，考察一个自组织、运行于正式机构专业发展结构之外的WhatsApp虚拟专业学习共同体。研究以行为、认知、协作、社会和情感五维参与框架分析教师教育者的参与过程，强调这些维度如何共同支持资源受限且地理分散的印尼情境中的专业学习。</w:t>
      </w:r>
    </w:p>
    <w:p>
      <w:pPr>
        <w:pStyle w:val="Heading3"/>
      </w:pPr>
      <w:r>
        <w:t>研究论点</w:t>
      </w:r>
    </w:p>
    <w:p>
      <w:r>
        <w:t>核心论点是：教师教育者在移动端、自组织的虚拟专业学习共同体中的专业成长，不仅依赖资源共享和对话，也依赖情感支持、信任与分布式领导；多维度参与框架有助于解释这种非正式、情境化的专业学习。</w:t>
      </w:r>
    </w:p>
    <w:p>
      <w:pPr>
        <w:pStyle w:val="Heading3"/>
      </w:pPr>
      <w:r>
        <w:t>研究问题</w:t>
      </w:r>
    </w:p>
    <w:p>
      <w:r>
        <w:t>研究问题可概括为：印度尼西亚教师教育者如何参与基于WhatsApp的虚拟专业学习共同体，并在其中经历“共同学习”和“共同成长”？摘要未列出更细化的子问题。</w:t>
      </w:r>
    </w:p>
    <w:p>
      <w:pPr>
        <w:pStyle w:val="Heading3"/>
      </w:pPr>
      <w:r>
        <w:t>研究方法</w:t>
      </w:r>
    </w:p>
    <w:p>
      <w:r>
        <w:t>研究类型：解释性定性案例研究。样本/参与者：印度尼西亚教师教育者；具体人数、教龄、机构分布及是否涉及学前或小学、初中教师教育，摘要未说明。数据来源：主要为半结构化访谈，围绕参与者在WhatsApp VPLC中的参与体验；是否辅以观察、平台文本或文档资料，摘要未说明。分析方法：在行为、认知、协作、社会、情感五维参与框架引导下进行分析；具体编码流程、分析软件和信效度策略，摘要未说明。</w:t>
      </w:r>
    </w:p>
    <w:p>
      <w:pPr>
        <w:pStyle w:val="Heading3"/>
      </w:pPr>
      <w:r>
        <w:t>主要发现</w:t>
      </w:r>
    </w:p>
    <w:p>
      <w:r>
        <w:t>1）同伴反馈、资源共享、结构化对话与反思性探究支持教师教育者的教学适应和专业信心提升。2）情感支持、信任和分布式领导是维持虚拟专业学习共同体参与的关键条件。3）尽管存在工作负荷压力和数字素养不均等挑战，基于移动端的专业共同体仍为资源受限、地理分散情境中的合作性、持续性专业成长提供有意义空间。</w:t>
      </w:r>
    </w:p>
    <w:p>
      <w:pPr>
        <w:pStyle w:val="Heading3"/>
      </w:pPr>
      <w:r>
        <w:t>对教师教育研究的启示</w:t>
      </w:r>
    </w:p>
    <w:p>
      <w:r>
        <w:t>对教师教育研究的启示：1）研究对象上，应更多关注教师教育者而非仅学校教师，弥补VPLC研究中的群体缺口；2）研究设计上，可借鉴解释性定性案例研究，聚焦自组织、正式制度之外的移动端专业学习共同体；3）数据收集上，半结构化访谈可捕捉参与体验，但后续研究应明确样本信息，并考虑补充平台互动文本、观察或追踪数据；4）分析框架上，行为—认知—协作—社会—情感的多维参与框架可用于分析数字化教师专业学习；5）主题上，关注情感支持、信任、分布式领导、数字素养差异与工作负荷对教师持续参与的影响。该文不涉及AI教学应用或教师AI素养，摘要未说明AI相关数据，也未说明其与学前教育或小学、初中阶段的直接对应关系。</w:t>
      </w:r>
    </w:p>
    <w:p>
      <w:pPr>
        <w:pStyle w:val="Heading3"/>
      </w:pPr>
      <w:r>
        <w:t>APA引用格式</w:t>
      </w:r>
    </w:p>
    <w:p>
      <w:r>
        <w:t>Widyaningrum, L., Yuliasri, I., Mujiyanto, J., &amp; Yuliati, Y. (2026). Learning together, growing together: teacher educators' engagement in a virtual professional learning. Qualitative Research Journal. https://doi.org/10.1108/qrj-05-2025-0163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91.61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3429750" TargetMode="External"/><Relationship Id="rId10" Type="http://schemas.openxmlformats.org/officeDocument/2006/relationships/hyperlink" Target="https://doi.org/10.3389/fpsyg.2026.1985734" TargetMode="External"/><Relationship Id="rId11" Type="http://schemas.openxmlformats.org/officeDocument/2006/relationships/hyperlink" Target="https://doi.org/10.1007/s42438-026-00713-w" TargetMode="External"/><Relationship Id="rId12" Type="http://schemas.openxmlformats.org/officeDocument/2006/relationships/hyperlink" Target="http://waerasia.org/index.php/index/article/view/834" TargetMode="External"/><Relationship Id="rId13" Type="http://schemas.openxmlformats.org/officeDocument/2006/relationships/hyperlink" Target="https://doi.org/10.1108/qrj-05-2025-0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