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rFonts w:ascii="Microsoft YaHei" w:hAnsi="Microsoft YaHei" w:eastAsia="Microsoft YaHei"/>
          <w:b/>
          <w:color w:val="1F5496"/>
          <w:sz w:val="44"/>
        </w:rPr>
        <w:t>每日SSCI文献简报｜2026-07-10</w:t>
      </w:r>
    </w:p>
    <w:p>
      <w:pPr>
        <w:jc w:val="center"/>
      </w:pPr>
      <w:r>
        <w:rPr>
          <w:color w:val="596882"/>
          <w:sz w:val="22"/>
        </w:rPr>
        <w:t>学前与基础教育 · AI教学应用 · 教师数字/智能/数据素养 · 教师教育</w:t>
      </w:r>
    </w:p>
    <w:p>
      <w:pPr>
        <w:ind w:left="230" w:right="230"/>
      </w:pPr>
      <w:r>
        <w:rPr>
          <w:i/>
          <w:color w:val="596882"/>
        </w:rPr>
        <w:t>本期采用混合推荐策略：2篇近三年内最新候选文献 + 3篇近三年内AI教学相关度最高文献；已排除历史重复推荐。</w:t>
      </w:r>
    </w:p>
    <w:tbl>
      <w:tblPr>
        <w:tblStyle w:val="LightShading-Accent1"/>
        <w:tblW w:type="auto" w:w="0"/>
        <w:tblLook w:firstColumn="1" w:firstRow="1" w:lastColumn="0" w:lastRow="0" w:noHBand="0" w:noVBand="1" w:val="04A0"/>
      </w:tblPr>
      <w:tblGrid>
        <w:gridCol w:w="4997"/>
        <w:gridCol w:w="4997"/>
      </w:tblGrid>
      <w:tr>
        <w:tc>
          <w:tcPr>
            <w:tcW w:type="dxa" w:w="4997"/>
          </w:tcPr>
          <w:p>
            <w:r>
              <w:rPr>
                <w:b/>
              </w:rPr>
              <w:t>生成时间</w:t>
            </w:r>
          </w:p>
        </w:tc>
        <w:tc>
          <w:tcPr>
            <w:tcW w:type="dxa" w:w="4997"/>
          </w:tcPr>
          <w:p>
            <w:r>
              <w:t>2026-07-10 09:45:47（北京时间）</w:t>
            </w:r>
          </w:p>
        </w:tc>
      </w:tr>
      <w:tr>
        <w:tc>
          <w:tcPr>
            <w:tcW w:type="dxa" w:w="4997"/>
          </w:tcPr>
          <w:p>
            <w:r>
              <w:rPr>
                <w:b/>
              </w:rPr>
              <w:t>检索窗口</w:t>
            </w:r>
          </w:p>
        </w:tc>
        <w:tc>
          <w:tcPr>
            <w:tcW w:type="dxa" w:w="4997"/>
          </w:tcPr>
          <w:p>
            <w:r>
              <w:t>2023-07-11 — 2026-07-10</w:t>
            </w:r>
          </w:p>
        </w:tc>
      </w:tr>
      <w:tr>
        <w:tc>
          <w:tcPr>
            <w:tcW w:type="dxa" w:w="4997"/>
          </w:tcPr>
          <w:p>
            <w:r>
              <w:rPr>
                <w:b/>
              </w:rPr>
              <w:t>检索与筛选</w:t>
            </w:r>
          </w:p>
        </w:tc>
        <w:tc>
          <w:tcPr>
            <w:tcW w:type="dxa" w:w="4997"/>
          </w:tcPr>
          <w:p>
            <w:r>
              <w:t>检索 750 篇；筛选 5 篇；AI成功 5 篇</w:t>
            </w:r>
          </w:p>
        </w:tc>
      </w:tr>
      <w:tr>
        <w:tc>
          <w:tcPr>
            <w:tcW w:type="dxa" w:w="4997"/>
          </w:tcPr>
          <w:p>
            <w:r>
              <w:rPr>
                <w:b/>
              </w:rPr>
              <w:t>本地文件</w:t>
            </w:r>
          </w:p>
        </w:tc>
        <w:tc>
          <w:tcPr>
            <w:tcW w:type="dxa" w:w="4997"/>
          </w:tcPr>
          <w:p>
            <w:r>
              <w:t>Markdown 与 Word 文档已保存至 docs/ 目录</w:t>
            </w:r>
          </w:p>
        </w:tc>
      </w:tr>
    </w:tbl>
    <w:p/>
    <w:p>
      <w:pPr>
        <w:pStyle w:val="Heading1"/>
      </w:pPr>
      <w:r>
        <w:t>一、今日研究亮点总结</w:t>
      </w:r>
    </w:p>
    <w:p>
      <w:pPr>
        <w:ind w:left="230" w:right="230"/>
      </w:pPr>
      <w:r>
        <w:rPr>
          <w:i/>
          <w:color w:val="596882"/>
        </w:rPr>
        <w:t>今日文献共同关注沉浸式技术与生成式AI在教师教育中的整合应用，采用现象学、实践学-生态学分析等定性方法揭示技术赋能与风险。研究创新性体现在关注技术整合中的情境约束与生态适应，并反思算法对教学流程和文化传承的潜在挑战，贴近中国教育数字化转型的现实关切。</w:t>
      </w:r>
    </w:p>
    <w:p>
      <w:pPr>
        <w:pStyle w:val="Heading1"/>
      </w:pPr>
      <w:r>
        <w:t>目录</w:t>
      </w:r>
    </w:p>
    <w:p>
      <w:pPr>
        <w:pStyle w:val="ListNumber"/>
      </w:pPr>
      <w:r>
        <w:rPr>
          <w:b/>
        </w:rPr>
        <w:t>利用虚拟现实应用策展博物馆中的灵活学习空间</w:t>
      </w:r>
      <w:r>
        <w:t>｜Education and Information Technologies｜2026-07-08</w:t>
      </w:r>
    </w:p>
    <w:p>
      <w:pPr>
        <w:pStyle w:val="ListNumber"/>
      </w:pPr>
      <w:r>
        <w:rPr>
          <w:b/>
        </w:rPr>
        <w:t>GenAI辅助TESOL教师教育中的数字多模态写作</w:t>
      </w:r>
      <w:r>
        <w:t>｜TESOL Quarterly｜2026-07-08</w:t>
      </w:r>
    </w:p>
    <w:p>
      <w:pPr>
        <w:pStyle w:val="ListNumber"/>
      </w:pPr>
      <w:r>
        <w:rPr>
          <w:b/>
        </w:rPr>
        <w:t>生成式AI在中小学音乐课堂中教学评整合：内在逻辑、风险与策略</w:t>
      </w:r>
      <w:r>
        <w:t>｜IRA International Journal of Education and Multidisciplinary Studies｜2026-07-09</w:t>
      </w:r>
    </w:p>
    <w:p>
      <w:pPr>
        <w:pStyle w:val="ListNumber"/>
      </w:pPr>
      <w:r>
        <w:rPr>
          <w:b/>
        </w:rPr>
        <w:t>在约束中释放潜力：加纳数学教师教育中元教学实践学的实践学-生态学分析</w:t>
      </w:r>
      <w:r>
        <w:t>｜Journal of Mathematics Teacher Education｜2026-07-08</w:t>
      </w:r>
    </w:p>
    <w:p>
      <w:pPr>
        <w:pStyle w:val="ListNumber"/>
      </w:pPr>
      <w:r>
        <w:rPr>
          <w:b/>
        </w:rPr>
        <w:t>教育中的人工智能（AIED）：机遇、挑战与解决方案</w:t>
      </w:r>
      <w:r>
        <w:t>｜Zenodo (CERN European Organization for Nuclear Research)｜2026-07-08</w:t>
      </w:r>
    </w:p>
    <w:p>
      <w:pPr>
        <w:sectPr>
          <w:pgSz w:w="12240" w:h="15840"/>
          <w:pgMar w:top="1037" w:right="1123" w:bottom="1037" w:left="1123" w:header="720" w:footer="720" w:gutter="0"/>
          <w:cols w:space="720"/>
          <w:docGrid w:linePitch="360"/>
        </w:sectPr>
      </w:pPr>
    </w:p>
    <w:p>
      <w:pPr>
        <w:pStyle w:val="Heading1"/>
      </w:pPr>
      <w:r>
        <w:t>二、文献摘要</w:t>
      </w:r>
    </w:p>
    <w:p>
      <w:pPr>
        <w:pStyle w:val="Heading2"/>
      </w:pPr>
      <w:r>
        <w:t>1. Curating flexible learning spaces in museums with a virtual reality application / 利用虚拟现实应用策展博物馆中的灵活学习空间</w:t>
      </w:r>
    </w:p>
    <w:tbl>
      <w:tblPr>
        <w:tblStyle w:val="LightList-Accent1"/>
        <w:tblW w:type="auto" w:w="0"/>
        <w:tblLook w:firstColumn="1" w:firstRow="1" w:lastColumn="0" w:lastRow="0" w:noHBand="0" w:noVBand="1" w:val="04A0"/>
      </w:tblPr>
      <w:tblGrid>
        <w:gridCol w:w="4997"/>
        <w:gridCol w:w="4997"/>
      </w:tblGrid>
      <w:tr>
        <w:tc>
          <w:tcPr>
            <w:tcW w:type="dxa" w:w="4997"/>
          </w:tcPr>
          <w:p>
            <w:r>
              <w:rPr>
                <w:b/>
              </w:rPr>
              <w:t>标题</w:t>
            </w:r>
          </w:p>
        </w:tc>
        <w:tc>
          <w:tcPr>
            <w:tcW w:type="dxa" w:w="4997"/>
          </w:tcPr>
          <w:p>
            <w:r>
              <w:t>Curating flexible learning spaces in museums with a virtual reality application / 利用虚拟现实应用策展博物馆中的灵活学习空间</w:t>
            </w:r>
          </w:p>
        </w:tc>
      </w:tr>
      <w:tr>
        <w:tc>
          <w:tcPr>
            <w:tcW w:type="dxa" w:w="4997"/>
          </w:tcPr>
          <w:p>
            <w:r>
              <w:rPr>
                <w:b/>
              </w:rPr>
              <w:t>作者</w:t>
            </w:r>
          </w:p>
        </w:tc>
        <w:tc>
          <w:tcPr>
            <w:tcW w:type="dxa" w:w="4997"/>
          </w:tcPr>
          <w:p>
            <w:r>
              <w:t>Gizéh Rangel‐de Lázaro, Josep M. Duart, Delsa Silva Amino Cufuna</w:t>
            </w:r>
          </w:p>
        </w:tc>
      </w:tr>
      <w:tr>
        <w:tc>
          <w:tcPr>
            <w:tcW w:type="dxa" w:w="4997"/>
          </w:tcPr>
          <w:p>
            <w:r>
              <w:rPr>
                <w:b/>
              </w:rPr>
              <w:t>期刊及影响因子</w:t>
            </w:r>
          </w:p>
        </w:tc>
        <w:tc>
          <w:tcPr>
            <w:tcW w:type="dxa" w:w="4997"/>
          </w:tcPr>
          <w:p>
            <w:r>
              <w:t>未提供影响因子 / 未提供JCR分区</w:t>
            </w:r>
          </w:p>
        </w:tc>
      </w:tr>
      <w:tr>
        <w:tc>
          <w:tcPr>
            <w:tcW w:type="dxa" w:w="4997"/>
          </w:tcPr>
          <w:p>
            <w:r>
              <w:rPr>
                <w:b/>
              </w:rPr>
              <w:t>JIF/影响因子</w:t>
            </w:r>
          </w:p>
        </w:tc>
        <w:tc>
          <w:tcPr>
            <w:tcW w:type="dxa" w:w="4997"/>
          </w:tcPr>
          <w:p>
            <w:r>
              <w:t>白名单未提供</w:t>
            </w:r>
          </w:p>
        </w:tc>
      </w:tr>
      <w:tr>
        <w:tc>
          <w:tcPr>
            <w:tcW w:type="dxa" w:w="4997"/>
          </w:tcPr>
          <w:p>
            <w:r>
              <w:rPr>
                <w:b/>
              </w:rPr>
              <w:t>JCR分区</w:t>
            </w:r>
          </w:p>
        </w:tc>
        <w:tc>
          <w:tcPr>
            <w:tcW w:type="dxa" w:w="4997"/>
          </w:tcPr>
          <w:p>
            <w:r>
              <w:t>白名单未提供</w:t>
            </w:r>
          </w:p>
        </w:tc>
      </w:tr>
      <w:tr>
        <w:tc>
          <w:tcPr>
            <w:tcW w:type="dxa" w:w="4997"/>
          </w:tcPr>
          <w:p>
            <w:r>
              <w:rPr>
                <w:b/>
              </w:rPr>
              <w:t>CiteScore</w:t>
            </w:r>
          </w:p>
        </w:tc>
        <w:tc>
          <w:tcPr>
            <w:tcW w:type="dxa" w:w="4997"/>
          </w:tcPr>
          <w:p>
            <w:r>
              <w:t>白名单未提供</w:t>
            </w:r>
          </w:p>
        </w:tc>
      </w:tr>
      <w:tr>
        <w:tc>
          <w:tcPr>
            <w:tcW w:type="dxa" w:w="4997"/>
          </w:tcPr>
          <w:p>
            <w:r>
              <w:rPr>
                <w:b/>
              </w:rPr>
              <w:t>出版社</w:t>
            </w:r>
          </w:p>
        </w:tc>
        <w:tc>
          <w:tcPr>
            <w:tcW w:type="dxa" w:w="4997"/>
          </w:tcPr>
          <w:p>
            <w:r>
              <w:t>1573-7608</w:t>
            </w:r>
          </w:p>
        </w:tc>
      </w:tr>
      <w:tr>
        <w:tc>
          <w:tcPr>
            <w:tcW w:type="dxa" w:w="4997"/>
          </w:tcPr>
          <w:p>
            <w:r>
              <w:rPr>
                <w:b/>
              </w:rPr>
              <w:t>卷期/DOI</w:t>
            </w:r>
          </w:p>
        </w:tc>
        <w:tc>
          <w:tcPr>
            <w:tcW w:type="dxa" w:w="4997"/>
          </w:tcPr>
          <w:p>
            <w:r>
              <w:t>DOI: https://doi.org/10.1007/s10639-026-14083-0</w:t>
            </w:r>
          </w:p>
        </w:tc>
      </w:tr>
      <w:tr>
        <w:tc>
          <w:tcPr>
            <w:tcW w:type="dxa" w:w="4997"/>
          </w:tcPr>
          <w:p>
            <w:r>
              <w:rPr>
                <w:b/>
              </w:rPr>
              <w:t>在线发表时间</w:t>
            </w:r>
          </w:p>
        </w:tc>
        <w:tc>
          <w:tcPr>
            <w:tcW w:type="dxa" w:w="4997"/>
          </w:tcPr>
          <w:p>
            <w:r>
              <w:t>2026-07-08</w:t>
            </w:r>
          </w:p>
        </w:tc>
      </w:tr>
      <w:tr>
        <w:tc>
          <w:tcPr>
            <w:tcW w:type="dxa" w:w="4997"/>
          </w:tcPr>
          <w:p>
            <w:r>
              <w:rPr>
                <w:b/>
              </w:rPr>
              <w:t>SSCI分类</w:t>
            </w:r>
          </w:p>
        </w:tc>
        <w:tc>
          <w:tcPr>
            <w:tcW w:type="dxa" w:w="4997"/>
          </w:tcPr>
          <w:p>
            <w:r>
              <w:t>Education &amp; Educational Research；English</w:t>
            </w:r>
          </w:p>
        </w:tc>
      </w:tr>
      <w:tr>
        <w:tc>
          <w:tcPr>
            <w:tcW w:type="dxa" w:w="4997"/>
          </w:tcPr>
          <w:p>
            <w:r>
              <w:rPr>
                <w:b/>
              </w:rPr>
              <w:t>论文链接</w:t>
            </w:r>
          </w:p>
        </w:tc>
        <w:tc>
          <w:tcPr>
            <w:tcW w:type="dxa" w:w="4997"/>
          </w:tcPr>
          <w:p>
            <w:hyperlink r:id="rId9">
              <w:r>
                <w:rPr>
                  <w:color w:val="0563C1"/>
                  <w:u w:val="single"/>
                </w:rPr>
                <w:t>https://doi.org/10.1007/s10639-026-14083-0</w:t>
              </w:r>
            </w:hyperlink>
          </w:p>
        </w:tc>
      </w:tr>
    </w:tbl>
    <w:p>
      <w:pPr>
        <w:pStyle w:val="Heading3"/>
      </w:pPr>
      <w:r>
        <w:t>研究摘要</w:t>
      </w:r>
    </w:p>
    <w:p>
      <w:r>
        <w:t>本研究探讨了职前教师如何利用虚拟现实（VR）概念化和体验博物馆中灵活学习空间的设计。基于现象学方法论和Lefebvre (1991)的空间三元组，它研究了沉浸式数字环境如何培养空间素养、教学创造力和专业身份。参与小学教育项目的学生参与了一项四阶段VR活动，使用Oculus Rift头显设计模块化博物馆学习环境。活动前后反思的数据表明，VR将抽象教育理论转化为实际设计决策，并激发了对学习环境的情感联系。研究结果表明，沉浸式环境促进具身认知，并作为教师教育的催化剂工具。参与者报告了在设计包容性和适应性学习环境方面的信心增强，以及将沉浸式工具融入教育实践的热情。通过在虚拟环境中操作Lefebvre的空间理论，该研究提供了一个分析教育空间如何在数字博物馆中被生产和体验的新框架。该研究论证了VR作为教学媒介和专业想象空间的价值，强调了其重塑未来教育工作者策展、体验和教授博物馆学习环境的潜力。在实践中，教师教育课程可以将基于VR的博物馆设计任务嵌入到教学数字能力课程中，以加强空间素养、包容性规划和博物馆-学校合作。博物馆教育政策可以通过针对性投资沉浸式基础设施、员工培训以及连接博物馆与初始教师教育的跨部门合作伙伴关系来支持这一点。</w:t>
      </w:r>
    </w:p>
    <w:p>
      <w:pPr>
        <w:pStyle w:val="Heading3"/>
      </w:pPr>
      <w:r>
        <w:t>研究主要内容</w:t>
      </w:r>
    </w:p>
    <w:p>
      <w:r>
        <w:t>本研究采用现象学方法，以Lefebvre的空间三元组为理论框架，探索职前教师在VR环境中设计博物馆灵活学习空间的体验。参与者为小学教育专业学生，通过Oculus Rift头显完成四阶段VR博物馆设计任务，并收集活动前后反思数据。研究揭示VR能促进具身认知、空间素养和教学创造力，增强职前教师设计包容性学习环境的信心。研究还提出将VR博物馆设计任务融入教师教育课程的建设性建议。</w:t>
      </w:r>
    </w:p>
    <w:p>
      <w:pPr>
        <w:pStyle w:val="Heading3"/>
      </w:pPr>
      <w:r>
        <w:t>研究论点</w:t>
      </w:r>
    </w:p>
    <w:p>
      <w:r>
        <w:t>本文认为VR不仅是教学媒介，更是专业想象空间，能够促进职前教师的具身认知和空间素养；教师教育应将VR博物馆设计任务作为培养数字能力的关键环节；博物馆教育需要投资沉浸式基础设施并与教师教育建立跨部门合作。</w:t>
      </w:r>
    </w:p>
    <w:p>
      <w:pPr>
        <w:pStyle w:val="Heading3"/>
      </w:pPr>
      <w:r>
        <w:t>研究问题</w:t>
      </w:r>
    </w:p>
    <w:p>
      <w:r>
        <w:t>职前教师如何利用VR概念化和体验博物馆灵活学习空间的设计？</w:t>
      </w:r>
    </w:p>
    <w:p>
      <w:pPr>
        <w:pStyle w:val="Heading3"/>
      </w:pPr>
      <w:r>
        <w:t>研究方法</w:t>
      </w:r>
    </w:p>
    <w:p>
      <w:r>
        <w:t>研究类型：定性研究；样本：小学教育项目中的职前教师（具体数量未说明）；数据来源：活动前后反思文本；分析方法：基于现象学方法论，但具体的编码或分析步骤未在摘要中明确说明。</w:t>
      </w:r>
    </w:p>
    <w:p>
      <w:pPr>
        <w:pStyle w:val="Heading3"/>
      </w:pPr>
      <w:r>
        <w:t>主要发现</w:t>
      </w:r>
    </w:p>
    <w:p>
      <w:r>
        <w:t>['1. VR将抽象教育理论转化为具体的设计决策，促进了理论与实践的结合。', '2. VR激发了职前教师对学习环境的情感联系，强化了具身认知体验。', '3. 参与者报告了在设计包容性和适应性学习环境方面的信心提升，并对将VR融入教育实践表现出积极态度。']</w:t>
      </w:r>
    </w:p>
    <w:p>
      <w:pPr>
        <w:pStyle w:val="Heading3"/>
      </w:pPr>
      <w:r>
        <w:t>对教师教育研究的启示</w:t>
      </w:r>
    </w:p>
    <w:p>
      <w:r>
        <w:t>本研究展示了现象学方法与Lefebvre空间理论在教师教育研究中的创新应用，为通过VR环境收集反思数据提供了新思路；未来研究可混合定量方法（如量表测量信心变化）以增强证据链；教师教育课程可嵌入四阶段VR博物馆设计任务，作为培养数字素养和空间素养的实践环节；研究者可借鉴此活动设计框架，探索不同沉浸式技术对教师专业身份发展的影响。</w:t>
      </w:r>
    </w:p>
    <w:p>
      <w:pPr>
        <w:pStyle w:val="Heading3"/>
      </w:pPr>
      <w:r>
        <w:t>APA引用格式</w:t>
      </w:r>
    </w:p>
    <w:p>
      <w:r>
        <w:t>Rangel‐de Lázaro, G., Duart, J. M., &amp; Cufuna, D. S. A. (2026). Curating flexible learning spaces in museums with a virtual reality application. Education and Information Technologies. https://doi.org/10.1007/s10639-026-14083-0</w:t>
      </w:r>
    </w:p>
    <w:p>
      <w:r>
        <w:br w:type="page"/>
      </w:r>
    </w:p>
    <w:p>
      <w:pPr>
        <w:pStyle w:val="Heading2"/>
      </w:pPr>
      <w:r>
        <w:t>2. &lt;scp&gt;GenAI&lt;/scp&gt; ‐Assisted Digital Multimodal Composing in &lt;scp&gt;TESOL&lt;/scp&gt; Teacher Education / GenAI辅助TESOL教师教育中的数字多模态写作</w:t>
      </w:r>
    </w:p>
    <w:tbl>
      <w:tblPr>
        <w:tblStyle w:val="LightList-Accent1"/>
        <w:tblW w:type="auto" w:w="0"/>
        <w:tblLook w:firstColumn="1" w:firstRow="1" w:lastColumn="0" w:lastRow="0" w:noHBand="0" w:noVBand="1" w:val="04A0"/>
      </w:tblPr>
      <w:tblGrid>
        <w:gridCol w:w="4997"/>
        <w:gridCol w:w="4997"/>
      </w:tblGrid>
      <w:tr>
        <w:tc>
          <w:tcPr>
            <w:tcW w:type="dxa" w:w="4997"/>
          </w:tcPr>
          <w:p>
            <w:r>
              <w:rPr>
                <w:b/>
              </w:rPr>
              <w:t>标题</w:t>
            </w:r>
          </w:p>
        </w:tc>
        <w:tc>
          <w:tcPr>
            <w:tcW w:type="dxa" w:w="4997"/>
          </w:tcPr>
          <w:p>
            <w:r>
              <w:t>&lt;scp&gt;GenAI&lt;/scp&gt; ‐Assisted Digital Multimodal Composing in &lt;scp&gt;TESOL&lt;/scp&gt; Teacher Education / GenAI辅助TESOL教师教育中的数字多模态写作</w:t>
            </w:r>
          </w:p>
        </w:tc>
      </w:tr>
      <w:tr>
        <w:tc>
          <w:tcPr>
            <w:tcW w:type="dxa" w:w="4997"/>
          </w:tcPr>
          <w:p>
            <w:r>
              <w:rPr>
                <w:b/>
              </w:rPr>
              <w:t>作者</w:t>
            </w:r>
          </w:p>
        </w:tc>
        <w:tc>
          <w:tcPr>
            <w:tcW w:type="dxa" w:w="4997"/>
          </w:tcPr>
          <w:p>
            <w:r>
              <w:t>Benjamin Luke Moorhouse, Christoph A. Hafner, Tsz Ying Ho</w:t>
            </w:r>
          </w:p>
        </w:tc>
      </w:tr>
      <w:tr>
        <w:tc>
          <w:tcPr>
            <w:tcW w:type="dxa" w:w="4997"/>
          </w:tcPr>
          <w:p>
            <w:r>
              <w:rPr>
                <w:b/>
              </w:rPr>
              <w:t>期刊及影响因子</w:t>
            </w:r>
          </w:p>
        </w:tc>
        <w:tc>
          <w:tcPr>
            <w:tcW w:type="dxa" w:w="4997"/>
          </w:tcPr>
          <w:p>
            <w:r>
              <w:t>白名单未提供影响因子 / 白名单未提供JCR分区</w:t>
            </w:r>
          </w:p>
        </w:tc>
      </w:tr>
      <w:tr>
        <w:tc>
          <w:tcPr>
            <w:tcW w:type="dxa" w:w="4997"/>
          </w:tcPr>
          <w:p>
            <w:r>
              <w:rPr>
                <w:b/>
              </w:rPr>
              <w:t>JIF/影响因子</w:t>
            </w:r>
          </w:p>
        </w:tc>
        <w:tc>
          <w:tcPr>
            <w:tcW w:type="dxa" w:w="4997"/>
          </w:tcPr>
          <w:p>
            <w:r>
              <w:t>白名单未提供</w:t>
            </w:r>
          </w:p>
        </w:tc>
      </w:tr>
      <w:tr>
        <w:tc>
          <w:tcPr>
            <w:tcW w:type="dxa" w:w="4997"/>
          </w:tcPr>
          <w:p>
            <w:r>
              <w:rPr>
                <w:b/>
              </w:rPr>
              <w:t>JCR分区</w:t>
            </w:r>
          </w:p>
        </w:tc>
        <w:tc>
          <w:tcPr>
            <w:tcW w:type="dxa" w:w="4997"/>
          </w:tcPr>
          <w:p>
            <w:r>
              <w:t>白名单未提供</w:t>
            </w:r>
          </w:p>
        </w:tc>
      </w:tr>
      <w:tr>
        <w:tc>
          <w:tcPr>
            <w:tcW w:type="dxa" w:w="4997"/>
          </w:tcPr>
          <w:p>
            <w:r>
              <w:rPr>
                <w:b/>
              </w:rPr>
              <w:t>CiteScore</w:t>
            </w:r>
          </w:p>
        </w:tc>
        <w:tc>
          <w:tcPr>
            <w:tcW w:type="dxa" w:w="4997"/>
          </w:tcPr>
          <w:p>
            <w:r>
              <w:t>白名单未提供</w:t>
            </w:r>
          </w:p>
        </w:tc>
      </w:tr>
      <w:tr>
        <w:tc>
          <w:tcPr>
            <w:tcW w:type="dxa" w:w="4997"/>
          </w:tcPr>
          <w:p>
            <w:r>
              <w:rPr>
                <w:b/>
              </w:rPr>
              <w:t>出版社</w:t>
            </w:r>
          </w:p>
        </w:tc>
        <w:tc>
          <w:tcPr>
            <w:tcW w:type="dxa" w:w="4997"/>
          </w:tcPr>
          <w:p>
            <w:r>
              <w:t>WILEY</w:t>
            </w:r>
          </w:p>
        </w:tc>
      </w:tr>
      <w:tr>
        <w:tc>
          <w:tcPr>
            <w:tcW w:type="dxa" w:w="4997"/>
          </w:tcPr>
          <w:p>
            <w:r>
              <w:rPr>
                <w:b/>
              </w:rPr>
              <w:t>卷期/DOI</w:t>
            </w:r>
          </w:p>
        </w:tc>
        <w:tc>
          <w:tcPr>
            <w:tcW w:type="dxa" w:w="4997"/>
          </w:tcPr>
          <w:p>
            <w:r>
              <w:t>DOI: https://doi.org/10.1002/tesq.70184</w:t>
            </w:r>
          </w:p>
        </w:tc>
      </w:tr>
      <w:tr>
        <w:tc>
          <w:tcPr>
            <w:tcW w:type="dxa" w:w="4997"/>
          </w:tcPr>
          <w:p>
            <w:r>
              <w:rPr>
                <w:b/>
              </w:rPr>
              <w:t>在线发表时间</w:t>
            </w:r>
          </w:p>
        </w:tc>
        <w:tc>
          <w:tcPr>
            <w:tcW w:type="dxa" w:w="4997"/>
          </w:tcPr>
          <w:p>
            <w:r>
              <w:t>2026-07-08</w:t>
            </w:r>
          </w:p>
        </w:tc>
      </w:tr>
      <w:tr>
        <w:tc>
          <w:tcPr>
            <w:tcW w:type="dxa" w:w="4997"/>
          </w:tcPr>
          <w:p>
            <w:r>
              <w:rPr>
                <w:b/>
              </w:rPr>
              <w:t>SSCI分类</w:t>
            </w:r>
          </w:p>
        </w:tc>
        <w:tc>
          <w:tcPr>
            <w:tcW w:type="dxa" w:w="4997"/>
          </w:tcPr>
          <w:p>
            <w:r>
              <w:t>Education &amp; Educational Research；English；Linguistics</w:t>
            </w:r>
          </w:p>
        </w:tc>
      </w:tr>
      <w:tr>
        <w:tc>
          <w:tcPr>
            <w:tcW w:type="dxa" w:w="4997"/>
          </w:tcPr>
          <w:p>
            <w:r>
              <w:rPr>
                <w:b/>
              </w:rPr>
              <w:t>论文链接</w:t>
            </w:r>
          </w:p>
        </w:tc>
        <w:tc>
          <w:tcPr>
            <w:tcW w:type="dxa" w:w="4997"/>
          </w:tcPr>
          <w:p>
            <w:hyperlink r:id="rId10">
              <w:r>
                <w:rPr>
                  <w:color w:val="0563C1"/>
                  <w:u w:val="single"/>
                </w:rPr>
                <w:t>https://doi.org/10.1002/tesq.70184</w:t>
              </w:r>
            </w:hyperlink>
          </w:p>
        </w:tc>
      </w:tr>
    </w:tbl>
    <w:p>
      <w:pPr>
        <w:pStyle w:val="Heading3"/>
      </w:pPr>
      <w:r>
        <w:t>研究摘要</w:t>
      </w:r>
    </w:p>
    <w:p>
      <w:r>
        <w:t>本研究探讨了香港一所大学的职前TESOL教师如何将GenAI工具整合到数字多模态写作（DMC）项目中（构建网站）。具体而言，研究考察了他们在拥有GenAI工具使用自主权时，在DMC过程中的决策和认知参与。基于读写能力的社会实践视角，研究探讨了GenAI如何支持或复杂化多模态写作，以及TESOL职前教师的学习成果。数据通过小组和个人访谈（含刺激回忆）以及对小组项目网站的分析收集。结果显示，所有十个参与小组都使用了GenAI工具，但使用方式具有选择性和策略性，受工具效率、能力、真实性、意义建构以及期望参与程度的影响。GenAI既用于创建多模态内容（如图像、视频和摘要），也作为写作过程中的伙伴（如想法生成和反馈）。DMC项目培养了创造力、数字素养和批判性反思，参与者报告了对多模态和AI辅助教学法的信心增强。然而，研究也发现了对未来教学环境中AI可靠性和情境约束的担忧。研究强调了体验式学习、明确指导和伦理意识在TESOL教师教育中整合AI和DMC的重要性，为GenAI时代的课程设计提供了实践启示。</w:t>
      </w:r>
    </w:p>
    <w:p>
      <w:pPr>
        <w:pStyle w:val="Heading3"/>
      </w:pPr>
      <w:r>
        <w:t>研究主要内容</w:t>
      </w:r>
    </w:p>
    <w:p>
      <w:r>
        <w:t>本研究是一项定性研究，旨在探索职前TESOL教师在数字多模态写作项目中如何自主使用生成式人工智能工具，以及这一过程如何影响他们的决策、认知参与和专业学习。数据采集于香港某大学，涉及十组职前教师，通过小组和个人访谈（刺激回忆）及项目网站分析获取数据。研究发现，所有小组均使用了GenAI工具，但使用策略受多种因素影响，GenAI既作为内容创作工具，也作为协作伙伴。项目提升了教师的创造力、数字素养和批判性反思能力，同时也引发了对AI可靠性与教学情境限制的思考。</w:t>
      </w:r>
    </w:p>
    <w:p>
      <w:pPr>
        <w:pStyle w:val="Heading3"/>
      </w:pPr>
      <w:r>
        <w:t>研究论点</w:t>
      </w:r>
    </w:p>
    <w:p>
      <w:r>
        <w:t>论文的核心论点是在TESOL教师教育中，GenAI工具的有效整合需要通过体验式学习、明确指导和伦理意识来培养职前教师的批判性自主性，从而使其能够策略性地、创造性地利用AI支持多模态写作教学。</w:t>
      </w:r>
    </w:p>
    <w:p>
      <w:pPr>
        <w:pStyle w:val="Heading3"/>
      </w:pPr>
      <w:r>
        <w:t>研究问题</w:t>
      </w:r>
    </w:p>
    <w:p>
      <w:r>
        <w:t>研究问题包括：职前TESOL教师在拥有GenAI工具使用自主权时，如何在数字多模态写作过程中进行决策和认知投入？GenAI如何支持或复杂化多模态写作？以及对职前教师的专业学习有何影响？</w:t>
      </w:r>
    </w:p>
    <w:p>
      <w:pPr>
        <w:pStyle w:val="Heading3"/>
      </w:pPr>
      <w:r>
        <w:t>研究方法</w:t>
      </w:r>
    </w:p>
    <w:p>
      <w:r>
        <w:t>研究类型：定性研究。样本/参与者：香港某大学十组职前TESOL教师（具体人数未说明）。数据来源：小组和个人访谈（采用刺激回忆法）、小组项目网站内容分析。分析方法：未明确说明具体定性分析方法（如主题分析或内容分析），但属于对访谈文本和网站内容的解释性分析。</w:t>
      </w:r>
    </w:p>
    <w:p>
      <w:pPr>
        <w:pStyle w:val="Heading3"/>
      </w:pPr>
      <w:r>
        <w:t>主要发现</w:t>
      </w:r>
    </w:p>
    <w:p>
      <w:r>
        <w:t>['所有十组参与教师均使用了GenAI工具，但使用具有选择性和策略性，受到工具效率、能力、真实性、意义建构和个人期望参与程度的影响。', 'GenAI的角色包括：用于创建多模态内容（如图像、视频、摘要）以及作为写作过程中的协作伙伴（如生成想法、提供反馈）。', 'DMC项目促进了职前教师的创造力、数字素养和批判性反思，增强了对多模态和AI辅助教学法的信心，但同时也引发了对AI可靠性和未来教学情境约束的担忧。']</w:t>
      </w:r>
    </w:p>
    <w:p>
      <w:pPr>
        <w:pStyle w:val="Heading3"/>
      </w:pPr>
      <w:r>
        <w:t>对教师教育研究的启示</w:t>
      </w:r>
    </w:p>
    <w:p>
      <w:r>
        <w:t>本研究对教师教育研究的前沿主题、研究设计和数据分析方法具有以下启示：（1）研究设计可采用情境化的项目式学习，结合刺激回忆访谈收集教师决策过程中的认知数据；（2）数据收集可综合多个来源（如访谈、制品分析）以三角验证教师对AI工具的使用策略；（3）分析方法建议采用定性主题分析或扎根理论，深入揭示教师在AI整合中的自主性、批判性反思及情境因素对使用行为的影响；（4）主题上可关注体验式学习、明确指导和伦理意识在培养教师数字素养和AI整合能力中的作用。</w:t>
      </w:r>
    </w:p>
    <w:p>
      <w:pPr>
        <w:pStyle w:val="Heading3"/>
      </w:pPr>
      <w:r>
        <w:t>APA引用格式</w:t>
      </w:r>
    </w:p>
    <w:p>
      <w:r>
        <w:t>Moorhouse, B. L., Hafner, C. A., &amp; Ho, T. Y. (2026). GenAI-Assisted Digital Multimodal Composing in TESOL Teacher Education. TESOL Quarterly. https://doi.org/10.1002/tesq.70184</w:t>
      </w:r>
    </w:p>
    <w:p>
      <w:r>
        <w:br w:type="page"/>
      </w:r>
    </w:p>
    <w:p>
      <w:pPr>
        <w:pStyle w:val="Heading2"/>
      </w:pPr>
      <w:r>
        <w:t>3. Generative AI for Teaching-Learning-Assessment Integration in Primary and Secondary School Music Classrooms: Internal Logic, Risks, and Strategies / 生成式AI在中小学音乐课堂中教学评整合：内在逻辑、风险与策略</w:t>
      </w:r>
    </w:p>
    <w:tbl>
      <w:tblPr>
        <w:tblStyle w:val="LightList-Accent1"/>
        <w:tblW w:type="auto" w:w="0"/>
        <w:tblLook w:firstColumn="1" w:firstRow="1" w:lastColumn="0" w:lastRow="0" w:noHBand="0" w:noVBand="1" w:val="04A0"/>
      </w:tblPr>
      <w:tblGrid>
        <w:gridCol w:w="4997"/>
        <w:gridCol w:w="4997"/>
      </w:tblGrid>
      <w:tr>
        <w:tc>
          <w:tcPr>
            <w:tcW w:type="dxa" w:w="4997"/>
          </w:tcPr>
          <w:p>
            <w:r>
              <w:rPr>
                <w:b/>
              </w:rPr>
              <w:t>标题</w:t>
            </w:r>
          </w:p>
        </w:tc>
        <w:tc>
          <w:tcPr>
            <w:tcW w:type="dxa" w:w="4997"/>
          </w:tcPr>
          <w:p>
            <w:r>
              <w:t>Generative AI for Teaching-Learning-Assessment Integration in Primary and Secondary School Music Classrooms: Internal Logic, Risks, and Strategies / 生成式AI在中小学音乐课堂中教学评整合：内在逻辑、风险与策略</w:t>
            </w:r>
          </w:p>
        </w:tc>
      </w:tr>
      <w:tr>
        <w:tc>
          <w:tcPr>
            <w:tcW w:type="dxa" w:w="4997"/>
          </w:tcPr>
          <w:p>
            <w:r>
              <w:rPr>
                <w:b/>
              </w:rPr>
              <w:t>作者</w:t>
            </w:r>
          </w:p>
        </w:tc>
        <w:tc>
          <w:tcPr>
            <w:tcW w:type="dxa" w:w="4997"/>
          </w:tcPr>
          <w:p>
            <w:r>
              <w:t>Li Jiaxin</w:t>
            </w:r>
          </w:p>
        </w:tc>
      </w:tr>
      <w:tr>
        <w:tc>
          <w:tcPr>
            <w:tcW w:type="dxa" w:w="4997"/>
          </w:tcPr>
          <w:p>
            <w:r>
              <w:rPr>
                <w:b/>
              </w:rPr>
              <w:t>期刊及影响因子</w:t>
            </w:r>
          </w:p>
        </w:tc>
        <w:tc>
          <w:tcPr>
            <w:tcW w:type="dxa" w:w="4997"/>
          </w:tcPr>
          <w:p>
            <w:r>
              <w:t>摘要未说明影响因子和JCR分区</w:t>
            </w:r>
          </w:p>
        </w:tc>
      </w:tr>
      <w:tr>
        <w:tc>
          <w:tcPr>
            <w:tcW w:type="dxa" w:w="4997"/>
          </w:tcPr>
          <w:p>
            <w:r>
              <w:rPr>
                <w:b/>
              </w:rPr>
              <w:t>JIF/影响因子</w:t>
            </w:r>
          </w:p>
        </w:tc>
        <w:tc>
          <w:tcPr>
            <w:tcW w:type="dxa" w:w="4997"/>
          </w:tcPr>
          <w:p>
            <w:r>
              <w:t>白名单未提供</w:t>
            </w:r>
          </w:p>
        </w:tc>
      </w:tr>
      <w:tr>
        <w:tc>
          <w:tcPr>
            <w:tcW w:type="dxa" w:w="4997"/>
          </w:tcPr>
          <w:p>
            <w:r>
              <w:rPr>
                <w:b/>
              </w:rPr>
              <w:t>JCR分区</w:t>
            </w:r>
          </w:p>
        </w:tc>
        <w:tc>
          <w:tcPr>
            <w:tcW w:type="dxa" w:w="4997"/>
          </w:tcPr>
          <w:p>
            <w:r>
              <w:t>白名单未提供</w:t>
            </w:r>
          </w:p>
        </w:tc>
      </w:tr>
      <w:tr>
        <w:tc>
          <w:tcPr>
            <w:tcW w:type="dxa" w:w="4997"/>
          </w:tcPr>
          <w:p>
            <w:r>
              <w:rPr>
                <w:b/>
              </w:rPr>
              <w:t>CiteScore</w:t>
            </w:r>
          </w:p>
        </w:tc>
        <w:tc>
          <w:tcPr>
            <w:tcW w:type="dxa" w:w="4997"/>
          </w:tcPr>
          <w:p>
            <w:r>
              <w:t>白名单未提供</w:t>
            </w:r>
          </w:p>
        </w:tc>
      </w:tr>
      <w:tr>
        <w:tc>
          <w:tcPr>
            <w:tcW w:type="dxa" w:w="4997"/>
          </w:tcPr>
          <w:p>
            <w:r>
              <w:rPr>
                <w:b/>
              </w:rPr>
              <w:t>出版社</w:t>
            </w:r>
          </w:p>
        </w:tc>
        <w:tc>
          <w:tcPr>
            <w:tcW w:type="dxa" w:w="4997"/>
          </w:tcPr>
          <w:p>
            <w:r>
              <w:t>SAGE PUBLICATIONS LTD</w:t>
            </w:r>
          </w:p>
        </w:tc>
      </w:tr>
      <w:tr>
        <w:tc>
          <w:tcPr>
            <w:tcW w:type="dxa" w:w="4997"/>
          </w:tcPr>
          <w:p>
            <w:r>
              <w:rPr>
                <w:b/>
              </w:rPr>
              <w:t>卷期/DOI</w:t>
            </w:r>
          </w:p>
        </w:tc>
        <w:tc>
          <w:tcPr>
            <w:tcW w:type="dxa" w:w="4997"/>
          </w:tcPr>
          <w:p>
            <w:r>
              <w:t>卷22, 期2, DOI: 10.21013/jems.v22.n2.p4</w:t>
            </w:r>
          </w:p>
        </w:tc>
      </w:tr>
      <w:tr>
        <w:tc>
          <w:tcPr>
            <w:tcW w:type="dxa" w:w="4997"/>
          </w:tcPr>
          <w:p>
            <w:r>
              <w:rPr>
                <w:b/>
              </w:rPr>
              <w:t>在线发表时间</w:t>
            </w:r>
          </w:p>
        </w:tc>
        <w:tc>
          <w:tcPr>
            <w:tcW w:type="dxa" w:w="4997"/>
          </w:tcPr>
          <w:p>
            <w:r>
              <w:t>2026-07-09</w:t>
            </w:r>
          </w:p>
        </w:tc>
      </w:tr>
      <w:tr>
        <w:tc>
          <w:tcPr>
            <w:tcW w:type="dxa" w:w="4997"/>
          </w:tcPr>
          <w:p>
            <w:r>
              <w:rPr>
                <w:b/>
              </w:rPr>
              <w:t>SSCI分类</w:t>
            </w:r>
          </w:p>
        </w:tc>
        <w:tc>
          <w:tcPr>
            <w:tcW w:type="dxa" w:w="4997"/>
          </w:tcPr>
          <w:p>
            <w:r>
              <w:t>International Relations</w:t>
            </w:r>
          </w:p>
        </w:tc>
      </w:tr>
      <w:tr>
        <w:tc>
          <w:tcPr>
            <w:tcW w:type="dxa" w:w="4997"/>
          </w:tcPr>
          <w:p>
            <w:r>
              <w:rPr>
                <w:b/>
              </w:rPr>
              <w:t>论文链接</w:t>
            </w:r>
          </w:p>
        </w:tc>
        <w:tc>
          <w:tcPr>
            <w:tcW w:type="dxa" w:w="4997"/>
          </w:tcPr>
          <w:p>
            <w:hyperlink r:id="rId11">
              <w:r>
                <w:rPr>
                  <w:color w:val="0563C1"/>
                  <w:u w:val="single"/>
                </w:rPr>
                <w:t>https://doi.org/10.21013/jems.v22.n2.p4</w:t>
              </w:r>
            </w:hyperlink>
          </w:p>
        </w:tc>
      </w:tr>
    </w:tbl>
    <w:p>
      <w:pPr>
        <w:pStyle w:val="Heading3"/>
      </w:pPr>
      <w:r>
        <w:t>研究摘要</w:t>
      </w:r>
    </w:p>
    <w:p>
      <w:r>
        <w:t>随着教育数字化转型的持续推进，生成式AI（GenAI）作为支持中小学音乐课堂中教学、学习与评估整合的可能手段越来越受到讨论。本文从课堂对齐的视角出发，阐述了GenAI在四种方式上支持音乐教学：帮助教师明确能力导向的学习目标、扩展和重组音乐学习内容、生成差异化教学选项、为形成性评估提供及时证据。同时，GenAI在音乐课堂中的应用可能带来新的风险：学习目标的算法模糊化、多元音乐传统的文化扁平化、艺术指导的过度标准化、评估窄化为可测量指标。为应对这些风险，本文提出了四项策略：保持教师的教学与伦理领导力、通过校本课程开发调整GenAI生成的教案、开发音乐专属大模型与多模态支持工具、构建量化分析与专业艺术判断相结合的协作评估机制。研究认为GenAI不应取代教师的审美、文化与教育能动性，其价值在于支持更具响应性和证据意识的音乐课堂，同时始终从属于美育目标。</w:t>
      </w:r>
    </w:p>
    <w:p>
      <w:pPr>
        <w:pStyle w:val="Heading3"/>
      </w:pPr>
      <w:r>
        <w:t>研究主要内容</w:t>
      </w:r>
    </w:p>
    <w:p>
      <w:r>
        <w:t>本文从课堂对齐视角系统阐述了GenAI在支持中小学音乐课堂教-学-评整合中的四种作用方式（明确学习目标、扩展内容、生成差异化选项、提供形成性评估证据），识别了四种潜在风险（目标模糊化、文化扁平化、标准过度化、评估窄化），并提出了四项应对策略（教师领导力、校本课程开发、专用模型与工具、协作评估机制）。</w:t>
      </w:r>
    </w:p>
    <w:p>
      <w:pPr>
        <w:pStyle w:val="Heading3"/>
      </w:pPr>
      <w:r>
        <w:t>研究论点</w:t>
      </w:r>
    </w:p>
    <w:p>
      <w:r>
        <w:t>生成式AI不应替代教师的美育、文化与教育主体性，其价值在于辅助教师构建更具响应性和证据支持的音乐课堂，并且始终服务于美育目标。</w:t>
      </w:r>
    </w:p>
    <w:p>
      <w:pPr>
        <w:pStyle w:val="Heading3"/>
      </w:pPr>
      <w:r>
        <w:t>研究问题</w:t>
      </w:r>
    </w:p>
    <w:p>
      <w:r>
        <w:t>摘要未明确列出具体研究问题，但论文核心围绕：如何实现生成式AI在中小学音乐课堂教-学-评中的有效整合？存在哪些风险？应采取何种策略？</w:t>
      </w:r>
    </w:p>
    <w:p>
      <w:pPr>
        <w:pStyle w:val="Heading3"/>
      </w:pPr>
      <w:r>
        <w:t>研究方法</w:t>
      </w:r>
    </w:p>
    <w:p>
      <w:r>
        <w:t>研究类型：理论/概念研究；未涉及实证数据收集与分析；无样本或参与者信息；数据来源：基于文献与理论推演；分析方法：概念分析与逻辑论证，未采用定量、定性或混合方法。</w:t>
      </w:r>
    </w:p>
    <w:p>
      <w:pPr>
        <w:pStyle w:val="Heading3"/>
      </w:pPr>
      <w:r>
        <w:t>主要发现</w:t>
      </w:r>
    </w:p>
    <w:p>
      <w:r>
        <w:t>['GenAI可从四个方面支持音乐课堂教-学-评整合：帮助教师明确能力导向的学习目标、扩展和重组音乐学习内容、生成差异化教学选项、为形成性评估提供及时证据。', '应用GenAI存在四类风险：学习目标被算法模糊化、多元音乐传统遭遇文化扁平化、艺术指导过度标准化、评估被窄化为仅可测量的指标。', '提出了四项应对策略：维持教师的教学与伦理领导力、通过校本课程开发调整GenAI生成的教学方案、开发音乐专属大模型与多模态工具、构建量化分析结合专业艺术判断的协作评估机制。']</w:t>
      </w:r>
    </w:p>
    <w:p>
      <w:pPr>
        <w:pStyle w:val="Heading3"/>
      </w:pPr>
      <w:r>
        <w:t>对教师教育研究的启示</w:t>
      </w:r>
    </w:p>
    <w:p>
      <w:r>
        <w:t>本研究对教师教育的启示包括：①教师需在AI应用中保持教学与伦理领导力，尤其是艺术教育中审美与文化判断不可让渡；②教师培训应强化校本课程开发能力，以便对AI生成的内容进行本土化调整；③需发展音乐教师的数字素养与跨学科协作能力，以有效整合定量分析与专业艺术判断；④教师教育课程应纳入对算法可能带来的文化同质化风险的批判性反思，培养具有文化敏感性的教学决策能力。</w:t>
      </w:r>
    </w:p>
    <w:p>
      <w:pPr>
        <w:pStyle w:val="Heading3"/>
      </w:pPr>
      <w:r>
        <w:t>APA引用格式</w:t>
      </w:r>
    </w:p>
    <w:p>
      <w:r>
        <w:t>Li, J. (2026). Generative AI for teaching-learning-assessment integration in primary and secondary school music classrooms: Internal logic, risks, and strategies. IRA International Journal of Education and Multidisciplinary Studies, 22(2). https://doi.org/10.21013/jems.v22.n2.p4</w:t>
      </w:r>
    </w:p>
    <w:p>
      <w:r>
        <w:br w:type="page"/>
      </w:r>
    </w:p>
    <w:p>
      <w:pPr>
        <w:pStyle w:val="Heading2"/>
      </w:pPr>
      <w:r>
        <w:t>4. Unlocking potential in the midst of constraints: a praxeological–ecological analysis of meta-didactical practices in mathematics teacher education in Ghana / 在约束中释放潜力：加纳数学教师教育中元教学实践学的实践学-生态学分析</w:t>
      </w:r>
    </w:p>
    <w:tbl>
      <w:tblPr>
        <w:tblStyle w:val="LightList-Accent1"/>
        <w:tblW w:type="auto" w:w="0"/>
        <w:tblLook w:firstColumn="1" w:firstRow="1" w:lastColumn="0" w:lastRow="0" w:noHBand="0" w:noVBand="1" w:val="04A0"/>
      </w:tblPr>
      <w:tblGrid>
        <w:gridCol w:w="4997"/>
        <w:gridCol w:w="4997"/>
      </w:tblGrid>
      <w:tr>
        <w:tc>
          <w:tcPr>
            <w:tcW w:type="dxa" w:w="4997"/>
          </w:tcPr>
          <w:p>
            <w:r>
              <w:rPr>
                <w:b/>
              </w:rPr>
              <w:t>标题</w:t>
            </w:r>
          </w:p>
        </w:tc>
        <w:tc>
          <w:tcPr>
            <w:tcW w:type="dxa" w:w="4997"/>
          </w:tcPr>
          <w:p>
            <w:r>
              <w:t>Unlocking potential in the midst of constraints: a praxeological–ecological analysis of meta-didactical practices in mathematics teacher education in Ghana / 在约束中释放潜力：加纳数学教师教育中元教学实践学的实践学-生态学分析</w:t>
            </w:r>
          </w:p>
        </w:tc>
      </w:tr>
      <w:tr>
        <w:tc>
          <w:tcPr>
            <w:tcW w:type="dxa" w:w="4997"/>
          </w:tcPr>
          <w:p>
            <w:r>
              <w:rPr>
                <w:b/>
              </w:rPr>
              <w:t>作者</w:t>
            </w:r>
          </w:p>
        </w:tc>
        <w:tc>
          <w:tcPr>
            <w:tcW w:type="dxa" w:w="4997"/>
          </w:tcPr>
          <w:p>
            <w:r>
              <w:t>Farouq Sessah Mensah</w:t>
            </w:r>
          </w:p>
        </w:tc>
      </w:tr>
      <w:tr>
        <w:tc>
          <w:tcPr>
            <w:tcW w:type="dxa" w:w="4997"/>
          </w:tcPr>
          <w:p>
            <w:r>
              <w:rPr>
                <w:b/>
              </w:rPr>
              <w:t>期刊及影响因子</w:t>
            </w:r>
          </w:p>
        </w:tc>
        <w:tc>
          <w:tcPr>
            <w:tcW w:type="dxa" w:w="4997"/>
          </w:tcPr>
          <w:p>
            <w:r>
              <w:t>未提供</w:t>
            </w:r>
          </w:p>
        </w:tc>
      </w:tr>
      <w:tr>
        <w:tc>
          <w:tcPr>
            <w:tcW w:type="dxa" w:w="4997"/>
          </w:tcPr>
          <w:p>
            <w:r>
              <w:rPr>
                <w:b/>
              </w:rPr>
              <w:t>JIF/影响因子</w:t>
            </w:r>
          </w:p>
        </w:tc>
        <w:tc>
          <w:tcPr>
            <w:tcW w:type="dxa" w:w="4997"/>
          </w:tcPr>
          <w:p>
            <w:r>
              <w:t>白名单未提供</w:t>
            </w:r>
          </w:p>
        </w:tc>
      </w:tr>
      <w:tr>
        <w:tc>
          <w:tcPr>
            <w:tcW w:type="dxa" w:w="4997"/>
          </w:tcPr>
          <w:p>
            <w:r>
              <w:rPr>
                <w:b/>
              </w:rPr>
              <w:t>JCR分区</w:t>
            </w:r>
          </w:p>
        </w:tc>
        <w:tc>
          <w:tcPr>
            <w:tcW w:type="dxa" w:w="4997"/>
          </w:tcPr>
          <w:p>
            <w:r>
              <w:t>白名单未提供</w:t>
            </w:r>
          </w:p>
        </w:tc>
      </w:tr>
      <w:tr>
        <w:tc>
          <w:tcPr>
            <w:tcW w:type="dxa" w:w="4997"/>
          </w:tcPr>
          <w:p>
            <w:r>
              <w:rPr>
                <w:b/>
              </w:rPr>
              <w:t>CiteScore</w:t>
            </w:r>
          </w:p>
        </w:tc>
        <w:tc>
          <w:tcPr>
            <w:tcW w:type="dxa" w:w="4997"/>
          </w:tcPr>
          <w:p>
            <w:r>
              <w:t>白名单未提供</w:t>
            </w:r>
          </w:p>
        </w:tc>
      </w:tr>
      <w:tr>
        <w:tc>
          <w:tcPr>
            <w:tcW w:type="dxa" w:w="4997"/>
          </w:tcPr>
          <w:p>
            <w:r>
              <w:rPr>
                <w:b/>
              </w:rPr>
              <w:t>出版社</w:t>
            </w:r>
          </w:p>
        </w:tc>
        <w:tc>
          <w:tcPr>
            <w:tcW w:type="dxa" w:w="4997"/>
          </w:tcPr>
          <w:p>
            <w:r>
              <w:t>1573-1820</w:t>
            </w:r>
          </w:p>
        </w:tc>
      </w:tr>
      <w:tr>
        <w:tc>
          <w:tcPr>
            <w:tcW w:type="dxa" w:w="4997"/>
          </w:tcPr>
          <w:p>
            <w:r>
              <w:rPr>
                <w:b/>
              </w:rPr>
              <w:t>卷期/DOI</w:t>
            </w:r>
          </w:p>
        </w:tc>
        <w:tc>
          <w:tcPr>
            <w:tcW w:type="dxa" w:w="4997"/>
          </w:tcPr>
          <w:p>
            <w:r>
              <w:t>Volume(issue)未提供; DOI: 10.1007/s10857-026-09769-8</w:t>
            </w:r>
          </w:p>
        </w:tc>
      </w:tr>
      <w:tr>
        <w:tc>
          <w:tcPr>
            <w:tcW w:type="dxa" w:w="4997"/>
          </w:tcPr>
          <w:p>
            <w:r>
              <w:rPr>
                <w:b/>
              </w:rPr>
              <w:t>在线发表时间</w:t>
            </w:r>
          </w:p>
        </w:tc>
        <w:tc>
          <w:tcPr>
            <w:tcW w:type="dxa" w:w="4997"/>
          </w:tcPr>
          <w:p>
            <w:r>
              <w:t>2026-07-08</w:t>
            </w:r>
          </w:p>
        </w:tc>
      </w:tr>
      <w:tr>
        <w:tc>
          <w:tcPr>
            <w:tcW w:type="dxa" w:w="4997"/>
          </w:tcPr>
          <w:p>
            <w:r>
              <w:rPr>
                <w:b/>
              </w:rPr>
              <w:t>SSCI分类</w:t>
            </w:r>
          </w:p>
        </w:tc>
        <w:tc>
          <w:tcPr>
            <w:tcW w:type="dxa" w:w="4997"/>
          </w:tcPr>
          <w:p>
            <w:r>
              <w:t>Education &amp; Educational Research；English</w:t>
            </w:r>
          </w:p>
        </w:tc>
      </w:tr>
      <w:tr>
        <w:tc>
          <w:tcPr>
            <w:tcW w:type="dxa" w:w="4997"/>
          </w:tcPr>
          <w:p>
            <w:r>
              <w:rPr>
                <w:b/>
              </w:rPr>
              <w:t>论文链接</w:t>
            </w:r>
          </w:p>
        </w:tc>
        <w:tc>
          <w:tcPr>
            <w:tcW w:type="dxa" w:w="4997"/>
          </w:tcPr>
          <w:p>
            <w:hyperlink r:id="rId12">
              <w:r>
                <w:rPr>
                  <w:color w:val="0563C1"/>
                  <w:u w:val="single"/>
                </w:rPr>
                <w:t>https://doi.org/10.1007/s10857-026-09769-8</w:t>
              </w:r>
            </w:hyperlink>
          </w:p>
        </w:tc>
      </w:tr>
    </w:tbl>
    <w:p>
      <w:pPr>
        <w:pStyle w:val="Heading3"/>
      </w:pPr>
      <w:r>
        <w:t>研究摘要</w:t>
      </w:r>
    </w:p>
    <w:p>
      <w:r>
        <w:t>呼吁将教学技术整合到数学教育中的声音常常假设理想化的课堂条件，而这些条件在全球南方情境中很少存在。这种假设忽视了教育工作者在将全球教学愿景适应资源受限和结构脆弱生态时所面临的复杂现实。针对这一脱节，本研究考察了加纳的数学教师教育者如何在系统性约束下支持职前教师学习数学教学法并整合教学技术。研究以元教学转换模型为理论框架，采用实践学-生态学视角，分析了通过哪些元教学实践学来教授教学实践。分析追踪了任务类型、技术和辩护话语在前教学、教学和后教学阶段的组织方式，以及它们如何受到物质、制度和政策生态的制约。基于课程计划、国家和机构政策文件以及数学教师教育者的访谈，分析揭示了表现性和可评估的元教学实践学始终受到青睐，侧重于可见的人工制品制作和课程演示，而logos维度（特别是明确的理论辩护）作为学习对象则并未得到充分转置。研究并未将此模式视为缺陷，而是将其概念化为对大规模课堂、基础设施匮乏、评估制度以及职前教师教学技术先前接触有限的生态理性适应。然而，这些适应也产生了实践学不连续性，尤其是通过边缘化富含logos的元教学实践，限制了职前教师发展关于教学技术整合的理论基础教学推理的机会。研究通过凸显数学教师教育者的情境能动性，将教学技术整合重新定义为约束下的元教学翻译，而非失败的实施。最后，研究呼吁教师教育政策和专业发展项目应支持实践学连贯性以及辩护话语的明确转置，从而实现既具有生态响应性又具有概念基础的教学技术整合数学教学实践。</w:t>
      </w:r>
    </w:p>
    <w:p>
      <w:pPr>
        <w:pStyle w:val="Heading3"/>
      </w:pPr>
      <w:r>
        <w:t>研究主要内容</w:t>
      </w:r>
    </w:p>
    <w:p>
      <w:r>
        <w:t>论文基于元教学转换模型和实践学-生态学视角，分析了加纳数学教师教育者如何支持职前教师在教学技术整合中应对系统性约束。通过对课程计划、政策文件和访谈的分析，揭示了表现性元教学实践学的优先和辩护话语（logos）的弱化，并将其解释为生态理性适应，同时指出了由此产生的实践学不连续性。</w:t>
      </w:r>
    </w:p>
    <w:p>
      <w:pPr>
        <w:pStyle w:val="Heading3"/>
      </w:pPr>
      <w:r>
        <w:t>研究论点</w:t>
      </w:r>
    </w:p>
    <w:p>
      <w:r>
        <w:t>教学技术整合应被重新概念化为受限条件下的元教学翻译，而非失败的实施；需要支持实践学连贯性和辩护话语的显性转置，从而使教师能够既生态响应又概念扎实地参与技术整合。</w:t>
      </w:r>
    </w:p>
    <w:p>
      <w:pPr>
        <w:pStyle w:val="Heading3"/>
      </w:pPr>
      <w:r>
        <w:t>研究问题</w:t>
      </w:r>
    </w:p>
    <w:p>
      <w:r>
        <w:t>加纳数学教师教育者如何在资源约束和结构脆弱的环境中，通过元教学实践学支持职前教师整合教学技术？</w:t>
      </w:r>
    </w:p>
    <w:p>
      <w:pPr>
        <w:pStyle w:val="Heading3"/>
      </w:pPr>
      <w:r>
        <w:t>研究方法</w:t>
      </w:r>
    </w:p>
    <w:p>
      <w:r>
        <w:t>定性研究。样本或参与者：数学教师教育者（MTEs），具体数量摘要未说明。数据来源：课程计划、国家和机构政策文件、半结构化访谈（摘要未明确说明访谈类型，推断为半结构化）。分析方法：基于元教学转换模型的实践学-生态学分析，具体编码或主题分析方法摘要未详细说明。</w:t>
      </w:r>
    </w:p>
    <w:p>
      <w:pPr>
        <w:pStyle w:val="Heading3"/>
      </w:pPr>
      <w:r>
        <w:t>主要发现</w:t>
      </w:r>
    </w:p>
    <w:p>
      <w:r>
        <w:t>1. 实践学层面，表现性和可评估的元教学实践学（如可见人工制品制作和课程演示）始终受到优先对待，而理论辩护维度（logos）作为学习对象则转置薄弱。2. 这种配置并非缺陷，而是对大规模班级、基础设施匮乏、评估制度及职前教师技术经验有限的生态理性适应。3. 然而，适应导致实践学不连续性，尤其是对富含logos的元教学实践的边缘化，限制了职前教师发展关于技术整合的理论基础教学推理。</w:t>
      </w:r>
    </w:p>
    <w:p>
      <w:pPr>
        <w:pStyle w:val="Heading3"/>
      </w:pPr>
      <w:r>
        <w:t>对教师教育研究的启示</w:t>
      </w:r>
    </w:p>
    <w:p>
      <w:r>
        <w:t>1. 教师教育政策与专业发展应支持元教学实践学的连贯性，特别是使辩护话语（logos）成为明确的教学对象，而不仅关注表现性产出。2. 研究者可采用实践学-生态学视角分析教师教育中的技术整合，关注结构性约束下的适应性逻辑而非缺陷视角，为跨情境比较提供框架。3. 数据收集可综合课程材料、政策文件与教师访谈，结合实践学分析揭示元教学实践的组织与生态根源，有助于设计针对性的教师培训模块。</w:t>
      </w:r>
    </w:p>
    <w:p>
      <w:pPr>
        <w:pStyle w:val="Heading3"/>
      </w:pPr>
      <w:r>
        <w:t>APA引用格式</w:t>
      </w:r>
    </w:p>
    <w:p>
      <w:r>
        <w:t>Mensah, F. S. (2026). Unlocking potential in the midst of constraints: A praxeological–ecological analysis of meta-didactical practices in mathematics teacher education in Ghana. Journal of Mathematics Teacher Education. https://doi.org/10.1007/s10857-026-09769-8</w:t>
      </w:r>
    </w:p>
    <w:p>
      <w:r>
        <w:br w:type="page"/>
      </w:r>
    </w:p>
    <w:p>
      <w:pPr>
        <w:pStyle w:val="Heading2"/>
      </w:pPr>
      <w:r>
        <w:t>5. Artificial Intelligence in Education (AIED): Opportunities, Challenges, and Solutions / 教育中的人工智能（AIED）：机遇、挑战与解决方案</w:t>
      </w:r>
    </w:p>
    <w:tbl>
      <w:tblPr>
        <w:tblStyle w:val="LightList-Accent1"/>
        <w:tblW w:type="auto" w:w="0"/>
        <w:tblLook w:firstColumn="1" w:firstRow="1" w:lastColumn="0" w:lastRow="0" w:noHBand="0" w:noVBand="1" w:val="04A0"/>
      </w:tblPr>
      <w:tblGrid>
        <w:gridCol w:w="4997"/>
        <w:gridCol w:w="4997"/>
      </w:tblGrid>
      <w:tr>
        <w:tc>
          <w:tcPr>
            <w:tcW w:type="dxa" w:w="4997"/>
          </w:tcPr>
          <w:p>
            <w:r>
              <w:rPr>
                <w:b/>
              </w:rPr>
              <w:t>标题</w:t>
            </w:r>
          </w:p>
        </w:tc>
        <w:tc>
          <w:tcPr>
            <w:tcW w:type="dxa" w:w="4997"/>
          </w:tcPr>
          <w:p>
            <w:r>
              <w:t>Artificial Intelligence in Education (AIED): Opportunities, Challenges, and Solutions / 教育中的人工智能（AIED）：机遇、挑战与解决方案</w:t>
            </w:r>
          </w:p>
        </w:tc>
      </w:tr>
      <w:tr>
        <w:tc>
          <w:tcPr>
            <w:tcW w:type="dxa" w:w="4997"/>
          </w:tcPr>
          <w:p>
            <w:r>
              <w:rPr>
                <w:b/>
              </w:rPr>
              <w:t>作者</w:t>
            </w:r>
          </w:p>
        </w:tc>
        <w:tc>
          <w:tcPr>
            <w:tcW w:type="dxa" w:w="4997"/>
          </w:tcPr>
          <w:p>
            <w:r>
              <w:t>Moin Uddin</w:t>
            </w:r>
          </w:p>
        </w:tc>
      </w:tr>
      <w:tr>
        <w:tc>
          <w:tcPr>
            <w:tcW w:type="dxa" w:w="4997"/>
          </w:tcPr>
          <w:p>
            <w:r>
              <w:rPr>
                <w:b/>
              </w:rPr>
              <w:t>期刊及影响因子</w:t>
            </w:r>
          </w:p>
        </w:tc>
        <w:tc>
          <w:tcPr>
            <w:tcW w:type="dxa" w:w="4997"/>
          </w:tcPr>
          <w:p>
            <w:r>
              <w:t>未提供影响因子，未提供JCR分区</w:t>
            </w:r>
          </w:p>
        </w:tc>
      </w:tr>
      <w:tr>
        <w:tc>
          <w:tcPr>
            <w:tcW w:type="dxa" w:w="4997"/>
          </w:tcPr>
          <w:p>
            <w:r>
              <w:rPr>
                <w:b/>
              </w:rPr>
              <w:t>JIF/影响因子</w:t>
            </w:r>
          </w:p>
        </w:tc>
        <w:tc>
          <w:tcPr>
            <w:tcW w:type="dxa" w:w="4997"/>
          </w:tcPr>
          <w:p>
            <w:r>
              <w:t>白名单未提供</w:t>
            </w:r>
          </w:p>
        </w:tc>
      </w:tr>
      <w:tr>
        <w:tc>
          <w:tcPr>
            <w:tcW w:type="dxa" w:w="4997"/>
          </w:tcPr>
          <w:p>
            <w:r>
              <w:rPr>
                <w:b/>
              </w:rPr>
              <w:t>JCR分区</w:t>
            </w:r>
          </w:p>
        </w:tc>
        <w:tc>
          <w:tcPr>
            <w:tcW w:type="dxa" w:w="4997"/>
          </w:tcPr>
          <w:p>
            <w:r>
              <w:t>白名单未提供</w:t>
            </w:r>
          </w:p>
        </w:tc>
      </w:tr>
      <w:tr>
        <w:tc>
          <w:tcPr>
            <w:tcW w:type="dxa" w:w="4997"/>
          </w:tcPr>
          <w:p>
            <w:r>
              <w:rPr>
                <w:b/>
              </w:rPr>
              <w:t>CiteScore</w:t>
            </w:r>
          </w:p>
        </w:tc>
        <w:tc>
          <w:tcPr>
            <w:tcW w:type="dxa" w:w="4997"/>
          </w:tcPr>
          <w:p>
            <w:r>
              <w:t>白名单未提供</w:t>
            </w:r>
          </w:p>
        </w:tc>
      </w:tr>
      <w:tr>
        <w:tc>
          <w:tcPr>
            <w:tcW w:type="dxa" w:w="4997"/>
          </w:tcPr>
          <w:p>
            <w:r>
              <w:rPr>
                <w:b/>
              </w:rPr>
              <w:t>出版社</w:t>
            </w:r>
          </w:p>
        </w:tc>
        <w:tc>
          <w:tcPr>
            <w:tcW w:type="dxa" w:w="4997"/>
          </w:tcPr>
          <w:p>
            <w:r>
              <w:t>SAGE PUBLICATIONS LTD</w:t>
            </w:r>
          </w:p>
        </w:tc>
      </w:tr>
      <w:tr>
        <w:tc>
          <w:tcPr>
            <w:tcW w:type="dxa" w:w="4997"/>
          </w:tcPr>
          <w:p>
            <w:r>
              <w:rPr>
                <w:b/>
              </w:rPr>
              <w:t>卷期/DOI</w:t>
            </w:r>
          </w:p>
        </w:tc>
        <w:tc>
          <w:tcPr>
            <w:tcW w:type="dxa" w:w="4997"/>
          </w:tcPr>
          <w:p>
            <w:r>
              <w:t>卷期信息缺失，DOI: 10.5281/zenodo.21263868</w:t>
            </w:r>
          </w:p>
        </w:tc>
      </w:tr>
      <w:tr>
        <w:tc>
          <w:tcPr>
            <w:tcW w:type="dxa" w:w="4997"/>
          </w:tcPr>
          <w:p>
            <w:r>
              <w:rPr>
                <w:b/>
              </w:rPr>
              <w:t>在线发表时间</w:t>
            </w:r>
          </w:p>
        </w:tc>
        <w:tc>
          <w:tcPr>
            <w:tcW w:type="dxa" w:w="4997"/>
          </w:tcPr>
          <w:p>
            <w:r>
              <w:t>2026-07-08</w:t>
            </w:r>
          </w:p>
        </w:tc>
      </w:tr>
      <w:tr>
        <w:tc>
          <w:tcPr>
            <w:tcW w:type="dxa" w:w="4997"/>
          </w:tcPr>
          <w:p>
            <w:r>
              <w:rPr>
                <w:b/>
              </w:rPr>
              <w:t>SSCI分类</w:t>
            </w:r>
          </w:p>
        </w:tc>
        <w:tc>
          <w:tcPr>
            <w:tcW w:type="dxa" w:w="4997"/>
          </w:tcPr>
          <w:p>
            <w:r>
              <w:t>Management</w:t>
            </w:r>
          </w:p>
        </w:tc>
      </w:tr>
      <w:tr>
        <w:tc>
          <w:tcPr>
            <w:tcW w:type="dxa" w:w="4997"/>
          </w:tcPr>
          <w:p>
            <w:r>
              <w:rPr>
                <w:b/>
              </w:rPr>
              <w:t>论文链接</w:t>
            </w:r>
          </w:p>
        </w:tc>
        <w:tc>
          <w:tcPr>
            <w:tcW w:type="dxa" w:w="4997"/>
          </w:tcPr>
          <w:p>
            <w:hyperlink r:id="rId13">
              <w:r>
                <w:rPr>
                  <w:color w:val="0563C1"/>
                  <w:u w:val="single"/>
                </w:rPr>
                <w:t>https://doi.org/10.5281/zenodo.21263868</w:t>
              </w:r>
            </w:hyperlink>
          </w:p>
        </w:tc>
      </w:tr>
    </w:tbl>
    <w:p>
      <w:pPr>
        <w:pStyle w:val="Heading3"/>
      </w:pPr>
      <w:r>
        <w:t>研究摘要</w:t>
      </w:r>
    </w:p>
    <w:p>
      <w:r>
        <w:t>人工智能正迅速改变全球教育系统。本文通过回顾近期研究，审视AI工具对学生和教师的影响。积极方面，AI通过个性化学习帮助学生自主学习，并通过自动化文书工作为教师节省时间。然而，AI也带来严重问题，例如学生作弊、丧失批判性思维技能，以及贫富学生之间日益扩大的差距。本文认为禁止AI并非良策，学校应采用混合模式，即AI作为辅助工具，但人类教师仍为学生的主要引导者。</w:t>
      </w:r>
    </w:p>
    <w:p>
      <w:pPr>
        <w:pStyle w:val="Heading3"/>
      </w:pPr>
      <w:r>
        <w:t>研究主要内容</w:t>
      </w:r>
    </w:p>
    <w:p>
      <w:r>
        <w:t>本文通过回顾近期研究，审视AI工具对学生和教师的影响，讨论机遇与挑战，并提出混合模型建议。</w:t>
      </w:r>
    </w:p>
    <w:p>
      <w:pPr>
        <w:pStyle w:val="Heading3"/>
      </w:pPr>
      <w:r>
        <w:t>研究论点</w:t>
      </w:r>
    </w:p>
    <w:p>
      <w:r>
        <w:t>学校应采纳AI作为助手的混合模式，人类教师仍为学生的主要引导者，禁止AI并非有效解决方案。</w:t>
      </w:r>
    </w:p>
    <w:p>
      <w:pPr>
        <w:pStyle w:val="Heading3"/>
      </w:pPr>
      <w:r>
        <w:t>研究问题</w:t>
      </w:r>
    </w:p>
    <w:p>
      <w:r>
        <w:t>未明确声明研究问题，隐含探讨AI在教育中的机遇、挑战及解决方案。</w:t>
      </w:r>
    </w:p>
    <w:p>
      <w:pPr>
        <w:pStyle w:val="Heading3"/>
      </w:pPr>
      <w:r>
        <w:t>研究方法</w:t>
      </w:r>
    </w:p>
    <w:p>
      <w:r>
        <w:t>研究类型：文献综述（综述性研究）；样本/参与者：无；数据来源：近期研究文献；分析方法：未说明（摘要未提供具体综述方法，如系统综述或元分析）。</w:t>
      </w:r>
    </w:p>
    <w:p>
      <w:pPr>
        <w:pStyle w:val="Heading3"/>
      </w:pPr>
      <w:r>
        <w:t>主要发现</w:t>
      </w:r>
    </w:p>
    <w:p>
      <w:r>
        <w:t>1. AI有助于个性化学习和教师行政工作自动化。 2. AI导致学生作弊现象增加和批判性思维削弱。 3. 数字鸿沟加剧，教育资源不平等扩大。</w:t>
      </w:r>
    </w:p>
    <w:p>
      <w:pPr>
        <w:pStyle w:val="Heading3"/>
      </w:pPr>
      <w:r>
        <w:t>对教师教育研究的启示</w:t>
      </w:r>
    </w:p>
    <w:p>
      <w:r>
        <w:t>教师教育应重视AI素养培养，探索人机协同教学法；需开展混合研究设计（如结合问卷调查与课堂观察）评估混合模型效果；建议收集教师与学生的实证数据，分析AI工具对教学互动和批判性思维的具体影响。</w:t>
      </w:r>
    </w:p>
    <w:p>
      <w:pPr>
        <w:pStyle w:val="Heading3"/>
      </w:pPr>
      <w:r>
        <w:t>APA引用格式</w:t>
      </w:r>
    </w:p>
    <w:p>
      <w:r>
        <w:t>Uddin, M. (2026). Artificial Intelligence in Education (AIED): Opportunities, Challenges, and Solutions. Zenodo. https://doi.org/10.5281/zenodo.21263868</w:t>
      </w:r>
    </w:p>
    <w:p>
      <w:pPr>
        <w:pStyle w:val="Heading1"/>
      </w:pPr>
      <w:r>
        <w:t>运行统计</w:t>
      </w:r>
    </w:p>
    <w:tbl>
      <w:tblPr>
        <w:tblStyle w:val="LightShading-Accent1"/>
        <w:tblW w:type="auto" w:w="0"/>
        <w:tblLook w:firstColumn="1" w:firstRow="1" w:lastColumn="0" w:lastRow="0" w:noHBand="0" w:noVBand="1" w:val="04A0"/>
      </w:tblPr>
      <w:tblGrid>
        <w:gridCol w:w="4997"/>
        <w:gridCol w:w="4997"/>
      </w:tblGrid>
      <w:tr>
        <w:tc>
          <w:tcPr>
            <w:tcW w:type="dxa" w:w="4997"/>
          </w:tcPr>
          <w:p>
            <w:r>
              <w:rPr>
                <w:b/>
              </w:rPr>
              <w:t>检索数量</w:t>
            </w:r>
          </w:p>
        </w:tc>
        <w:tc>
          <w:tcPr>
            <w:tcW w:type="dxa" w:w="4997"/>
          </w:tcPr>
          <w:p>
            <w:r>
              <w:t>750</w:t>
            </w:r>
          </w:p>
        </w:tc>
      </w:tr>
      <w:tr>
        <w:tc>
          <w:tcPr>
            <w:tcW w:type="dxa" w:w="4997"/>
          </w:tcPr>
          <w:p>
            <w:r>
              <w:rPr>
                <w:b/>
              </w:rPr>
              <w:t>筛选数量</w:t>
            </w:r>
          </w:p>
        </w:tc>
        <w:tc>
          <w:tcPr>
            <w:tcW w:type="dxa" w:w="4997"/>
          </w:tcPr>
          <w:p>
            <w:r>
              <w:t>5</w:t>
            </w:r>
          </w:p>
        </w:tc>
      </w:tr>
      <w:tr>
        <w:tc>
          <w:tcPr>
            <w:tcW w:type="dxa" w:w="4997"/>
          </w:tcPr>
          <w:p>
            <w:r>
              <w:rPr>
                <w:b/>
              </w:rPr>
              <w:t>AI成功数量</w:t>
            </w:r>
          </w:p>
        </w:tc>
        <w:tc>
          <w:tcPr>
            <w:tcW w:type="dxa" w:w="4997"/>
          </w:tcPr>
          <w:p>
            <w:r>
              <w:t>5</w:t>
            </w:r>
          </w:p>
        </w:tc>
      </w:tr>
      <w:tr>
        <w:tc>
          <w:tcPr>
            <w:tcW w:type="dxa" w:w="4997"/>
          </w:tcPr>
          <w:p>
            <w:r>
              <w:rPr>
                <w:b/>
              </w:rPr>
              <w:t>失败数量</w:t>
            </w:r>
          </w:p>
        </w:tc>
        <w:tc>
          <w:tcPr>
            <w:tcW w:type="dxa" w:w="4997"/>
          </w:tcPr>
          <w:p>
            <w:r>
              <w:t>0</w:t>
            </w:r>
          </w:p>
        </w:tc>
      </w:tr>
      <w:tr>
        <w:tc>
          <w:tcPr>
            <w:tcW w:type="dxa" w:w="4997"/>
          </w:tcPr>
          <w:p>
            <w:r>
              <w:rPr>
                <w:b/>
              </w:rPr>
              <w:t>API耗时</w:t>
            </w:r>
          </w:p>
        </w:tc>
        <w:tc>
          <w:tcPr>
            <w:tcW w:type="dxa" w:w="4997"/>
          </w:tcPr>
          <w:p>
            <w:r>
              <w:t>93.28 秒</w:t>
            </w:r>
          </w:p>
        </w:tc>
      </w:tr>
    </w:tbl>
    <w:sectPr w:rsidR="00FC693F" w:rsidRPr="0006063C" w:rsidSect="00034616">
      <w:pgSz w:w="12240" w:h="15840"/>
      <w:pgMar w:top="1037" w:right="1123" w:bottom="1037" w:left="1123"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324" w:lineRule="auto" w:after="120"/>
    </w:pPr>
    <w:rPr>
      <w:rFonts w:ascii="Microsoft YaHei" w:hAnsi="Microsoft YaHei" w:eastAsia="Microsoft YaHei"/>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Microsoft YaHei" w:hAnsi="Microsoft YaHei" w:eastAsia="Microsoft YaHei"/>
      <w:b/>
      <w:bCs/>
      <w:color w:val="1F5496"/>
      <w:sz w:val="34"/>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Microsoft YaHei" w:hAnsi="Microsoft YaHei" w:eastAsia="Microsoft YaHei"/>
      <w:b/>
      <w:bCs/>
      <w:color w:val="2F5D9A"/>
      <w:sz w:val="28"/>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ascii="Microsoft YaHei" w:hAnsi="Microsoft YaHei" w:eastAsia="Microsoft YaHei"/>
      <w:b/>
      <w:bCs/>
      <w:color w:val="27497D"/>
      <w:sz w:val="24"/>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ascii="Microsoft YaHei" w:hAnsi="Microsoft YaHei" w:eastAsia="Microsoft YaHei"/>
      <w:color w:val="1F5496"/>
      <w:spacing w:val="5"/>
      <w:kern w:val="28"/>
      <w:sz w:val="44"/>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yperlink" Target="https://doi.org/10.1007/s10639-026-14083-0" TargetMode="External"/><Relationship Id="rId10" Type="http://schemas.openxmlformats.org/officeDocument/2006/relationships/hyperlink" Target="https://doi.org/10.1002/tesq.70184" TargetMode="External"/><Relationship Id="rId11" Type="http://schemas.openxmlformats.org/officeDocument/2006/relationships/hyperlink" Target="https://doi.org/10.21013/jems.v22.n2.p4" TargetMode="External"/><Relationship Id="rId12" Type="http://schemas.openxmlformats.org/officeDocument/2006/relationships/hyperlink" Target="https://doi.org/10.1007/s10857-026-09769-8" TargetMode="External"/><Relationship Id="rId13" Type="http://schemas.openxmlformats.org/officeDocument/2006/relationships/hyperlink" Target="https://doi.org/10.5281/zenodo.21263868"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