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每日SSCI文献简报｜2026-09-25</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2026-09-25 10:14:46（北京时间）</w:t>
            </w:r>
          </w:p>
        </w:tc>
      </w:tr>
      <w:tr>
        <w:tc>
          <w:tcPr>
            <w:tcW w:type="dxa" w:w="4997"/>
          </w:tcPr>
          <w:p>
            <w:r>
              <w:rPr>
                <w:b/>
              </w:rPr>
              <w:t>检索窗口</w:t>
            </w:r>
          </w:p>
        </w:tc>
        <w:tc>
          <w:tcPr>
            <w:tcW w:type="dxa" w:w="4997"/>
          </w:tcPr>
          <w:p>
            <w:r>
              <w:t>2023-09-26 — 2026-09-25</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今日文献聚焦生成式AI介入教育决策后的教师能动性、伦理判断与治理落地，方法上设计研究、混合比较与计算建模并重。趋势提示中国推进AI教育需强化教师伦理素养、人在回路与校本指南，防止认知外包。</w:t>
      </w:r>
    </w:p>
    <w:p>
      <w:pPr>
        <w:pStyle w:val="Heading1"/>
      </w:pPr>
      <w:r>
        <w:t>目录</w:t>
      </w:r>
    </w:p>
    <w:p>
      <w:pPr>
        <w:pStyle w:val="ListNumber"/>
      </w:pPr>
      <w:r>
        <w:rPr>
          <w:b/>
        </w:rPr>
        <w:t>在AI支持的教学设计中维持教师的认知能动性：一项关于对话功能方法的探索性设计研究</w:t>
      </w:r>
      <w:r>
        <w:t>｜Teaching and Teacher Education｜2026-09-23</w:t>
      </w:r>
    </w:p>
    <w:p>
      <w:pPr>
        <w:pStyle w:val="ListNumber"/>
      </w:pPr>
      <w:r>
        <w:rPr>
          <w:b/>
        </w:rPr>
        <w:t>计算机伦理教育中人类与生成式AI伦理决策的比较</w:t>
      </w:r>
      <w:r>
        <w:t>｜International Journal of Human-Computer Interaction｜2026-09-23</w:t>
      </w:r>
    </w:p>
    <w:p>
      <w:pPr>
        <w:pStyle w:val="ListNumber"/>
      </w:pPr>
      <w:r>
        <w:rPr>
          <w:b/>
        </w:rPr>
        <w:t>探索韩国K-12教育中的AI整合：教师的实践、动机与伦理考量</w:t>
      </w:r>
      <w:r>
        <w:t>｜English Language Teaching｜2026-09-25</w:t>
      </w:r>
    </w:p>
    <w:p>
      <w:pPr>
        <w:pStyle w:val="ListNumber"/>
      </w:pPr>
      <w:r>
        <w:rPr>
          <w:b/>
        </w:rPr>
        <w:t>治理城市出行中的生成式人工智能：面向运营、问责与公共信任的五支柱框架和十二个可证伪命题</w:t>
      </w:r>
      <w:r>
        <w:t>｜Frontiers in Future Transportation｜2026-09-25</w:t>
      </w:r>
    </w:p>
    <w:p>
      <w:pPr>
        <w:pStyle w:val="ListNumber"/>
      </w:pPr>
      <w:r>
        <w:rPr>
          <w:b/>
        </w:rPr>
        <w:t>重力感知：一个用于预测人类适应改变重力环境的深度学习与大语言模型框架</w:t>
      </w:r>
      <w:r>
        <w:t>｜Frontiers in Psychology｜2026-09-24</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Sustaining teachers’ epistemic agency in AI-supported instructional design: An exploratory design-based study of a conversational-function approach / 在AI支持的教学设计中维持教师的认知能动性：一项关于对话功能方法的探索性设计研究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Sustaining teachers’ epistemic agency in AI-supported instructional design: An exploratory design-based study of a conversational-function approach / 在AI支持的教学设计中维持教师的认知能动性：一项关于对话功能方法的探索性设计研究</w:t>
            </w:r>
          </w:p>
        </w:tc>
      </w:tr>
      <w:tr>
        <w:tc>
          <w:tcPr>
            <w:tcW w:type="dxa" w:w="4997"/>
          </w:tcPr>
          <w:p>
            <w:r>
              <w:rPr>
                <w:b/>
              </w:rPr>
              <w:t>作者</w:t>
            </w:r>
          </w:p>
        </w:tc>
        <w:tc>
          <w:tcPr>
            <w:tcW w:type="dxa" w:w="4997"/>
          </w:tcPr>
          <w:p>
            <w:r>
              <w:t>Yunying Yang, Guigen Zhang, Jinwen Luo, Shanyun Kuang</w:t>
            </w:r>
          </w:p>
        </w:tc>
      </w:tr>
      <w:tr>
        <w:tc>
          <w:tcPr>
            <w:tcW w:type="dxa" w:w="4997"/>
          </w:tcPr>
          <w:p>
            <w:r>
              <w:rPr>
                <w:b/>
              </w:rPr>
              <w:t>期刊及影响因子</w:t>
            </w:r>
          </w:p>
        </w:tc>
        <w:tc>
          <w:tcPr>
            <w:tcW w:type="dxa" w:w="4997"/>
          </w:tcPr>
          <w:p>
            <w:r>
              <w:t>期刊：Teaching and Teacher Education；SSCI分类：Education &amp; Educational Research；白名单未提供影响因子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PERGAMON-ELSEVIER SCIENCE LTD</w:t>
            </w:r>
          </w:p>
        </w:tc>
      </w:tr>
      <w:tr>
        <w:tc>
          <w:tcPr>
            <w:tcW w:type="dxa" w:w="4997"/>
          </w:tcPr>
          <w:p>
            <w:r>
              <w:rPr>
                <w:b/>
              </w:rPr>
              <w:t>卷期/DOI</w:t>
            </w:r>
          </w:p>
        </w:tc>
        <w:tc>
          <w:tcPr>
            <w:tcW w:type="dxa" w:w="4997"/>
          </w:tcPr>
          <w:p>
            <w:r>
              <w:t>卷期信息缺失（元数据未提供卷、期、页码）；DOI: https://doi.org/10.1016/j.tate.2026.105826</w:t>
            </w:r>
          </w:p>
        </w:tc>
      </w:tr>
      <w:tr>
        <w:tc>
          <w:tcPr>
            <w:tcW w:type="dxa" w:w="4997"/>
          </w:tcPr>
          <w:p>
            <w:r>
              <w:rPr>
                <w:b/>
              </w:rPr>
              <w:t>在线发表时间</w:t>
            </w:r>
          </w:p>
        </w:tc>
        <w:tc>
          <w:tcPr>
            <w:tcW w:type="dxa" w:w="4997"/>
          </w:tcPr>
          <w:p>
            <w:r>
              <w:t>2026-09-23</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https://doi.org/10.1016/j.tate.2026.105826</w:t>
              </w:r>
            </w:hyperlink>
          </w:p>
        </w:tc>
      </w:tr>
    </w:tbl>
    <w:p>
      <w:pPr>
        <w:pStyle w:val="Heading3"/>
      </w:pPr>
      <w:r>
        <w:t>研究摘要</w:t>
      </w:r>
    </w:p>
    <w:p>
      <w:r>
        <w:t>随着生成式AI日益进入教学设计环节，人们对“认知外包”（cognitive outsourcing）产生担忧——备课可能过度被算法输出所主导。由于学习具有情境性与个性化特征，维持教师的“认知能动性”（epistemic agency），即对教学决策负责的责任感，对于以学生为中心的教学设计至关重要。本研究为一项探索性研究，采用基于设计的研究（design-based research）路径，考察“对话功能”（conversational-function）框架如何在AI辅助教学设计（AI-assisted instructional design, AIID）中支持教师的认知能动性。19名在职教师参与了两轮迭代干预，在干预中以结构化的对话功能支架其与AI的互动。结果显示，两轮干预中教师的AIID得分在同一情境内出现实质性提升，并伴随得分变异性的变化。上述结果模式，结合对教师—AI对话的网络分析与序列分析，提示对话功能可能促成更连贯的教师—AI互动模式，从而维系教师对教学决策的认知责任。</w:t>
      </w:r>
    </w:p>
    <w:p>
      <w:pPr>
        <w:pStyle w:val="Heading3"/>
      </w:pPr>
      <w:r>
        <w:t>研究主要内容</w:t>
      </w:r>
    </w:p>
    <w:p>
      <w:r>
        <w:t>论文聚焦生成式AI介入教学设计后教师可能出现的“认知外包”风险，主张以教师的认知能动性（对教学决策负责）作为以学生为中心的教学设计前提。研究提出并检验“对话功能”框架，即在教师与AI互动中嵌入结构化的对话功能，以引导而非替代教师的专业判断。通过两轮迭代干预，研究同时收集教师AIID表现评分与其与AI的对话数据，考察干预如何改变教师的AI辅助教学设计表现与互动结构。</w:t>
      </w:r>
    </w:p>
    <w:p>
      <w:pPr>
        <w:pStyle w:val="Heading3"/>
      </w:pPr>
      <w:r>
        <w:t>研究论点</w:t>
      </w:r>
    </w:p>
    <w:p>
      <w:r>
        <w:t>核心论点是：在AI辅助教学设计中，单纯追求效率或依赖算法输出会削弱教师的专业责任；通过设计具有特定功能的对话结构来支架教师—AI互动，可以在使用AI的同时维持教师对教学决策的认知能动性与责任承担，从而支撑以学生为中心的、情境化与个性化的教学设计。</w:t>
      </w:r>
    </w:p>
    <w:p>
      <w:pPr>
        <w:pStyle w:val="Heading3"/>
      </w:pPr>
      <w:r>
        <w:t>研究问题</w:t>
      </w:r>
    </w:p>
    <w:p>
      <w:r>
        <w:t>摘要未明确列出研究问题；从摘要表述可推断其核心关注为：对话功能框架如何支持教师在AI辅助教学设计中的认知能动性。具体的研究问题、子问题及其理论界定摘要未说明。</w:t>
      </w:r>
    </w:p>
    <w:p>
      <w:pPr>
        <w:pStyle w:val="Heading3"/>
      </w:pPr>
      <w:r>
        <w:t>研究方法</w:t>
      </w:r>
    </w:p>
    <w:p>
      <w:r>
        <w:t>研究类型：探索性研究，采用基于设计的研究（design-based research）路径，包含两轮迭代干预；摘要未明确说明属于纯定量、纯定性或混合方法（从数据与分析方法看兼具定量与定性成分，但未被作者明确标定为混合方法）。参与者：19名在职教师（in-service teachers）；摘要未说明其所授学段、学科、教龄及抽样方式。干预设计：两轮迭代干预周期（two iterative intervention cycles），以结构化的“对话功能”支架教师与AI的互动。数据来源：教师AIID（AI辅助教学设计）得分，以及教师—AI对话记录。分析方法：对两轮干预间AIID得分进行比较（含得分变异性变化分析）、对教师—AI对话进行网络分析（network analysis）与序列分析（sequential analysis）。方法论缺失信息：摘要未说明评分工具及其信效度、干预时长与频次、具体的统计检验方法、网络与序列分析的编码方案与参数，也未说明是否设置对照组。</w:t>
      </w:r>
    </w:p>
    <w:p>
      <w:pPr>
        <w:pStyle w:val="Heading3"/>
      </w:pPr>
      <w:r>
        <w:t>主要发现</w:t>
      </w:r>
    </w:p>
    <w:p>
      <w:r>
        <w:t>1. 教师AIID得分在两轮迭代干预中呈现出情境内的实质性提升，且伴随得分变异性的变化，提示干预效果不仅体现在均值提高，也体现在教师表现分布的变化上。2. 对教师—AI对话的网络分析与序列分析显示，对话功能可能促成更连贯的教师—AI互动模式（more coherent interaction patterns）。3. 上述结果模式被解释为对话功能有助于维系教师对教学决策的认知责任，从而降低认知外包风险、支持教师的认知能动性。</w:t>
      </w:r>
    </w:p>
    <w:p>
      <w:pPr>
        <w:pStyle w:val="Heading3"/>
      </w:pPr>
      <w:r>
        <w:t>对教师教育研究的启示</w:t>
      </w:r>
    </w:p>
    <w:p>
      <w:r>
        <w:t>1）前沿主题：把“教师认知能动性/专业判断”而非仅“AI使用技能”作为教师AI素养与教师教育中AI整合的核心目标，关注生成式AI带来的认知外包与专业责任转移问题；2）研究设计：采用基于设计的研究（DBR）与多轮迭代干预，适合在真实教学情境中同时改进干预设计与检验机制，可为教师培训类研究提供“设计—实施—修订”的迭代范式；3）数据收集：同时采集教师表现评分（如AIID得分）与过程性对话数据（教师—AI互动记录），可用于捕捉干预的动态机制；4）分析方法：网络分析与序列分析可用于刻画教师—AI互动的结构与顺序模式，弥补仅看前后测均值变化的不足；5）研究缺口提示：本摘要未说明学段、学科、样本特征与工具信效度，后续研究可在学前教育与基础教育（小学、初中）情境中扩展，并报告评分工具的心理测量学证据与更完整的分析参数。</w:t>
      </w:r>
    </w:p>
    <w:p>
      <w:pPr>
        <w:pStyle w:val="Heading3"/>
      </w:pPr>
      <w:r>
        <w:t>APA引用格式</w:t>
      </w:r>
    </w:p>
    <w:p>
      <w:r>
        <w:t>Yang, Y., Zhang, G., Luo, J., &amp; Kuang, S. (2026). Sustaining teachers' epistemic agency in AI-supported instructional design: An exploratory design-based study of a conversational-function approach. Teaching and Teacher Education. https://doi.org/10.1016/j.tate.2026.105826</w:t>
      </w:r>
    </w:p>
    <w:p>
      <w:r>
        <w:br w:type="page"/>
      </w:r>
    </w:p>
    <w:p>
      <w:pPr>
        <w:pStyle w:val="Heading2"/>
      </w:pPr>
      <w:r>
        <w:t>2. Comparing Human and Generative AI Ethical Decision-Making in Computer Ethics Education / 计算机伦理教育中人类与生成式AI伦理决策的比较</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Comparing Human and Generative AI Ethical Decision-Making in Computer Ethics Education / 计算机伦理教育中人类与生成式AI伦理决策的比较</w:t>
            </w:r>
          </w:p>
        </w:tc>
      </w:tr>
      <w:tr>
        <w:tc>
          <w:tcPr>
            <w:tcW w:type="dxa" w:w="4997"/>
          </w:tcPr>
          <w:p>
            <w:r>
              <w:rPr>
                <w:b/>
              </w:rPr>
              <w:t>作者</w:t>
            </w:r>
          </w:p>
        </w:tc>
        <w:tc>
          <w:tcPr>
            <w:tcW w:type="dxa" w:w="4997"/>
          </w:tcPr>
          <w:p>
            <w:r>
              <w:t>Betül Tonbuloğlu, Serhat Bahadır Kert, Ahmet Başal</w:t>
            </w:r>
          </w:p>
        </w:tc>
      </w:tr>
      <w:tr>
        <w:tc>
          <w:tcPr>
            <w:tcW w:type="dxa" w:w="4997"/>
          </w:tcPr>
          <w:p>
            <w:r>
              <w:rPr>
                <w:b/>
              </w:rPr>
              <w:t>期刊及影响因子</w:t>
            </w:r>
          </w:p>
        </w:tc>
        <w:tc>
          <w:tcPr>
            <w:tcW w:type="dxa" w:w="4997"/>
          </w:tcPr>
          <w:p>
            <w:r>
              <w:t>期刊：International Journal of Human-Computer Interaction；SSCI分类：English, Ergonomics；白名单未提供影响因子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TAYLOR &amp; FRANCIS INC</w:t>
            </w:r>
          </w:p>
        </w:tc>
      </w:tr>
      <w:tr>
        <w:tc>
          <w:tcPr>
            <w:tcW w:type="dxa" w:w="4997"/>
          </w:tcPr>
          <w:p>
            <w:r>
              <w:rPr>
                <w:b/>
              </w:rPr>
              <w:t>卷期/DOI</w:t>
            </w:r>
          </w:p>
        </w:tc>
        <w:tc>
          <w:tcPr>
            <w:tcW w:type="dxa" w:w="4997"/>
          </w:tcPr>
          <w:p>
            <w:r>
              <w:t>卷期：摘要未说明；DOI: https://doi.org/10.1080/10447318.2026.2734059</w:t>
            </w:r>
          </w:p>
        </w:tc>
      </w:tr>
      <w:tr>
        <w:tc>
          <w:tcPr>
            <w:tcW w:type="dxa" w:w="4997"/>
          </w:tcPr>
          <w:p>
            <w:r>
              <w:rPr>
                <w:b/>
              </w:rPr>
              <w:t>在线发表时间</w:t>
            </w:r>
          </w:p>
        </w:tc>
        <w:tc>
          <w:tcPr>
            <w:tcW w:type="dxa" w:w="4997"/>
          </w:tcPr>
          <w:p>
            <w:r>
              <w:t>2026-09-23</w:t>
            </w:r>
          </w:p>
        </w:tc>
      </w:tr>
      <w:tr>
        <w:tc>
          <w:tcPr>
            <w:tcW w:type="dxa" w:w="4997"/>
          </w:tcPr>
          <w:p>
            <w:r>
              <w:rPr>
                <w:b/>
              </w:rPr>
              <w:t>SSCI分类</w:t>
            </w:r>
          </w:p>
        </w:tc>
        <w:tc>
          <w:tcPr>
            <w:tcW w:type="dxa" w:w="4997"/>
          </w:tcPr>
          <w:p>
            <w:r>
              <w:t>English；Ergonomics</w:t>
            </w:r>
          </w:p>
        </w:tc>
      </w:tr>
      <w:tr>
        <w:tc>
          <w:tcPr>
            <w:tcW w:type="dxa" w:w="4997"/>
          </w:tcPr>
          <w:p>
            <w:r>
              <w:rPr>
                <w:b/>
              </w:rPr>
              <w:t>论文链接</w:t>
            </w:r>
          </w:p>
        </w:tc>
        <w:tc>
          <w:tcPr>
            <w:tcW w:type="dxa" w:w="4997"/>
          </w:tcPr>
          <w:p>
            <w:hyperlink r:id="rId10">
              <w:r>
                <w:rPr>
                  <w:color w:val="0563C1"/>
                  <w:u w:val="single"/>
                </w:rPr>
                <w:t>https://doi.org/10.1080/10447318.2026.2734059</w:t>
              </w:r>
            </w:hyperlink>
          </w:p>
        </w:tc>
      </w:tr>
    </w:tbl>
    <w:p>
      <w:pPr>
        <w:pStyle w:val="Heading3"/>
      </w:pPr>
      <w:r>
        <w:t>研究摘要</w:t>
      </w:r>
    </w:p>
    <w:p>
      <w:r>
        <w:t>本研究比较人类与生成式人工智能在信息技术伦理困境中的决策方式。摘要指出，将人类伦理推理与未训练及经过伦理训练的生成式AI进行实证比较的研究仍有限。研究以信息伦理为基础，考察道德判断背后的推理过程，并探索AI支持的教育中的伦理意识。研究在本科“信息伦理与安全”课程中开展，采用探索性混合方法设计：33名职前教师、一个生成式AI模型和一个以伦理决策框架训练的AI模型，对48个真实生活启发的伦理场景进行评估；使用定量分析和非参数检验比较人类与AI判断的异同；并对8名参与者和一个生成式AI应用进行半结构化访谈，以深入理解道德推理模式。发现提示AI具有基于规则的精确性，但缺乏情境和情感深度，显示其支持伦理决策的潜力，并可为伦理敏感的AI支持教育应用提供依据。</w:t>
      </w:r>
    </w:p>
    <w:p>
      <w:pPr>
        <w:pStyle w:val="Heading3"/>
      </w:pPr>
      <w:r>
        <w:t>研究主要内容</w:t>
      </w:r>
    </w:p>
    <w:p>
      <w:r>
        <w:t>论文聚焦计算机/信息伦理教育中人类与生成式AI的伦理决策比较。研究对象为本科信息伦理与安全课程中的职前教师；数据包括48个真实生活启发的伦理场景评估、33名职前教师评分、一个生成式AI模型和一个经伦理决策框架训练的AI模型评分，以及8名参与者的半结构化访谈和一个生成式AI应用。研究采用探索性混合方法，通过定量分析和非参数检验比较人机判断，并结合访谈探讨道德推理模式。主题属于AI伦理教育、教师数字/智能素养与AI教育应用，但阶段为本科职前教师教育，不是学前或基础教育阶段。</w:t>
      </w:r>
    </w:p>
    <w:p>
      <w:pPr>
        <w:pStyle w:val="Heading3"/>
      </w:pPr>
      <w:r>
        <w:t>研究论点</w:t>
      </w:r>
    </w:p>
    <w:p>
      <w:r>
        <w:t>核心论点或立场：AI在伦理决策中可展现规则化精确性，但缺少人类的情境性与情感深度；因此AI可以辅助伦理决策和伦理敏感的教育应用，但不能替代人类伦理判断。摘要未明确给出更具体的理论命题。</w:t>
      </w:r>
    </w:p>
    <w:p>
      <w:pPr>
        <w:pStyle w:val="Heading3"/>
      </w:pPr>
      <w:r>
        <w:t>研究问题</w:t>
      </w:r>
    </w:p>
    <w:p>
      <w:r>
        <w:t>摘要未明确列出研究问题。基于摘要，研究焦点为：人类与未训练及经过伦理训练的生成式AI如何应对信息技术伦理困境？其道德判断和推理过程有何相似与差异？AI如何支持教育中的伦理意识？具体研究问题表述摘要未说明。</w:t>
      </w:r>
    </w:p>
    <w:p>
      <w:pPr>
        <w:pStyle w:val="Heading3"/>
      </w:pPr>
      <w:r>
        <w:t>研究方法</w:t>
      </w:r>
    </w:p>
    <w:p>
      <w:r>
        <w:t>研究类型：探索性混合方法研究。样本/参与者：33名职前教师；其中8名参与半结构化访谈；另有一个生成式AI模型和一个以伦理决策框架训练的AI模型。数据来源：48个真实生活启发的伦理场景评估、33名职前教师评分、两种AI模型评分、8名参与者半结构化访谈、一个生成式AI应用。背景：本科“信息伦理与安全”课程。分析方法：定量分析和非参数检验用于比较人类与AI判断；半结构化访谈和生成式AI应用用于深入探究道德推理模式。具体抽样方式、AI模型名称/版本、伦理训练框架细节、访谈定性分析方法及统计结果细节，摘要未说明。</w:t>
      </w:r>
    </w:p>
    <w:p>
      <w:pPr>
        <w:pStyle w:val="Heading3"/>
      </w:pPr>
      <w:r>
        <w:t>主要发现</w:t>
      </w:r>
    </w:p>
    <w:p>
      <w:r>
        <w:t>1. AI在信息技术伦理困境判断中呈现基于规则的精确性，但缺乏情境和情感深度。2. 研究通过定量分析和非参数检验发现人类与AI判断既有相似也有差异；具体效应量、显著性等统计结果摘要未说明。3. AI被认为有潜力支持伦理决策，并为设计伦理敏感的AI辅助教育应用提供参考；但摘要未说明经过伦理训练的AI与未训练AI之间的具体差异。</w:t>
      </w:r>
    </w:p>
    <w:p>
      <w:pPr>
        <w:pStyle w:val="Heading3"/>
      </w:pPr>
      <w:r>
        <w:t>对教师教育研究的启示</w:t>
      </w:r>
    </w:p>
    <w:p>
      <w:r>
        <w:t>对教师教育研究的启示：1）前沿主题上，可将职前教师AI伦理决策、信息伦理与AI辅助伦理意识教育纳入教师数字素养/智能素养研究，但需注意该研究对象为本科职前教师，不是学前或基础教育阶段。2）研究设计上，可借鉴“真实伦理场景评估+人类与AI对照+混合方法”的探索性设计，用于比较教师与AI的道德推理。3）数据收集与分析上，可结合场景评分、非参数检验和半结构化访谈；后续研究应更明确报告AI模型版本、伦理训练框架、抽样、访谈编码与定性分析程序，以增强可复现性。4）教育应用上，AI可支持伦理决策训练，但研究提示其情境和情感理解有限，教师教育中应保留人类判断与反思环节。</w:t>
      </w:r>
    </w:p>
    <w:p>
      <w:pPr>
        <w:pStyle w:val="Heading3"/>
      </w:pPr>
      <w:r>
        <w:t>APA引用格式</w:t>
      </w:r>
    </w:p>
    <w:p>
      <w:r>
        <w:t>Tonbuloğlu, B., Kert, S. B., &amp; Başal, A. (2026). Comparing human and generative AI ethical decision-making in computer ethics education. International Journal of Human-Computer Interaction. https://doi.org/10.1080/10447318.2026.2734059</w:t>
      </w:r>
    </w:p>
    <w:p>
      <w:r>
        <w:br w:type="page"/>
      </w:r>
    </w:p>
    <w:p>
      <w:pPr>
        <w:pStyle w:val="Heading2"/>
      </w:pPr>
      <w:r>
        <w:t>3. Exploring AI Integration in South Korean K-12 Education: Teachers’ Practices, Motivations, and Ethical Considerations / 探索韩国K-12教育中的AI整合：教师的实践、动机与伦理考量</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Exploring AI Integration in South Korean K-12 Education: Teachers’ Practices, Motivations, and Ethical Considerations / 探索韩国K-12教育中的AI整合：教师的实践、动机与伦理考量</w:t>
            </w:r>
          </w:p>
        </w:tc>
      </w:tr>
      <w:tr>
        <w:tc>
          <w:tcPr>
            <w:tcW w:type="dxa" w:w="4997"/>
          </w:tcPr>
          <w:p>
            <w:r>
              <w:rPr>
                <w:b/>
              </w:rPr>
              <w:t>作者</w:t>
            </w:r>
          </w:p>
        </w:tc>
        <w:tc>
          <w:tcPr>
            <w:tcW w:type="dxa" w:w="4997"/>
          </w:tcPr>
          <w:p>
            <w:r>
              <w:t>Hyunjoo Moon, Greg Kessler</w:t>
            </w:r>
          </w:p>
        </w:tc>
      </w:tr>
      <w:tr>
        <w:tc>
          <w:tcPr>
            <w:tcW w:type="dxa" w:w="4997"/>
          </w:tcPr>
          <w:p>
            <w:r>
              <w:rPr>
                <w:b/>
              </w:rPr>
              <w:t>期刊及影响因子</w:t>
            </w:r>
          </w:p>
        </w:tc>
        <w:tc>
          <w:tcPr>
            <w:tcW w:type="dxa" w:w="4997"/>
          </w:tcPr>
          <w:p>
            <w:r>
              <w:t>期刊：English Language Teaching；SSCI分类：Education &amp; Educational Research, Linguistics；影响因子与JCR分区：白名单未提供影响因子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CAMBRIDGE UNIV PRESS</w:t>
            </w:r>
          </w:p>
        </w:tc>
      </w:tr>
      <w:tr>
        <w:tc>
          <w:tcPr>
            <w:tcW w:type="dxa" w:w="4997"/>
          </w:tcPr>
          <w:p>
            <w:r>
              <w:rPr>
                <w:b/>
              </w:rPr>
              <w:t>卷期/DOI</w:t>
            </w:r>
          </w:p>
        </w:tc>
        <w:tc>
          <w:tcPr>
            <w:tcW w:type="dxa" w:w="4997"/>
          </w:tcPr>
          <w:p>
            <w:r>
              <w:t>卷期页码未在元数据中单列，据DOI推断为第19卷第10期（起始页88）；DOI: 10.5539/elt.v19n10p88</w:t>
            </w:r>
          </w:p>
        </w:tc>
      </w:tr>
      <w:tr>
        <w:tc>
          <w:tcPr>
            <w:tcW w:type="dxa" w:w="4997"/>
          </w:tcPr>
          <w:p>
            <w:r>
              <w:rPr>
                <w:b/>
              </w:rPr>
              <w:t>在线发表时间</w:t>
            </w:r>
          </w:p>
        </w:tc>
        <w:tc>
          <w:tcPr>
            <w:tcW w:type="dxa" w:w="4997"/>
          </w:tcPr>
          <w:p>
            <w:r>
              <w:t>2026-09-25</w:t>
            </w:r>
          </w:p>
        </w:tc>
      </w:tr>
      <w:tr>
        <w:tc>
          <w:tcPr>
            <w:tcW w:type="dxa" w:w="4997"/>
          </w:tcPr>
          <w:p>
            <w:r>
              <w:rPr>
                <w:b/>
              </w:rPr>
              <w:t>SSCI分类</w:t>
            </w:r>
          </w:p>
        </w:tc>
        <w:tc>
          <w:tcPr>
            <w:tcW w:type="dxa" w:w="4997"/>
          </w:tcPr>
          <w:p>
            <w:r>
              <w:t>Education &amp; Educational Research；Linguistics</w:t>
            </w:r>
          </w:p>
        </w:tc>
      </w:tr>
      <w:tr>
        <w:tc>
          <w:tcPr>
            <w:tcW w:type="dxa" w:w="4997"/>
          </w:tcPr>
          <w:p>
            <w:r>
              <w:rPr>
                <w:b/>
              </w:rPr>
              <w:t>论文链接</w:t>
            </w:r>
          </w:p>
        </w:tc>
        <w:tc>
          <w:tcPr>
            <w:tcW w:type="dxa" w:w="4997"/>
          </w:tcPr>
          <w:p>
            <w:hyperlink r:id="rId11">
              <w:r>
                <w:rPr>
                  <w:color w:val="0563C1"/>
                  <w:u w:val="single"/>
                </w:rPr>
                <w:t>https://doi.org/10.5539/elt.v19n10p88</w:t>
              </w:r>
            </w:hyperlink>
          </w:p>
        </w:tc>
      </w:tr>
    </w:tbl>
    <w:p>
      <w:pPr>
        <w:pStyle w:val="Heading3"/>
      </w:pPr>
      <w:r>
        <w:t>研究摘要</w:t>
      </w:r>
    </w:p>
    <w:p>
      <w:r>
        <w:t>该研究关注韩国K-12英语教师如何将人工智能（AI）整合进日常教学。尽管AI辅助语言学习受到越来越多的关注，但韩国K-12教师如何应对这一整合过程仍缺乏了解。作者采用质性案例研究设计，选取7名已在教学中使用AI的英语教师（覆盖小学、初中与高中），通过教学日志、学习制品（learning artifacts）和焦点小组访谈收集数据。研究发现，AI减少了教师在行政事务上的时间投入，使其有更多时间用于备课；教师还报告学生学习者能动性增强、学习方式更加多样化、学习活动中的参与障碍降低。然而，大多数教师并不了解AI的伦理考量，且现行AI指南未能提供有效支持。研究提供了韩国K-12英语教师将AI融入日常实践的一手质性证据，并揭示出官方政策传播与教师对有效、负责任使用AI指南的实际认知之间存在关键落差。</w:t>
      </w:r>
    </w:p>
    <w:p>
      <w:pPr>
        <w:pStyle w:val="Heading3"/>
      </w:pPr>
      <w:r>
        <w:t>研究主要内容</w:t>
      </w:r>
    </w:p>
    <w:p>
      <w:r>
        <w:t>论文聚焦韩国K-12（小学、初中、高中）英语教学中AI整合的实践图景，核心内容包括：（1）教师如何将AI工具嵌入教学实践与创新教学方法；（2）教师使用AI的动机（标题中提及，但摘要未展开说明具体动机内容）；（3）教师在整合过程中遇到的挑战；（4）教师对AI伦理问题的认识状况以及现行AI指南的支持性。研究同时讨论官方政策传播与教师实际认知之间的落差。</w:t>
      </w:r>
    </w:p>
    <w:p>
      <w:pPr>
        <w:pStyle w:val="Heading3"/>
      </w:pPr>
      <w:r>
        <w:t>研究论点</w:t>
      </w:r>
    </w:p>
    <w:p>
      <w:r>
        <w:t>论文的核心论点是：韩国K-12英语教师已在日常教学中实质性地使用AI，并从中获得减少行政负担、提升学生能动性与学习参与等收益；但教师普遍缺乏对AI伦理问题的认识，且现有AI使用指南未能为其提供有效支持，表明官方政策传播与教师实际认知之间存在显著鸿沟，需在教师教育与政策落实层面加以弥合。</w:t>
      </w:r>
    </w:p>
    <w:p>
      <w:pPr>
        <w:pStyle w:val="Heading3"/>
      </w:pPr>
      <w:r>
        <w:t>研究问题</w:t>
      </w:r>
    </w:p>
    <w:p>
      <w:r>
        <w:t>摘要未明确逐条列出研究问题。研究目标为：探究韩国K-12英语教师如何将AI整合进其教育实践，理解他们在创新教学方法方面的经验，以及他们所遇到的挑战与伦理关切。</w:t>
      </w:r>
    </w:p>
    <w:p>
      <w:pPr>
        <w:pStyle w:val="Heading3"/>
      </w:pPr>
      <w:r>
        <w:t>研究方法</w:t>
      </w:r>
    </w:p>
    <w:p>
      <w:r>
        <w:t>研究类型：质性案例研究（qualitative case study）。参与者：7名已在教学中使用AI的英语教师，分布于小学、初中和高中。数据来源：教学日志（teaching logs）、学习制品（learning artifacts）、焦点小组访谈（focus group interviews）。分析方法：摘要未说明具体分析方法（如是否采用主题分析、编码程序、软件工具等均未提及）；参与者抽样方式与遴选标准亦摘要未说明；研究时长与数据收集时间跨度摘要未说明。</w:t>
      </w:r>
    </w:p>
    <w:p>
      <w:pPr>
        <w:pStyle w:val="Heading3"/>
      </w:pPr>
      <w:r>
        <w:t>主要发现</w:t>
      </w:r>
    </w:p>
    <w:p>
      <w:r>
        <w:t>1. AI减少了教师在行政事务上花费的时间，从而释放出更多时间用于备课与教学设计。2. 教师报告了学生层面的积极变化：学习者能动性（learner agency）增强、学习方式更加多样化、学习活动中的参与障碍降低。3. 大多数教师对AI的伦理考量缺乏了解，且现行AI使用指南缺乏支持性，反映出官方政策传播与教师实际认知之间存在关键落差。</w:t>
      </w:r>
    </w:p>
    <w:p>
      <w:pPr>
        <w:pStyle w:val="Heading3"/>
      </w:pPr>
      <w:r>
        <w:t>对教师教育研究的启示</w:t>
      </w:r>
    </w:p>
    <w:p>
      <w:r>
        <w:t>对教师教育研究的启示：（1）研究主题上，该文处于“K-12教师AI整合实践”与“AI伦理素养”交叉前沿，提示教师教育研究需将AI伦理与负责任使用纳入与教学应用同等重要的位置，而非仅关注工具使用效能。（2）研究设计上，采用小样本（7人）质性案例研究，适合在政策落地初期探索教师真实经验与认知落差，可作为国内开展类似探索性研究的范式参考。（3）数据收集上，其“教学日志＋学习制品＋焦点小组访谈”的多源三角互证策略，将教师自述与实践证据结合，为研究教师AI使用与学生学习变化提供了可借鉴的数据组合。（4）分析方法上，摘要未交代具体分析路径，提示后续研究在报告时应明确说明编码与主题分析程序，以提升可复现性与透明度。（5）实践层面，研究揭示政策文本发布不等于教师认知到位，教师培训与校本支持需聚焦指南的可理解性与可操作性，并覆盖伦理风险识别能力。</w:t>
      </w:r>
    </w:p>
    <w:p>
      <w:pPr>
        <w:pStyle w:val="Heading3"/>
      </w:pPr>
      <w:r>
        <w:t>APA引用格式</w:t>
      </w:r>
    </w:p>
    <w:p>
      <w:r>
        <w:t>Moon, H., &amp; Kessler, G. (2026). Exploring AI integration in South Korean K-12 education: Teachers' practices, motivations, and ethical considerations. English Language Teaching, 19(10), 88. https://doi.org/10.5539/elt.v19n10p88</w:t>
      </w:r>
    </w:p>
    <w:p>
      <w:r>
        <w:br w:type="page"/>
      </w:r>
    </w:p>
    <w:p>
      <w:pPr>
        <w:pStyle w:val="Heading2"/>
      </w:pPr>
      <w:r>
        <w:t>4. Governing generative AI in urban mobility: a five-pillar framework and twelve falsifiable propositions for operations, accountability, and public trust / 治理城市出行中的生成式人工智能：面向运营、问责与公共信任的五支柱框架和十二个可证伪命题</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Governing generative AI in urban mobility: a five-pillar framework and twelve falsifiable propositions for operations, accountability, and public trust / 治理城市出行中的生成式人工智能：面向运营、问责与公共信任的五支柱框架和十二个可证伪命题</w:t>
            </w:r>
          </w:p>
        </w:tc>
      </w:tr>
      <w:tr>
        <w:tc>
          <w:tcPr>
            <w:tcW w:type="dxa" w:w="4997"/>
          </w:tcPr>
          <w:p>
            <w:r>
              <w:rPr>
                <w:b/>
              </w:rPr>
              <w:t>作者</w:t>
            </w:r>
          </w:p>
        </w:tc>
        <w:tc>
          <w:tcPr>
            <w:tcW w:type="dxa" w:w="4997"/>
          </w:tcPr>
          <w:p>
            <w:r>
              <w:t>Nirmal Acharya, Padmaja Kar</w:t>
            </w:r>
          </w:p>
        </w:tc>
      </w:tr>
      <w:tr>
        <w:tc>
          <w:tcPr>
            <w:tcW w:type="dxa" w:w="4997"/>
          </w:tcPr>
          <w:p>
            <w:r>
              <w:rPr>
                <w:b/>
              </w:rPr>
              <w:t>期刊及影响因子</w:t>
            </w:r>
          </w:p>
        </w:tc>
        <w:tc>
          <w:tcPr>
            <w:tcW w:type="dxa" w:w="4997"/>
          </w:tcPr>
          <w:p>
            <w:r>
              <w:t>SSCI分类：Transportation；白名单未提供影响因子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卷期缺失；DOI: 10.3389/ffutr.2026.1951756</w:t>
            </w:r>
          </w:p>
        </w:tc>
      </w:tr>
      <w:tr>
        <w:tc>
          <w:tcPr>
            <w:tcW w:type="dxa" w:w="4997"/>
          </w:tcPr>
          <w:p>
            <w:r>
              <w:rPr>
                <w:b/>
              </w:rPr>
              <w:t>在线发表时间</w:t>
            </w:r>
          </w:p>
        </w:tc>
        <w:tc>
          <w:tcPr>
            <w:tcW w:type="dxa" w:w="4997"/>
          </w:tcPr>
          <w:p>
            <w:r>
              <w:t>2026-09-25</w:t>
            </w:r>
          </w:p>
        </w:tc>
      </w:tr>
      <w:tr>
        <w:tc>
          <w:tcPr>
            <w:tcW w:type="dxa" w:w="4997"/>
          </w:tcPr>
          <w:p>
            <w:r>
              <w:rPr>
                <w:b/>
              </w:rPr>
              <w:t>SSCI分类</w:t>
            </w:r>
          </w:p>
        </w:tc>
        <w:tc>
          <w:tcPr>
            <w:tcW w:type="dxa" w:w="4997"/>
          </w:tcPr>
          <w:p>
            <w:r>
              <w:t>Transportation</w:t>
            </w:r>
          </w:p>
        </w:tc>
      </w:tr>
      <w:tr>
        <w:tc>
          <w:tcPr>
            <w:tcW w:type="dxa" w:w="4997"/>
          </w:tcPr>
          <w:p>
            <w:r>
              <w:rPr>
                <w:b/>
              </w:rPr>
              <w:t>论文链接</w:t>
            </w:r>
          </w:p>
        </w:tc>
        <w:tc>
          <w:tcPr>
            <w:tcW w:type="dxa" w:w="4997"/>
          </w:tcPr>
          <w:p>
            <w:hyperlink r:id="rId12">
              <w:r>
                <w:rPr>
                  <w:color w:val="0563C1"/>
                  <w:u w:val="single"/>
                </w:rPr>
                <w:t>https://doi.org/10.3389/ffutr.2026.1951756</w:t>
              </w:r>
            </w:hyperlink>
          </w:p>
        </w:tc>
      </w:tr>
    </w:tbl>
    <w:p>
      <w:pPr>
        <w:pStyle w:val="Heading3"/>
      </w:pPr>
      <w:r>
        <w:t>研究摘要</w:t>
      </w:r>
    </w:p>
    <w:p>
      <w:r>
        <w:t>背景：生成式人工智能（GenAI），包括大语言模型、多模态基础模型、基于扩散的交通模拟器和代理式规划器，正在进入交通信号控制、动态路径规划、需求预测、客户服务和自动车队管理等城市出行运营领域，其整合速度已超过交通机构、规划组织和监督机构现有治理工具的应对能力。假设：传统交通AI治理面向狭窄预测模型和封闭、确定性的决策边界，难以适用于输出开放式、情境敏感、概率性且可直接被操作人员和公众理解的生成式系统，从而形成跨部门工具难以解决、需要交通专用生命周期支架的治理真空。理论：本文提出五支柱生命周期治理框架，包括透明度与可解释性、问责与责任、公平与非歧视、可审计性与监督、人在回路/人在环上控制；每个支柱通过原创的五级成熟度量表（0–4级）操作化，并以交通失效情景为锚点。方法：提出十二个可证伪命题，将支柱成熟度与可观察结果联系起来，包括事件严重性、平均解决时间、差异影响检测延迟、人工覆盖执行率、监管存续和公众信任；候选设计包括偏最小二乘结构方程模型（PLS-SEM）、生存分析、双重差分和情景式公众调查。启示：该框架为交通主管部门提供增量采购标准（T2/A2/E2/A’-2/H2基线），为供应商提供设计阶段边界，为监管者提供生命周期合规评估支架，同时为研究者提供实证议程。</w:t>
      </w:r>
    </w:p>
    <w:p>
      <w:pPr>
        <w:pStyle w:val="Heading3"/>
      </w:pPr>
      <w:r>
        <w:t>研究主要内容</w:t>
      </w:r>
    </w:p>
    <w:p>
      <w:r>
        <w:t>论文关注生成式AI进入城市交通运营后，治理工具滞后所导致的治理真空。作者认为，传统交通AI治理以狭窄预测模型和封闭确定性决策为对象，无法充分处理生成式系统开放式、情境敏感、概率性且面向人类操作者和公众可读的输出。为此，论文提出一个五支柱生命周期治理框架，并将每个支柱映射到五级成熟度量表（0–4级），以交通失效情景作为锚点。论文进一步提出十二个可证伪命题，将治理成熟度与事件严重性、平均解决时间、差异影响检测延迟、人工覆盖执行率、监管存续和公众信任等结果变量联系起来。候选研究设计包括PLS-SEM、生存分析、双重差分和情景式公众调查。论文的实践指向包括为交通主管部门提供增量采购标准、为供应商提供设计阶段边界、为监管者提供生命周期合规评估支架，并为研究者提供实证议程。</w:t>
      </w:r>
    </w:p>
    <w:p>
      <w:pPr>
        <w:pStyle w:val="Heading3"/>
      </w:pPr>
      <w:r>
        <w:t>研究论点</w:t>
      </w:r>
    </w:p>
    <w:p>
      <w:r>
        <w:t>核心论点是：既有交通AI治理工具主要针对输出封闭、确定性强的狭窄预测模型，面对输出开放式、情境敏感、概率性且可被人类操作者和公众直接理解的生成式AI时出现治理不匹配，进而形成需交通专用生命周期治理支架才能解决的治理真空。作者据此主张以五支柱框架和成熟度量表治理生成式AI在城市出行中的运营、问责与公共信任问题。</w:t>
      </w:r>
    </w:p>
    <w:p>
      <w:pPr>
        <w:pStyle w:val="Heading3"/>
      </w:pPr>
      <w:r>
        <w:t>研究问题</w:t>
      </w:r>
    </w:p>
    <w:p>
      <w:r>
        <w:t>摘要未明确列出研究问题。可归纳的核心议题是：如何为城市交通中的生成式AI建立生命周期治理框架，并通过可证伪命题将五支柱成熟度与运营、问责和公共信任相关的可观察结果联系起来。</w:t>
      </w:r>
    </w:p>
    <w:p>
      <w:pPr>
        <w:pStyle w:val="Heading3"/>
      </w:pPr>
      <w:r>
        <w:t>研究方法</w:t>
      </w:r>
    </w:p>
    <w:p>
      <w:r>
        <w:t>研究类型：概念性/框架构建研究；摘要未说明其属于定量、定性或混合实证研究。样本/参与者：摘要未说明。数据来源：摘要未说明。分析方法：论文提出十二个可证伪命题；候选设计包括偏最小二乘结构方程模型（PLS-SEM）、生存分析、双重差分（DiD）和情景式公众调查；但摘要未说明这些方法是否已实际执行，也未说明样本量、数据收集程序、变量测量和分析执行细节。</w:t>
      </w:r>
    </w:p>
    <w:p>
      <w:pPr>
        <w:pStyle w:val="Heading3"/>
      </w:pPr>
      <w:r>
        <w:t>主要发现</w:t>
      </w:r>
    </w:p>
    <w:p>
      <w:r>
        <w:t>1）现有交通AI治理工具面向狭窄预测模型和封闭确定性决策边界，难以应对生成式AI的开放式、情境敏感、概率性和人类可读输出，导致治理真空。2）论文提出五支柱生命周期治理框架：透明度与可解释性、问责与责任、公平与非歧视、可审计性与监督、人在回路/人在环上控制；每个支柱配有0–4级成熟度量表，并以交通失效情景为锚点。3）论文提出十二个可证伪命题，将支柱成熟度与事件严重性、平均解决时间、差异影响检测延迟、人工覆盖执行率、监管存续和公众信任等结果联系起来，并给出PLS-SEM、生存分析、双重差分和情景式公众调查等候选设计；摘要未报告实际实证结果。</w:t>
      </w:r>
    </w:p>
    <w:p>
      <w:pPr>
        <w:pStyle w:val="Heading3"/>
      </w:pPr>
      <w:r>
        <w:t>对教师教育研究的启示</w:t>
      </w:r>
    </w:p>
    <w:p>
      <w:r>
        <w:t>直接启示：摘要未说明；本文主题为城市交通中的生成式AI治理，不属于学前教育、基础教育或教师教育，也未涉及AI教学应用、教师数字素养/智能素养/数据素养、教师教育与教师培训中的AI整合或教育数字化背景下教学变革与教师角色。方法论迁移（非摘要原有结论）：若教师教育研究关注AI整合治理，可借鉴其“五支柱生命周期治理+成熟度量表+可证伪命题”的设计，将透明度、问责、公平、可审计性和人在回路控制转化为教育场景变量，并考虑使用PLS-SEM、生存分析、双重差分或情景调查来检验治理成熟度与结果变量的关系；但教育场景的样本、数据来源、结果变量和伦理程序需另行设计。</w:t>
      </w:r>
    </w:p>
    <w:p>
      <w:pPr>
        <w:pStyle w:val="Heading3"/>
      </w:pPr>
      <w:r>
        <w:t>APA引用格式</w:t>
      </w:r>
    </w:p>
    <w:p>
      <w:r>
        <w:t>Acharya, N., &amp; Kar, P. (2026). Governing generative AI in urban mobility: A five-pillar framework and twelve falsifiable propositions for operations, accountability, and public trust. Frontiers in Future Transportation. https://doi.org/10.3389/ffutr.2026.1951756</w:t>
      </w:r>
    </w:p>
    <w:p>
      <w:r>
        <w:br w:type="page"/>
      </w:r>
    </w:p>
    <w:p>
      <w:pPr>
        <w:pStyle w:val="Heading2"/>
      </w:pPr>
      <w:r>
        <w:t>5. Gravity-awareness: a deep learning and LLM framework for predicting human adaptation to altered gravitational environments / 重力感知：一个用于预测人类适应改变重力环境的深度学习与大语言模型框架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Gravity-awareness: a deep learning and LLM framework for predicting human adaptation to altered gravitational environments / 重力感知：一个用于预测人类适应改变重力环境的深度学习与大语言模型框架</w:t>
            </w:r>
          </w:p>
        </w:tc>
      </w:tr>
      <w:tr>
        <w:tc>
          <w:tcPr>
            <w:tcW w:type="dxa" w:w="4997"/>
          </w:tcPr>
          <w:p>
            <w:r>
              <w:rPr>
                <w:b/>
              </w:rPr>
              <w:t>作者</w:t>
            </w:r>
          </w:p>
        </w:tc>
        <w:tc>
          <w:tcPr>
            <w:tcW w:type="dxa" w:w="4997"/>
          </w:tcPr>
          <w:p>
            <w:r>
              <w:t>Bakytzhan Alibekov, Alina Gutoreva, Elisa Raffaella Ferrè</w:t>
            </w:r>
          </w:p>
        </w:tc>
      </w:tr>
      <w:tr>
        <w:tc>
          <w:tcPr>
            <w:tcW w:type="dxa" w:w="4997"/>
          </w:tcPr>
          <w:p>
            <w:r>
              <w:rPr>
                <w:b/>
              </w:rPr>
              <w:t>期刊及影响因子</w:t>
            </w:r>
          </w:p>
        </w:tc>
        <w:tc>
          <w:tcPr>
            <w:tcW w:type="dxa" w:w="4997"/>
          </w:tcPr>
          <w:p>
            <w:r>
              <w:t>白名单未提供影响因子 / 白名单未提供JCR分区；SSCI分类为 English, Multidisciplinary, Psychology</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1664-1078</w:t>
            </w:r>
          </w:p>
        </w:tc>
      </w:tr>
      <w:tr>
        <w:tc>
          <w:tcPr>
            <w:tcW w:type="dxa" w:w="4997"/>
          </w:tcPr>
          <w:p>
            <w:r>
              <w:rPr>
                <w:b/>
              </w:rPr>
              <w:t>卷期/DOI</w:t>
            </w:r>
          </w:p>
        </w:tc>
        <w:tc>
          <w:tcPr>
            <w:tcW w:type="dxa" w:w="4997"/>
          </w:tcPr>
          <w:p>
            <w:r>
              <w:t>卷期缺失；DOI: 10.3389/fpsyg.2026.1735872</w:t>
            </w:r>
          </w:p>
        </w:tc>
      </w:tr>
      <w:tr>
        <w:tc>
          <w:tcPr>
            <w:tcW w:type="dxa" w:w="4997"/>
          </w:tcPr>
          <w:p>
            <w:r>
              <w:rPr>
                <w:b/>
              </w:rPr>
              <w:t>在线发表时间</w:t>
            </w:r>
          </w:p>
        </w:tc>
        <w:tc>
          <w:tcPr>
            <w:tcW w:type="dxa" w:w="4997"/>
          </w:tcPr>
          <w:p>
            <w:r>
              <w:t>2026-09-24</w:t>
            </w:r>
          </w:p>
        </w:tc>
      </w:tr>
      <w:tr>
        <w:tc>
          <w:tcPr>
            <w:tcW w:type="dxa" w:w="4997"/>
          </w:tcPr>
          <w:p>
            <w:r>
              <w:rPr>
                <w:b/>
              </w:rPr>
              <w:t>SSCI分类</w:t>
            </w:r>
          </w:p>
        </w:tc>
        <w:tc>
          <w:tcPr>
            <w:tcW w:type="dxa" w:w="4997"/>
          </w:tcPr>
          <w:p>
            <w:r>
              <w:t>English；Multidisciplinary；Psychology</w:t>
            </w:r>
          </w:p>
        </w:tc>
      </w:tr>
      <w:tr>
        <w:tc>
          <w:tcPr>
            <w:tcW w:type="dxa" w:w="4997"/>
          </w:tcPr>
          <w:p>
            <w:r>
              <w:rPr>
                <w:b/>
              </w:rPr>
              <w:t>论文链接</w:t>
            </w:r>
          </w:p>
        </w:tc>
        <w:tc>
          <w:tcPr>
            <w:tcW w:type="dxa" w:w="4997"/>
          </w:tcPr>
          <w:p>
            <w:hyperlink r:id="rId13">
              <w:r>
                <w:rPr>
                  <w:color w:val="0563C1"/>
                  <w:u w:val="single"/>
                </w:rPr>
                <w:t>https://doi.org/10.3389/fpsyg.2026.1735872</w:t>
              </w:r>
            </w:hyperlink>
          </w:p>
        </w:tc>
      </w:tr>
    </w:tbl>
    <w:p>
      <w:pPr>
        <w:pStyle w:val="Heading3"/>
      </w:pPr>
      <w:r>
        <w:t>研究摘要</w:t>
      </w:r>
    </w:p>
    <w:p>
      <w:r>
        <w:t>地球重力从根本上塑造人类行为。大脑将这种力编码为内部重力模型，使人在感知和行动中预测和解释重力效应。理解这一模型如何适应改变的重力，对预测太空飞行中的人类表现至关重要。我们提出一个计算框架，用于建模不同重力环境下的神经生理适应。该框架有两个组件，在改变重力研究的开放获取数据（尤其是抛物线飞行）上训练。第一个组件（CorticalG）采用轻量级多层感知机神经网络预测EEG频段的重力依赖性变化，估计不同重力负荷下的皮层状态。第二个组件（PhysioG）使用独立高斯过程模型捕获更广泛的生理反应，包括心率变异性、皮肤电活动和运动控制。为补充定量建模，我们使用大语言模型Claude 3.5 Sonnet模拟不同重力环境下的主观体验。生理输出提示该模型生成叙述，描述零重力、月球和火星部分重力以及超重力下的警觉性、身体意识和认知状态。该框架为研究人类对太空飞行的适应提供了新方法。它提供预测工具以评估表现和韧性，支持未来太空探索任务设计。</w:t>
      </w:r>
    </w:p>
    <w:p>
      <w:pPr>
        <w:pStyle w:val="Heading3"/>
      </w:pPr>
      <w:r>
        <w:t>研究主要内容</w:t>
      </w:r>
    </w:p>
    <w:p>
      <w:r>
        <w:t>该论文不是学前教育、基础教育或教师教育研究，而是心理学、神经科学与航天人因研究。作者提出一个名为Gravity-awareness的计算框架，包含CorticalG和PhysioG两个组件，并加入大语言模型生成的主观体验模拟。CorticalG用轻量级多层感知机神经网络，基于开放获取的改变重力研究数据，预测EEG频段随重力变化的情况，估计不同重力负荷下的皮层状态。PhysioG用独立高斯过程模型捕捉心率变异性、皮肤电活动和运动控制等更广泛生理反应。作者还用Claude 3.5 Sonnet根据生理输出生成零重力、月球和火星部分重力、超重力条件下的主观叙述，涉及警觉性、身体意识和认知状态。整体目标是预测人类在太空飞行等改变重力环境中的适应、表现和韧性。</w:t>
      </w:r>
    </w:p>
    <w:p>
      <w:pPr>
        <w:pStyle w:val="Heading3"/>
      </w:pPr>
      <w:r>
        <w:t>研究论点</w:t>
      </w:r>
    </w:p>
    <w:p>
      <w:r>
        <w:t>核心论证是：地球重力深刻塑造人类行为，大脑以内部重力模型编码这一力；理解该内部模型如何适应改变重力，是预测太空飞行中人类表现的关键。因此，需要建立跨重力环境的计算框架，将神经生理数据建模与主观体验模拟结合起来，以评估不同重力条件下的人类适应和韧性。</w:t>
      </w:r>
    </w:p>
    <w:p>
      <w:pPr>
        <w:pStyle w:val="Heading3"/>
      </w:pPr>
      <w:r>
        <w:t>研究问题</w:t>
      </w:r>
    </w:p>
    <w:p>
      <w:r>
        <w:t>摘要未明确列出研究问题。可概括其核心目标为：如何构建一个计算框架，预测不同重力环境下EEG频段等神经生理变化及更广泛生理反应，并模拟零重力、月球和火星部分重力、超重力下的主观体验？</w:t>
      </w:r>
    </w:p>
    <w:p>
      <w:pPr>
        <w:pStyle w:val="Heading3"/>
      </w:pPr>
      <w:r>
        <w:t>研究方法</w:t>
      </w:r>
    </w:p>
    <w:p>
      <w:r>
        <w:t>研究类型：计算建模研究，以定量建模为主，并结合大语言模型生成模拟文本；摘要未说明是否采用传统定量、定性或混合方法。样本/参与者：未说明开展新的人类被试实验；使用改变重力研究的开放获取数据，尤其抛物线飞行数据；具体样本量、参与者特征及数据集名称摘要未说明。数据来源：EEG频段、心率变异性、皮肤电活动、运动控制等神经生理/生理指标，以及Claude 3.5 Sonnet生成的模拟叙述。分析方法：CorticalG用轻量级多层感知机神经网络预测重力依赖性EEG频段变化；PhysioG用独立高斯过程模型建模生理反应；用LLM依据生理输出生成主观体验叙述。</w:t>
      </w:r>
    </w:p>
    <w:p>
      <w:pPr>
        <w:pStyle w:val="Heading3"/>
      </w:pPr>
      <w:r>
        <w:t>主要发现</w:t>
      </w:r>
    </w:p>
    <w:p>
      <w:r>
        <w:t>1. CorticalG组件能够预测重力依赖性EEG频段变化，并估计不同重力负荷下的皮层状态。2. PhysioG组件通过独立高斯过程模型捕捉更广泛的生理反应，包括心率变异性、皮肤电活动和运动控制。3. 大语言模型Claude 3.5 Sonnet可根据生理输出生成主观体验叙述，描述零重力、月球和火星部分重力以及超重力下的警觉性、身体意识和认知状态；摘要主要报告框架构建，未提供具体预测准确率或性能指标。</w:t>
      </w:r>
    </w:p>
    <w:p>
      <w:pPr>
        <w:pStyle w:val="Heading3"/>
      </w:pPr>
      <w:r>
        <w:t>对教师教育研究的启示</w:t>
      </w:r>
    </w:p>
    <w:p>
      <w:r>
        <w:t>该论文对教师教育研究无直接启示，因为其主题是改变重力环境下的神经生理适应与太空飞行表现预测，不属于学前教育、基础教育、AI教学应用、教师数字素养/智能素养/数据素养或教师教育中的AI整合。若仅从方法层面看，未来教育研究或可参考其多模态数据建模思路，即结合轻量神经网络、高斯过程和大语言模型模拟，但用于教师教育需要重新界定研究问题、样本场景、伦理与效度。摘要未说明任何教师教育样本或教育场景。</w:t>
      </w:r>
    </w:p>
    <w:p>
      <w:pPr>
        <w:pStyle w:val="Heading3"/>
      </w:pPr>
      <w:r>
        <w:t>APA引用格式</w:t>
      </w:r>
    </w:p>
    <w:p>
      <w:r>
        <w:t>Alibekov, B., Gutoreva, A., &amp; Ferrè, E. R. (2026). Gravity-awareness: A deep learning and LLM framework for predicting human adaptation to altered gravitational environments. Frontiers in Psychology. https://doi.org/10.3389/fpsyg.2026.1735872</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75.59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tate.2026.105826" TargetMode="External"/><Relationship Id="rId10" Type="http://schemas.openxmlformats.org/officeDocument/2006/relationships/hyperlink" Target="https://doi.org/10.1080/10447318.2026.2734059" TargetMode="External"/><Relationship Id="rId11" Type="http://schemas.openxmlformats.org/officeDocument/2006/relationships/hyperlink" Target="https://doi.org/10.5539/elt.v19n10p88" TargetMode="External"/><Relationship Id="rId12" Type="http://schemas.openxmlformats.org/officeDocument/2006/relationships/hyperlink" Target="https://doi.org/10.3389/ffutr.2026.1951756" TargetMode="External"/><Relationship Id="rId13" Type="http://schemas.openxmlformats.org/officeDocument/2006/relationships/hyperlink" Target="https://doi.org/10.3389/fpsyg.2026.17358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