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每日SSCI文献简报｜2026-09-03</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2026-09-03 09:51:14（北京时间）</w:t>
            </w:r>
          </w:p>
        </w:tc>
      </w:tr>
      <w:tr>
        <w:tc>
          <w:tcPr>
            <w:tcW w:type="dxa" w:w="4997"/>
          </w:tcPr>
          <w:p>
            <w:r>
              <w:rPr>
                <w:b/>
              </w:rPr>
              <w:t>检索窗口</w:t>
            </w:r>
          </w:p>
        </w:tc>
        <w:tc>
          <w:tcPr>
            <w:tcW w:type="dxa" w:w="4997"/>
          </w:tcPr>
          <w:p>
            <w:r>
              <w:t>2023-09-04 — 2026-09-03</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关注AI赋能教育研究，多采用实证范式：既有AI素养感知、生成式AI辅助设计的质性探索，也有提示词评估、机器学习预测及科学文本真实性的量化分析。趋势上强调工具适用性、可解释性与负责任伦理整合，对中国教育AI实证研究具有方法论启示。</w:t>
      </w:r>
    </w:p>
    <w:p>
      <w:pPr>
        <w:pStyle w:val="Heading1"/>
      </w:pPr>
      <w:r>
        <w:t>目录</w:t>
      </w:r>
    </w:p>
    <w:p>
      <w:pPr>
        <w:pStyle w:val="ListNumber"/>
      </w:pPr>
      <w:r>
        <w:rPr>
          <w:b/>
        </w:rPr>
        <w:t>大学EFL学生对高等教育学习环境中人工智能的感知</w:t>
      </w:r>
      <w:r>
        <w:t>｜Journal of Language Teaching and Research｜2026-09-02</w:t>
      </w:r>
    </w:p>
    <w:p>
      <w:pPr>
        <w:pStyle w:val="ListNumber"/>
      </w:pPr>
      <w:r>
        <w:rPr>
          <w:b/>
        </w:rPr>
        <w:t>职前教师运用生成式人工智能Claude开展教育数字游戏设计的体验研究</w:t>
      </w:r>
      <w:r>
        <w:t>｜Osmangazi Journal of Educational Research｜2026-09-01</w:t>
      </w:r>
    </w:p>
    <w:p>
      <w:pPr>
        <w:pStyle w:val="ListNumber"/>
      </w:pPr>
      <w:r>
        <w:rPr>
          <w:b/>
        </w:rPr>
        <w:t>提示词丰富度指数：评估建筑教育中AI文生图的一个七维框架</w:t>
      </w:r>
      <w:r>
        <w:t>｜Architecture｜2026-09-02</w:t>
      </w:r>
    </w:p>
    <w:p>
      <w:pPr>
        <w:pStyle w:val="ListNumber"/>
      </w:pPr>
      <w:r>
        <w:rPr>
          <w:b/>
        </w:rPr>
        <w:t>科学文献的真实性：分析改编科学文献中模糊限制语的使用</w:t>
      </w:r>
      <w:r>
        <w:t>｜Scientometrics｜2026-09-02</w:t>
      </w:r>
    </w:p>
    <w:p>
      <w:pPr>
        <w:pStyle w:val="ListNumber"/>
      </w:pPr>
      <w:r>
        <w:rPr>
          <w:b/>
        </w:rPr>
        <w:t>PISA 2022数学素养的表格基础模型基准测试与可解释性分析</w:t>
      </w:r>
      <w:r>
        <w:t>｜International Journal of Assessment Tools in Education｜2026-09-01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University EFL Students’ Perceptions of Artificial Intelligence in Higher Education Learning Environments / 大学EFL学生对高等教育学习环境中人工智能的感知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University EFL Students’ Perceptions of Artificial Intelligence in Higher Education Learning Environments / 大学EFL学生对高等教育学习环境中人工智能的感知</w:t>
            </w:r>
          </w:p>
        </w:tc>
      </w:tr>
      <w:tr>
        <w:tc>
          <w:tcPr>
            <w:tcW w:type="dxa" w:w="4997"/>
          </w:tcPr>
          <w:p>
            <w:r>
              <w:rPr>
                <w:b/>
              </w:rPr>
              <w:t>作者</w:t>
            </w:r>
          </w:p>
        </w:tc>
        <w:tc>
          <w:tcPr>
            <w:tcW w:type="dxa" w:w="4997"/>
          </w:tcPr>
          <w:p>
            <w:r>
              <w:t>Suratman Dahlan, Abdurrahman Hi. Usman, Awaludin Rizal, Umikalsum Arfa, Rustam AR. Selang, Try Apriani Atieka, Iva Nurmawarti, Gufran Usman</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CAMBRIDGE UNIV PRESS</w:t>
            </w:r>
          </w:p>
        </w:tc>
      </w:tr>
      <w:tr>
        <w:tc>
          <w:tcPr>
            <w:tcW w:type="dxa" w:w="4997"/>
          </w:tcPr>
          <w:p>
            <w:r>
              <w:rPr>
                <w:b/>
              </w:rPr>
              <w:t>卷期/DOI</w:t>
            </w:r>
          </w:p>
        </w:tc>
        <w:tc>
          <w:tcPr>
            <w:tcW w:type="dxa" w:w="4997"/>
          </w:tcPr>
          <w:p>
            <w:r>
              <w:t>卷期信息未提供；DOI: 10.17507/jltr.1705.10</w:t>
            </w:r>
          </w:p>
        </w:tc>
      </w:tr>
      <w:tr>
        <w:tc>
          <w:tcPr>
            <w:tcW w:type="dxa" w:w="4997"/>
          </w:tcPr>
          <w:p>
            <w:r>
              <w:rPr>
                <w:b/>
              </w:rPr>
              <w:t>在线发表时间</w:t>
            </w:r>
          </w:p>
        </w:tc>
        <w:tc>
          <w:tcPr>
            <w:tcW w:type="dxa" w:w="4997"/>
          </w:tcPr>
          <w:p>
            <w:r>
              <w:t>2026-09-02</w:t>
            </w:r>
          </w:p>
        </w:tc>
      </w:tr>
      <w:tr>
        <w:tc>
          <w:tcPr>
            <w:tcW w:type="dxa" w:w="4997"/>
          </w:tcPr>
          <w:p>
            <w:r>
              <w:rPr>
                <w:b/>
              </w:rPr>
              <w:t>SSCI分类</w:t>
            </w:r>
          </w:p>
        </w:tc>
        <w:tc>
          <w:tcPr>
            <w:tcW w:type="dxa" w:w="4997"/>
          </w:tcPr>
          <w:p>
            <w:r>
              <w:t>Education &amp; Educational Research；Linguistics</w:t>
            </w:r>
          </w:p>
        </w:tc>
      </w:tr>
      <w:tr>
        <w:tc>
          <w:tcPr>
            <w:tcW w:type="dxa" w:w="4997"/>
          </w:tcPr>
          <w:p>
            <w:r>
              <w:rPr>
                <w:b/>
              </w:rPr>
              <w:t>论文链接</w:t>
            </w:r>
          </w:p>
        </w:tc>
        <w:tc>
          <w:tcPr>
            <w:tcW w:type="dxa" w:w="4997"/>
          </w:tcPr>
          <w:p>
            <w:hyperlink r:id="rId9">
              <w:r>
                <w:rPr>
                  <w:color w:val="0563C1"/>
                  <w:u w:val="single"/>
                </w:rPr>
                <w:t>https://doi.org/10.17507/jltr.1705.10</w:t>
              </w:r>
            </w:hyperlink>
          </w:p>
        </w:tc>
      </w:tr>
    </w:tbl>
    <w:p>
      <w:pPr>
        <w:pStyle w:val="Heading3"/>
      </w:pPr>
      <w:r>
        <w:t>研究摘要</w:t>
      </w:r>
    </w:p>
    <w:p>
      <w:r>
        <w:t>本研究采用质性现象学设计，探讨印度尼西亚某师范教育学院大学EFL学生对高等教育学习环境中人工智能的感知。研究通过对九名在学术活动中积极使用AI辅助工具的学生进行半结构化访谈收集数据。结果显示，EFL学生对AI应用非常熟悉，尤其是在语言学习、完成任务等方面，并将AI视为支持性学习助手，能提升效率、自主性和信心。AI工具因提供即时反馈、促进理解、通过灵活互动降低学习焦虑而受到广泛重视。然而，研究也指出了准确性、学术诚信与依赖性的关键担忧——过度依赖AI可能妨碍批判性思维与学业责任。这些发现凸显了AI作为赋权教学资源与未经批判使用时的潜在挑战的双重角色。研究强调发展更深层AI素养与制度指导的重要性，以确保高等教育中负责任、符合伦理且具有认知意义的人工智能整合。</w:t>
      </w:r>
    </w:p>
    <w:p>
      <w:pPr>
        <w:pStyle w:val="Heading3"/>
      </w:pPr>
      <w:r>
        <w:t>研究主要内容</w:t>
      </w:r>
    </w:p>
    <w:p>
      <w:r>
        <w:t>本文基于印度尼西亚一所师范教育学院九名使用AI工具的EFL学生的半结构化访谈，采用现象学方法分析其对人工智能的感知。研究发现AI既被视为提升学习效率、自主性和信心的支持型助手，也引发了对准确性、学术诚信和过度依赖的担忧，进而提出必须提升AI素养并加强制度性指导。</w:t>
      </w:r>
    </w:p>
    <w:p>
      <w:pPr>
        <w:pStyle w:val="Heading3"/>
      </w:pPr>
      <w:r>
        <w:t>研究论点</w:t>
      </w:r>
    </w:p>
    <w:p>
      <w:r>
        <w:t>AI在高等教育学习中具有双重角色：一方面作为赋权工具提升效率与学习体验，另一方面若不加以批判性使用则可能削弱批判性思维和学术责任，因此需要更深层的AI素养和制度规范以保障负责任的AI整合。</w:t>
      </w:r>
    </w:p>
    <w:p>
      <w:pPr>
        <w:pStyle w:val="Heading3"/>
      </w:pPr>
      <w:r>
        <w:t>研究问题</w:t>
      </w:r>
    </w:p>
    <w:p>
      <w:r>
        <w:t>摘要未明确列出具体研究问题；总体研究目的在于探索大学EFL学生对高等教育学习环境中人工智能的感知。</w:t>
      </w:r>
    </w:p>
    <w:p>
      <w:pPr>
        <w:pStyle w:val="Heading3"/>
      </w:pPr>
      <w:r>
        <w:t>研究方法</w:t>
      </w:r>
    </w:p>
    <w:p>
      <w:r>
        <w:t>研究类型：定性研究（现象学设计）。样本/参与者：9名印度尼西亚某师范教育学院积极使用AI辅助工具进行学术活动的EFL学生。数据来源：半结构化访谈。分析方法：摘要未说明具体的分析技术（如主题分析步骤或编码策略）。</w:t>
      </w:r>
    </w:p>
    <w:p>
      <w:pPr>
        <w:pStyle w:val="Heading3"/>
      </w:pPr>
      <w:r>
        <w:t>主要发现</w:t>
      </w:r>
    </w:p>
    <w:p>
      <w:r>
        <w:t>['EFL学生对AI应用表现出高度熟悉，尤其在语言学习和完成任务上，倾向于将AI视为支持性学习助手，认为其能提升学习效率、自主性与信心。', 'AI工具因提供即时反馈、促进内容理解，并通过灵活互动降低学习焦虑而受到学生广泛认可。', '学生同时担忧AI的准确性、学术诚信问题及过度依赖风险，认为不加批判地依赖AI可能抑制批判性思维和学业责任。']</w:t>
      </w:r>
    </w:p>
    <w:p>
      <w:pPr>
        <w:pStyle w:val="Heading3"/>
      </w:pPr>
      <w:r>
        <w:t>对教师教育研究的启示</w:t>
      </w:r>
    </w:p>
    <w:p>
      <w:r>
        <w:t>本研究以职前教师（师范生）为对象，运用现象学设计和半结构化访谈捕捉其对AI工具的感知，为教师教育研究提供了探索“AI使用经验”的质性路径；其发现提示教师教育项目应重视培养未来教师的AI素养，既要善用AI提升教与学效果，也要防范过度依赖与学术诚信风险；在数字化教学变革背景下，教师培训应融入批判性AI整合与伦理规范教育，帮助教师承担新的角色并负责任地运用人工智能。</w:t>
      </w:r>
    </w:p>
    <w:p>
      <w:pPr>
        <w:pStyle w:val="Heading3"/>
      </w:pPr>
      <w:r>
        <w:t>APA引用格式</w:t>
      </w:r>
    </w:p>
    <w:p>
      <w:r>
        <w:t>Dahlan, S., Usman, A. H., Rizal, A., Arfa, U., Selang, R. A., Atieka, T. A., Nurmawarti, I., &amp; Usman, G. (2026). University EFL students’ perceptions of artificial intelligence in higher education learning environments. Journal of Language Teaching and Research. https://doi.org/10.17507/jltr.1705.10</w:t>
      </w:r>
    </w:p>
    <w:p>
      <w:r>
        <w:br w:type="page"/>
      </w:r>
    </w:p>
    <w:p>
      <w:pPr>
        <w:pStyle w:val="Heading2"/>
      </w:pPr>
      <w:r>
        <w:t>2. An Examination of Pre-service Teachers' Experiences in Educational Digital Game Design with Claude / 职前教师运用生成式人工智能Claude开展教育数字游戏设计的体验研究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An Examination of Pre-service Teachers' Experiences in Educational Digital Game Design with Claude / 职前教师运用生成式人工智能Claude开展教育数字游戏设计的体验研究</w:t>
            </w:r>
          </w:p>
        </w:tc>
      </w:tr>
      <w:tr>
        <w:tc>
          <w:tcPr>
            <w:tcW w:type="dxa" w:w="4997"/>
          </w:tcPr>
          <w:p>
            <w:r>
              <w:rPr>
                <w:b/>
              </w:rPr>
              <w:t>作者</w:t>
            </w:r>
          </w:p>
        </w:tc>
        <w:tc>
          <w:tcPr>
            <w:tcW w:type="dxa" w:w="4997"/>
          </w:tcPr>
          <w:p>
            <w:r>
              <w:t>Ebru Yılmaz; Rıdvan Ezentaş; Emre Ev Çimen</w:t>
            </w:r>
          </w:p>
        </w:tc>
      </w:tr>
      <w:tr>
        <w:tc>
          <w:tcPr>
            <w:tcW w:type="dxa" w:w="4997"/>
          </w:tcPr>
          <w:p>
            <w:r>
              <w:rPr>
                <w:b/>
              </w:rPr>
              <w:t>期刊及影响因子</w:t>
            </w:r>
          </w:p>
        </w:tc>
        <w:tc>
          <w:tcPr>
            <w:tcW w:type="dxa" w:w="4997"/>
          </w:tcPr>
          <w:p>
            <w:r>
              <w:t>Osmangazi Journal of Educational Research（教育与教育研究类SSCI收录期刊）；白名单未提供影响因子与JCR分区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卷期号摘要未说明；DOI: https://doi.org/10.59409/ojer.1919350</w:t>
            </w:r>
          </w:p>
        </w:tc>
      </w:tr>
      <w:tr>
        <w:tc>
          <w:tcPr>
            <w:tcW w:type="dxa" w:w="4997"/>
          </w:tcPr>
          <w:p>
            <w:r>
              <w:rPr>
                <w:b/>
              </w:rPr>
              <w:t>在线发表时间</w:t>
            </w:r>
          </w:p>
        </w:tc>
        <w:tc>
          <w:tcPr>
            <w:tcW w:type="dxa" w:w="4997"/>
          </w:tcPr>
          <w:p>
            <w:r>
              <w:t>2026-09-01</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0">
              <w:r>
                <w:rPr>
                  <w:color w:val="0563C1"/>
                  <w:u w:val="single"/>
                </w:rPr>
                <w:t>https://doi.org/10.59409/ojer.1919350</w:t>
              </w:r>
            </w:hyperlink>
          </w:p>
        </w:tc>
      </w:tr>
    </w:tbl>
    <w:p>
      <w:pPr>
        <w:pStyle w:val="Heading3"/>
      </w:pPr>
      <w:r>
        <w:t>研究摘要</w:t>
      </w:r>
    </w:p>
    <w:p>
      <w:r>
        <w:t>本研究旨在考察职前教师对使用生成式人工智能工具Claude开发教育数字游戏的体验与看法，并关注其游戏开发过程。研究依托一项面向数学教师候选人的专业发展项目，项目教授其使用生成式人工智能工具设计教育数字游戏。为更有效、更清晰地理解使用Claude开发的游戏质量及参与者对该工具的看法，研究采用质性研究方法中的个案研究设计。研究组由初等数学教育专业的27名三年级学生组成。教师候选人首先接受教育数字游戏与游戏化学习的培训，随后学习Claude的入门知识及使用Claude开发教育数字游戏的方法。培训结束后，教师候选人为选定年级的某一特定学习成果开发了一款教育数字游戏。最后，研究者收集了他们关于Claude的体验与看法。</w:t>
      </w:r>
    </w:p>
    <w:p>
      <w:pPr>
        <w:pStyle w:val="Heading3"/>
      </w:pPr>
      <w:r>
        <w:t>研究主要内容</w:t>
      </w:r>
    </w:p>
    <w:p>
      <w:r>
        <w:t>论文围绕“培训—实践—反馈”三阶段展开：职前数学教师先学习教育数字游戏与游戏化学习理念，再接受生成式AI工具Claude的操作培训，随后针对具体年级和特定学习成果设计一款教育数字游戏，最后汇报其使用Claude的体验与观点。研究试图从游戏质量与使用者主观感受两个维度，回答生成式AI辅助教育游戏开发在职前教师教育中的可行性与价值，属于生成式AI工具（Claude）嵌入学科教学技能培养的探索性个案研究。</w:t>
      </w:r>
    </w:p>
    <w:p>
      <w:pPr>
        <w:pStyle w:val="Heading3"/>
      </w:pPr>
      <w:r>
        <w:t>研究论点</w:t>
      </w:r>
    </w:p>
    <w:p>
      <w:r>
        <w:t>核心立场是：采用质性个案研究设计能够深入且清晰地揭示职前教师使用生成式AI（Claude）开发教育数字游戏的游戏质量与技术接受度。研究基于“真实专业发展项目情境中的小样本深度考察”这一方法论逻辑，假设通过培训嵌入、实践产出与参与者反馈，可以获取丰富的过程性证据，从而判断生成式AI工具在教师教育技术类课程中的教学潜力。</w:t>
      </w:r>
    </w:p>
    <w:p>
      <w:pPr>
        <w:pStyle w:val="Heading3"/>
      </w:pPr>
      <w:r>
        <w:t>研究问题</w:t>
      </w:r>
    </w:p>
    <w:p>
      <w:r>
        <w:t>摘要未以明确研究问题形式列出。根据研究目的可归纳为：（1）职前教师使用Claude开发教育数字游戏的体验如何？（2）职前教师对Claude作为生成式AI工具及其辅助的游戏开发过程持何种看法？（3）职前教师使用Claude开发出的教育数字游戏质量如何？</w:t>
      </w:r>
    </w:p>
    <w:p>
      <w:pPr>
        <w:pStyle w:val="Heading3"/>
      </w:pPr>
      <w:r>
        <w:t>研究方法</w:t>
      </w:r>
    </w:p>
    <w:p>
      <w:r>
        <w:t>研究类型：质性研究（qualitative research），具体采用个案研究设计（case study design）。样本/参与者：初等数学教育专业三年级学生共27人。数据来源：摘要仅说明“收集了职前教师对Claude的体验与看法”，未具体说明所用工具（如半结构化访谈、问卷调查、反思日志、焦点小组或游戏作品分析等）。分析方法：摘要未说明（如主题分析、内容分析或编码策略均未交代）。</w:t>
      </w:r>
    </w:p>
    <w:p>
      <w:pPr>
        <w:pStyle w:val="Heading3"/>
      </w:pPr>
      <w:r>
        <w:t>主要发现</w:t>
      </w:r>
    </w:p>
    <w:p>
      <w:r>
        <w:t>摘要未报告具体的实证研究结果，无法提炼已验证的发现。基于研究目的可推断其关注三类结论方向，但均需以全文为准：（1）职前教师在生成式AI辅助游戏设计过程中的主观体验特征；（2）职前教师对Claude工具可用性、交互性与教学适用性的评价；（3）所开发教育数字游戏在学习目标匹配、内容准确性与游戏设计质量方面的表现。具体发现论文摘要未呈现。</w:t>
      </w:r>
    </w:p>
    <w:p>
      <w:pPr>
        <w:pStyle w:val="Heading3"/>
      </w:pPr>
      <w:r>
        <w:t>对教师教育研究的启示</w:t>
      </w:r>
    </w:p>
    <w:p>
      <w:r>
        <w:t>（1）选题前沿性：该研究为“生成式对话AI工具如何嵌入职前教师教育课程”提供了课堂层面的质性个案，是国内教师数字素养与AI素养研究可追踪的前沿方向，建议关注其全文结果以了解职前教师AI辅助教学设计能力发展的实证证据。（2）研究设计启示：其“理论培训—AI工具学习—真实教学产出—体验收集”的专业发展项目框架有助于研究者设计教师AI素养培训干预，并为教育技术类课程的教学变革提供可复制的流程模板。（3）数据收集与分析方法启示：由于摘要未交代具体数据收集与分析手段，阅读全文时应重点考察其质性数据来源的多样性（如开发过程记录、成品游戏质量评价工具、职前教师反思文本）及分析策略（如主题编码、内容矩阵等），以学习如何为生成式AI教学应用建立多维数据证据链。</w:t>
      </w:r>
    </w:p>
    <w:p>
      <w:pPr>
        <w:pStyle w:val="Heading3"/>
      </w:pPr>
      <w:r>
        <w:t>APA引用格式</w:t>
      </w:r>
    </w:p>
    <w:p>
      <w:r>
        <w:t>Yılmaz, E., Ezentaş, R., &amp; Çimen, E. E. (2026). An examination of pre-service teachers' experiences in educational digital game design with Claude. Osmangazi Journal of Educational Research. https://doi.org/10.59409/ojer.1919350</w:t>
      </w:r>
    </w:p>
    <w:p>
      <w:r>
        <w:br w:type="page"/>
      </w:r>
    </w:p>
    <w:p>
      <w:pPr>
        <w:pStyle w:val="Heading2"/>
      </w:pPr>
      <w:r>
        <w:t>3. The Prompt Richness Index: A Proposed Seven-Dimension Framework for Evaluating AI Text-to-Image Generation in Architectural Design Education / 提示词丰富度指数：评估建筑教育中AI文生图的一个七维框架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Prompt Richness Index: A Proposed Seven-Dimension Framework for Evaluating AI Text-to-Image Generation in Architectural Design Education / 提示词丰富度指数：评估建筑教育中AI文生图的一个七维框架</w:t>
            </w:r>
          </w:p>
        </w:tc>
      </w:tr>
      <w:tr>
        <w:tc>
          <w:tcPr>
            <w:tcW w:type="dxa" w:w="4997"/>
          </w:tcPr>
          <w:p>
            <w:r>
              <w:rPr>
                <w:b/>
              </w:rPr>
              <w:t>作者</w:t>
            </w:r>
          </w:p>
        </w:tc>
        <w:tc>
          <w:tcPr>
            <w:tcW w:type="dxa" w:w="4997"/>
          </w:tcPr>
          <w:p>
            <w:r>
              <w:t>Nahedh Taha Al-Qemaqchi</w:t>
            </w:r>
          </w:p>
        </w:tc>
      </w:tr>
      <w:tr>
        <w:tc>
          <w:tcPr>
            <w:tcW w:type="dxa" w:w="4997"/>
          </w:tcPr>
          <w:p>
            <w:r>
              <w:rPr>
                <w:b/>
              </w:rPr>
              <w:t>期刊及影响因子</w:t>
            </w:r>
          </w:p>
        </w:tc>
        <w:tc>
          <w:tcPr>
            <w:tcW w:type="dxa" w:w="4997"/>
          </w:tcPr>
          <w:p>
            <w:r>
              <w:t>未提供影响因子与JCR分区（白名单未提供；期刊属SSCI分类 Environmental Studies, Urban Studies）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EMERALD GROUP PUBLISHING LTD</w:t>
            </w:r>
          </w:p>
        </w:tc>
      </w:tr>
      <w:tr>
        <w:tc>
          <w:tcPr>
            <w:tcW w:type="dxa" w:w="4997"/>
          </w:tcPr>
          <w:p>
            <w:r>
              <w:rPr>
                <w:b/>
              </w:rPr>
              <w:t>卷期/DOI</w:t>
            </w:r>
          </w:p>
        </w:tc>
        <w:tc>
          <w:tcPr>
            <w:tcW w:type="dxa" w:w="4997"/>
          </w:tcPr>
          <w:p>
            <w:r>
              <w:t>卷期：元数据未说明；DOI: https://doi.org/10.3390/architecture6030155</w:t>
            </w:r>
          </w:p>
        </w:tc>
      </w:tr>
      <w:tr>
        <w:tc>
          <w:tcPr>
            <w:tcW w:type="dxa" w:w="4997"/>
          </w:tcPr>
          <w:p>
            <w:r>
              <w:rPr>
                <w:b/>
              </w:rPr>
              <w:t>在线发表时间</w:t>
            </w:r>
          </w:p>
        </w:tc>
        <w:tc>
          <w:tcPr>
            <w:tcW w:type="dxa" w:w="4997"/>
          </w:tcPr>
          <w:p>
            <w:r>
              <w:t>2026-09-02</w:t>
            </w:r>
          </w:p>
        </w:tc>
      </w:tr>
      <w:tr>
        <w:tc>
          <w:tcPr>
            <w:tcW w:type="dxa" w:w="4997"/>
          </w:tcPr>
          <w:p>
            <w:r>
              <w:rPr>
                <w:b/>
              </w:rPr>
              <w:t>SSCI分类</w:t>
            </w:r>
          </w:p>
        </w:tc>
        <w:tc>
          <w:tcPr>
            <w:tcW w:type="dxa" w:w="4997"/>
          </w:tcPr>
          <w:p>
            <w:r>
              <w:t>Environmental Studies；Urban Studies</w:t>
            </w:r>
          </w:p>
        </w:tc>
      </w:tr>
      <w:tr>
        <w:tc>
          <w:tcPr>
            <w:tcW w:type="dxa" w:w="4997"/>
          </w:tcPr>
          <w:p>
            <w:r>
              <w:rPr>
                <w:b/>
              </w:rPr>
              <w:t>论文链接</w:t>
            </w:r>
          </w:p>
        </w:tc>
        <w:tc>
          <w:tcPr>
            <w:tcW w:type="dxa" w:w="4997"/>
          </w:tcPr>
          <w:p>
            <w:hyperlink r:id="rId11">
              <w:r>
                <w:rPr>
                  <w:color w:val="0563C1"/>
                  <w:u w:val="single"/>
                </w:rPr>
                <w:t>https://doi.org/10.3390/architecture6030155</w:t>
              </w:r>
            </w:hyperlink>
          </w:p>
        </w:tc>
      </w:tr>
    </w:tbl>
    <w:p>
      <w:pPr>
        <w:pStyle w:val="Heading3"/>
      </w:pPr>
      <w:r>
        <w:t>研究摘要</w:t>
      </w:r>
    </w:p>
    <w:p>
      <w:r>
        <w:t>将概念转化为建筑设计具有挑战性，需要清晰的构思与视觉化能力。AI文生图工具可以帮助设计者快速将概念转化为视觉表征，加速设计备选方案的探索。本研究提出一个十步数值程序，用于评估建筑设计工作室中提交给文生图生成式AI工具的文本提示语的丰富度。设计工作室共有23名建筑学学生参与，其中22人提交了可分析的文本提示词，作为需要AI辅助概念可视化的设计作业的一部分。每条提示词按七个加权维度（主题具体性、风格与媒介、构图与取景、光照与氛围、色彩与调色板、质量修饰词、否定条款）评分，合成提示词丰富度指数R（0-100）。相应的AI生成图像使用并行的输出丰富度指数O（0-100）独立评分。学生平均R与平均O之间的Pearson r=0.940（p&lt;0.001，95%置信区间[0.86, 0.98]），呈接近完美的正线性关系。2名学生的提示词达到丰富层级（Rich-tier），生成了最具建筑连贯性和视觉独特性的输出；2名学生的提示词属于稀疏层级（Sparse-tier，平均R&lt;30），其输出持续表现为未分化的通用图像；另有2名学生得分略高于稀疏阈值，但输出分化也有限。全班范围内的不足集中在光照/氛围描述和否定条款使用上。研究结果衍生出八条教学建议，用于指导AI整合式设计工作室中的提示词学习教学。</w:t>
      </w:r>
    </w:p>
    <w:p>
      <w:pPr>
        <w:pStyle w:val="Heading3"/>
      </w:pPr>
      <w:r>
        <w:t>研究主要内容</w:t>
      </w:r>
    </w:p>
    <w:p>
      <w:r>
        <w:t>该论文针对建筑教育中使用AI文生图工具时，提示词质量缺乏系统评价标准的问题，提出并检验了一个“提示词丰富度指数”框架。该框架将文本提示词操作化为七个加权维度，并通过十步数值程序进行量化评分；同时对AI生成图像采用平行的“输出丰富度指数”打分，以检验提示词丰富程度与生成结果质量之间的相关关系。研究在真实设计工作室任务中收集数据，通过对学生提示文本和对应AI生成图像的评分及统计分析，说明该指数能够区分不同水平的提示词，并能诊断学习者常见的提示词缺陷，进而为教学干预提供依据。</w:t>
      </w:r>
    </w:p>
    <w:p>
      <w:pPr>
        <w:pStyle w:val="Heading3"/>
      </w:pPr>
      <w:r>
        <w:t>研究论点</w:t>
      </w:r>
    </w:p>
    <w:p>
      <w:r>
        <w:t>核心主张是：AI文生图生成结果的差异具有系统性与可测量性，且很大程度上与用户提示词的“丰富度”相关；因此，在AI整合的设计教育中，教师不应只关注最终生成图像，而应通过多维评价框架对提示词进行显式教学和反馈。</w:t>
      </w:r>
    </w:p>
    <w:p>
      <w:pPr>
        <w:pStyle w:val="Heading3"/>
      </w:pPr>
      <w:r>
        <w:t>研究问题</w:t>
      </w:r>
    </w:p>
    <w:p>
      <w:r>
        <w:t>摘要未明确列出研究问题。根据研究目的与设计可推断，其核心检验问题是：“文本提示词丰富度指数R与学生AI生成图像输出丰富度指数O之间是否存在显著正相关？”；同时，该框架能否识别学生在提示词表达中的典型不足。</w:t>
      </w:r>
    </w:p>
    <w:p>
      <w:pPr>
        <w:pStyle w:val="Heading3"/>
      </w:pPr>
      <w:r>
        <w:t>研究方法</w:t>
      </w:r>
    </w:p>
    <w:p>
      <w:r>
        <w:t>研究类型：定量研究（基于评分的相关设计）。样本/参与者：23名建筑设计工作室学生，其中22名提交了可分析的文本提示；未说明学生年级、学校或抽样方法。数据来源：学生设计作业中提交给文生图AI工具的文本提示词，以及由这些提示词生成并独立评分的AI图像。分析方法：每条提示词按七个加权维度评分，计算提示词丰富度指数R（0-100）；每张AI生成图像用平行的输出丰富度指数O（0-100）评分；计算每名学生平均R与平均O之间的Pearson相关系数及95%置信区间；并对不同层级提示词（Rich-tier、Sparse-tier）的输出进行描述性比较。摘要未说明评分者人数、评分者间信度、具体统计软件及是否控制其他变量。</w:t>
      </w:r>
    </w:p>
    <w:p>
      <w:pPr>
        <w:pStyle w:val="Heading3"/>
      </w:pPr>
      <w:r>
        <w:t>主要发现</w:t>
      </w:r>
    </w:p>
    <w:p>
      <w:r>
        <w:t>1. 学生平均提示词丰富度指数R与AI生成图像的输出丰富度指数O之间呈接近完美的正线性相关（r=0.940，p&lt;0.001，95%CI [0.86, 0.98]）。2. 仅有2名学生的提示词达到Rich-tier层级，输出在建筑连贯性和视觉独特性上表现最好；2名学生的提示词属于Sparse-tier（平均R&lt;30），输出持续表现为未分化、泛型渲染；另有2名学生略高于稀疏阈值，输出分化也有限。3. 全班范围的明显薄弱环节是光照/氛围描述和否定条款使用，论文据此提出了八条教学建议。</w:t>
      </w:r>
    </w:p>
    <w:p>
      <w:pPr>
        <w:pStyle w:val="Heading3"/>
      </w:pPr>
      <w:r>
        <w:t>对教师教育研究的启示</w:t>
      </w:r>
    </w:p>
    <w:p>
      <w:r>
        <w:t>本研究的对象虽然是建筑学高等教育，但其框架和方法对AI时代的教师教育研究有迁移价值。首先，前沿主题上，“提示词质量”或“提示素养”可纳入教师数字素养、智能素养的测评框架，用于评价教师借助AI设计与组织教学任务的能力。其次，研究设计上，可采用“多维提示词评价框架＋生成结果独立评分＋相关分析”的路径，为教师培训中AI使用效果提供量化证据。再次，数据收集上，可在真实教学设计任务中收集教师生成的提示文本及AI输出作品，并对提示文本进行编码评分；分析方法上可采用Pearson相关、置信区间及层级比较，同时应报告评分者信度。该研究暴露的典型薄弱维度提醒教师教育者，在学前及基础教育教师AI培训中，应针对AI输出质量的关键描述维度（如氛围、风格、否定性约束等）开展显式训练。</w:t>
      </w:r>
    </w:p>
    <w:p>
      <w:pPr>
        <w:pStyle w:val="Heading3"/>
      </w:pPr>
      <w:r>
        <w:t>APA引用格式</w:t>
      </w:r>
    </w:p>
    <w:p>
      <w:r>
        <w:t>Al-Qemaqchi, N. T. (2026). The Prompt Richness Index: A proposed seven-dimension framework for evaluating AI text-to-image generation in architectural design education. Architecture. https://doi.org/10.3390/architecture6030155</w:t>
      </w:r>
    </w:p>
    <w:p>
      <w:r>
        <w:br w:type="page"/>
      </w:r>
    </w:p>
    <w:p>
      <w:pPr>
        <w:pStyle w:val="Heading2"/>
      </w:pPr>
      <w:r>
        <w:t>4. Authenticity of scientific literature: analyzing the usage of hedging in adapted scientific literature / 科学文献的真实性：分析改编科学文献中模糊限制语的使用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Authenticity of scientific literature: analyzing the usage of hedging in adapted scientific literature / 科学文献的真实性：分析改编科学文献中模糊限制语的使用</w:t>
            </w:r>
          </w:p>
        </w:tc>
      </w:tr>
      <w:tr>
        <w:tc>
          <w:tcPr>
            <w:tcW w:type="dxa" w:w="4997"/>
          </w:tcPr>
          <w:p>
            <w:r>
              <w:rPr>
                <w:b/>
              </w:rPr>
              <w:t>作者</w:t>
            </w:r>
          </w:p>
        </w:tc>
        <w:tc>
          <w:tcPr>
            <w:tcW w:type="dxa" w:w="4997"/>
          </w:tcPr>
          <w:p>
            <w:r>
              <w:t>Hilko Aljets, Thomas Waitz</w:t>
            </w:r>
          </w:p>
        </w:tc>
      </w:tr>
      <w:tr>
        <w:tc>
          <w:tcPr>
            <w:tcW w:type="dxa" w:w="4997"/>
          </w:tcPr>
          <w:p>
            <w:r>
              <w:rPr>
                <w:b/>
              </w:rPr>
              <w:t>期刊及影响因子</w:t>
            </w:r>
          </w:p>
        </w:tc>
        <w:tc>
          <w:tcPr>
            <w:tcW w:type="dxa" w:w="4997"/>
          </w:tcPr>
          <w:p>
            <w:r>
              <w:t>摘要未说明影响因子与JCR分区（白名单未提供）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1588-2861</w:t>
            </w:r>
          </w:p>
        </w:tc>
      </w:tr>
      <w:tr>
        <w:tc>
          <w:tcPr>
            <w:tcW w:type="dxa" w:w="4997"/>
          </w:tcPr>
          <w:p>
            <w:r>
              <w:rPr>
                <w:b/>
              </w:rPr>
              <w:t>卷期/DOI</w:t>
            </w:r>
          </w:p>
        </w:tc>
        <w:tc>
          <w:tcPr>
            <w:tcW w:type="dxa" w:w="4997"/>
          </w:tcPr>
          <w:p>
            <w:r>
              <w:t>卷期未说明；DOI: https://doi.org/10.1007/s11192-026-05785-w</w:t>
            </w:r>
          </w:p>
        </w:tc>
      </w:tr>
      <w:tr>
        <w:tc>
          <w:tcPr>
            <w:tcW w:type="dxa" w:w="4997"/>
          </w:tcPr>
          <w:p>
            <w:r>
              <w:rPr>
                <w:b/>
              </w:rPr>
              <w:t>在线发表时间</w:t>
            </w:r>
          </w:p>
        </w:tc>
        <w:tc>
          <w:tcPr>
            <w:tcW w:type="dxa" w:w="4997"/>
          </w:tcPr>
          <w:p>
            <w:r>
              <w:t>2026-09-02</w:t>
            </w:r>
          </w:p>
        </w:tc>
      </w:tr>
      <w:tr>
        <w:tc>
          <w:tcPr>
            <w:tcW w:type="dxa" w:w="4997"/>
          </w:tcPr>
          <w:p>
            <w:r>
              <w:rPr>
                <w:b/>
              </w:rPr>
              <w:t>SSCI分类</w:t>
            </w:r>
          </w:p>
        </w:tc>
        <w:tc>
          <w:tcPr>
            <w:tcW w:type="dxa" w:w="4997"/>
          </w:tcPr>
          <w:p>
            <w:r>
              <w:t>English；Information Science &amp; Library Science</w:t>
            </w:r>
          </w:p>
        </w:tc>
      </w:tr>
      <w:tr>
        <w:tc>
          <w:tcPr>
            <w:tcW w:type="dxa" w:w="4997"/>
          </w:tcPr>
          <w:p>
            <w:r>
              <w:rPr>
                <w:b/>
              </w:rPr>
              <w:t>论文链接</w:t>
            </w:r>
          </w:p>
        </w:tc>
        <w:tc>
          <w:tcPr>
            <w:tcW w:type="dxa" w:w="4997"/>
          </w:tcPr>
          <w:p>
            <w:hyperlink r:id="rId12">
              <w:r>
                <w:rPr>
                  <w:color w:val="0563C1"/>
                  <w:u w:val="single"/>
                </w:rPr>
                <w:t>https://doi.org/10.1007/s11192-026-05785-w</w:t>
              </w:r>
            </w:hyperlink>
          </w:p>
        </w:tc>
      </w:tr>
    </w:tbl>
    <w:p>
      <w:pPr>
        <w:pStyle w:val="Heading3"/>
      </w:pPr>
      <w:r>
        <w:t>研究摘要</w:t>
      </w:r>
    </w:p>
    <w:p>
      <w:r>
        <w:t>改编科学文献（ASL）越来越多地被用于教育情境，以使真实科学文本对学生可及。科学写作的一个标志性特征是使用模糊限制语（hedging）——即表达不确定性或试探性的语言手段。本研究考察ASL是否保持了这一特征，以及其模糊限制语的使用在多大程度上与原始科学文章一致。采用机器学习方法，我们在BioScope语料库上训练分类器，以自动检测英语和德语文本中的模糊限制语。随后分析了包含原始研究文章、其改编对应文本及教科书摘录的语料库。结果表明，ASL保留了模糊限制语的典型分布模式——尤其是其在引言和讨论部分出现频率较高——但总体比例较原始文本有所降低。相比之下，教科书文本中模糊限制语很少，将科学知识呈现得更加确定。这些发现表明，ASL提供了一种在语言学上比原始科学文献更真实的替代品，并可能帮助学习者更现实地参与科学的认知实践。虽然改编过程中模糊限制语有所减少，但ASL保留了科学话语的基本修辞特征，因此可作为科学教育中的宝贵资源。</w:t>
      </w:r>
    </w:p>
    <w:p>
      <w:pPr>
        <w:pStyle w:val="Heading3"/>
      </w:pPr>
      <w:r>
        <w:t>研究主要内容</w:t>
      </w:r>
    </w:p>
    <w:p>
      <w:r>
        <w:t>该研究以改编科学文献（ASL）为对象，探讨其在教育场景中作为真实科学文本资源的适用性。研究聚焦科学写作中的模糊限制语，通过机器学习分类器（基于BioScope语料库训练）自动检测并比较原始研究文章、改编文本及教科书摘录中模糊限制语的使用分布与频率，以评估ASL是否在修辞层面保持科学文献的“真实性”。结果发现ASL保留了模糊限制语在引言和讨论部分集中的分布模式，但整体使用比例低于原文；教科书则极少使用模糊限制语，呈现更强的知识确定性。</w:t>
      </w:r>
    </w:p>
    <w:p>
      <w:pPr>
        <w:pStyle w:val="Heading3"/>
      </w:pPr>
      <w:r>
        <w:t>研究论点</w:t>
      </w:r>
    </w:p>
    <w:p>
      <w:r>
        <w:t>科学文献的真实性不仅体现在内容上，也体现在语言修辞特征中；模糊限制语是科学话语表达不确定性和认知审慎的重要标志。改编科学文献在缩减内容的同时，如果保留了这种修辞特征，就能作为一种比教科书更真实、比原文更容易获取的教育资源，帮助学习者理解科学知识的暂定性和建构性。</w:t>
      </w:r>
    </w:p>
    <w:p>
      <w:pPr>
        <w:pStyle w:val="Heading3"/>
      </w:pPr>
      <w:r>
        <w:t>研究问题</w:t>
      </w:r>
    </w:p>
    <w:p>
      <w:r>
        <w:t>改编科学文献（ASL）是否保持了科学写作中的模糊限制语特征？其模糊限制语的使用程度与原始科学文章在多大程度上一致？</w:t>
      </w:r>
    </w:p>
    <w:p>
      <w:pPr>
        <w:pStyle w:val="Heading3"/>
      </w:pPr>
      <w:r>
        <w:t>研究方法</w:t>
      </w:r>
    </w:p>
    <w:p>
      <w:r>
        <w:t>研究类型：定量分析（基于机器学习与语料库比较）。样本/参与者：非人类样本；包括英语和德语的原始研究文章、对应改编文本及教科书摘录，具体语料库规模未说明。数据来源：BioScope语料库（用于训练分类器）、自建或已有语料库（原始研究文章、改编文本、教科书摘录）。分析方法：使用机器学习方法训练分类器自动检测模糊限制语；比较不同语料类型中模糊限制语的分布模式和频率（未说明具体统计检验方法）。注意：摘要未说明样本量、语料库构建细节及分类器性能指标；研究设计、参与者/样本特征报告不完整。</w:t>
      </w:r>
    </w:p>
    <w:p>
      <w:pPr>
        <w:pStyle w:val="Heading3"/>
      </w:pPr>
      <w:r>
        <w:t>主要发现</w:t>
      </w:r>
    </w:p>
    <w:p>
      <w:r>
        <w:t>['改编科学文献保留了模糊限制语的典型分布模式，即在引言和讨论部分集中出现，与原始科学文章的结构性特征一致。', '总体上，改编文本中的模糊限制语使用比例低于原始科学文章，说明改编过程会减少一定量的不确定性表达。', '教科书文本中模糊限制语极少，倾向于将科学知识呈现为确定结论，与原始科学文献和改编文本形成鲜明对比。']</w:t>
      </w:r>
    </w:p>
    <w:p>
      <w:pPr>
        <w:pStyle w:val="Heading3"/>
      </w:pPr>
      <w:r>
        <w:t>对教师教育研究的启示</w:t>
      </w:r>
    </w:p>
    <w:p>
      <w:r>
        <w:t>['前沿主题方面：改编科学文献可作为科学教育中连接学生与真实科学实践的可行资源，提示教师在课堂上引入科学文本时不应只关注知识陈述，还要关注科学话语中的不确定性表达，帮助学生理解科学知识的开放性与建构性。', '研究设计方面：该研究采用机器学习分类器和多语种语料库比较设计，为教师教育研究者提供了一种结合计算语言学与教育文本分析的方法范例；未来可借鉴其对不同语料（如教师使用的教学文本与原著）进行系统比较，从而评估教学材料的“真实性”。', '数据收集与分析方面：利用已有的BioScope语料库训练分类器、再对目标语料进行自动标注的做法，提示研究者可借助自然语言处理工具分析教师话语、教材或课堂文本中的认识论表达，例如模糊限制语、认知动词、反事实标记等，以实证方式研究教师如何传递科学知识；同时评估工具效度与与人工编码的一致性也应成为数据质量报告的一部分。']</w:t>
      </w:r>
    </w:p>
    <w:p>
      <w:pPr>
        <w:pStyle w:val="Heading3"/>
      </w:pPr>
      <w:r>
        <w:t>APA引用格式</w:t>
      </w:r>
    </w:p>
    <w:p>
      <w:r>
        <w:t>Aljets, H., &amp; Waitz, T. (2026). Authenticity of scientific literature: Analyzing the usage of hedging in adapted scientific literature. Scientometrics. Advance online publication. https://doi.org/10.1007/s11192-026-05785-w</w:t>
      </w:r>
    </w:p>
    <w:p>
      <w:r>
        <w:br w:type="page"/>
      </w:r>
    </w:p>
    <w:p>
      <w:pPr>
        <w:pStyle w:val="Heading2"/>
      </w:pPr>
      <w:r>
        <w:t>5. Benchmarking and interpreting a tabular foundation model for PISA 2022 mathematical literacy / PISA 2022数学素养的表格基础模型基准测试与可解释性分析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Benchmarking and interpreting a tabular foundation model for PISA 2022 mathematical literacy / PISA 2022数学素养的表格基础模型基准测试与可解释性分析</w:t>
            </w:r>
          </w:p>
        </w:tc>
      </w:tr>
      <w:tr>
        <w:tc>
          <w:tcPr>
            <w:tcW w:type="dxa" w:w="4997"/>
          </w:tcPr>
          <w:p>
            <w:r>
              <w:rPr>
                <w:b/>
              </w:rPr>
              <w:t>作者</w:t>
            </w:r>
          </w:p>
        </w:tc>
        <w:tc>
          <w:tcPr>
            <w:tcW w:type="dxa" w:w="4997"/>
          </w:tcPr>
          <w:p>
            <w:r>
              <w:t>Büşra EREN, Tuğba Niksarlı</w:t>
            </w:r>
          </w:p>
        </w:tc>
      </w:tr>
      <w:tr>
        <w:tc>
          <w:tcPr>
            <w:tcW w:type="dxa" w:w="4997"/>
          </w:tcPr>
          <w:p>
            <w:r>
              <w:rPr>
                <w:b/>
              </w:rPr>
              <w:t>期刊及影响因子</w:t>
            </w:r>
          </w:p>
        </w:tc>
        <w:tc>
          <w:tcPr>
            <w:tcW w:type="dxa" w:w="4997"/>
          </w:tcPr>
          <w:p>
            <w:r>
              <w:t>期刊为International Journal of Assessment Tools in Education；白名单未提供影响因子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卷期信息未说明；DOI: 10.21449/ijate.1856645</w:t>
            </w:r>
          </w:p>
        </w:tc>
      </w:tr>
      <w:tr>
        <w:tc>
          <w:tcPr>
            <w:tcW w:type="dxa" w:w="4997"/>
          </w:tcPr>
          <w:p>
            <w:r>
              <w:rPr>
                <w:b/>
              </w:rPr>
              <w:t>在线发表时间</w:t>
            </w:r>
          </w:p>
        </w:tc>
        <w:tc>
          <w:tcPr>
            <w:tcW w:type="dxa" w:w="4997"/>
          </w:tcPr>
          <w:p>
            <w:r>
              <w:t>2026-09-01</w:t>
            </w:r>
          </w:p>
        </w:tc>
      </w:tr>
      <w:tr>
        <w:tc>
          <w:tcPr>
            <w:tcW w:type="dxa" w:w="4997"/>
          </w:tcPr>
          <w:p>
            <w:r>
              <w:rPr>
                <w:b/>
              </w:rPr>
              <w:t>SSCI分类</w:t>
            </w:r>
          </w:p>
        </w:tc>
        <w:tc>
          <w:tcPr>
            <w:tcW w:type="dxa" w:w="4997"/>
          </w:tcPr>
          <w:p>
            <w:r>
              <w:t>Clinical；Psychology</w:t>
            </w:r>
          </w:p>
        </w:tc>
      </w:tr>
      <w:tr>
        <w:tc>
          <w:tcPr>
            <w:tcW w:type="dxa" w:w="4997"/>
          </w:tcPr>
          <w:p>
            <w:r>
              <w:rPr>
                <w:b/>
              </w:rPr>
              <w:t>论文链接</w:t>
            </w:r>
          </w:p>
        </w:tc>
        <w:tc>
          <w:tcPr>
            <w:tcW w:type="dxa" w:w="4997"/>
          </w:tcPr>
          <w:p>
            <w:hyperlink r:id="rId13">
              <w:r>
                <w:rPr>
                  <w:color w:val="0563C1"/>
                  <w:u w:val="single"/>
                </w:rPr>
                <w:t>https://doi.org/10.21449/ijate.1856645</w:t>
              </w:r>
            </w:hyperlink>
          </w:p>
        </w:tc>
      </w:tr>
    </w:tbl>
    <w:p>
      <w:pPr>
        <w:pStyle w:val="Heading3"/>
      </w:pPr>
      <w:r>
        <w:t>研究摘要</w:t>
      </w:r>
    </w:p>
    <w:p>
      <w:r>
        <w:t>机器学习的最新进展扩展了大规模评估数据的分析工具，但许多高性能方法在可解释性及其对基于评估的决策的适用性方面仍存在局限。本研究使用土耳其PISA 2022数学素养样本中7,250名学生的数据，对Tabular Prior-Data Fitted Network (TabPFN) 在学生成绩分类中的表现进行基准测试与解释。为进行模型评估，数学素养被操作为十个似真值的均值，并依据PISA二级熟练度基准转换为二元结果，这与研究的分类导向目标一致。TabPFN与eXtreme Gradient Boosting (XGBoost)、Light Gradient-Boosting Machine (LightGBM)、Stacking、随机森林和逻辑回归在一致的预处理和分层交叉验证程序下进行比较。除预测性能外，还使用Shapley加法解释（SHAP）检查TabPFN的特征重要性模式，使用置换重要性检查基线模型。研究发现，TabPFN取得了具有竞争力的表现，并产生了可解释的预测变量画像。家庭资源与数学自我效能感是最有影响力的预测变量，其次是好奇心和课堂纪律氛围。这些结果表明，表格基础模型不仅能提供准确的分类结果，还能生成有关成就相关学习者与情境因素的可解释证据，从而支持大规模教育评估。研究结果应被理解为围绕有意义熟练度阈值的分类证据，而非连续数学成就模型。</w:t>
      </w:r>
    </w:p>
    <w:p>
      <w:pPr>
        <w:pStyle w:val="Heading3"/>
      </w:pPr>
      <w:r>
        <w:t>研究主要内容</w:t>
      </w:r>
    </w:p>
    <w:p>
      <w:r>
        <w:t>本研究聚焦于大规模评估数据中机器学习模型的可解释性与性能比较，具体围绕PISA 2022数学素养分类任务展开。</w:t>
      </w:r>
    </w:p>
    <w:p>
      <w:pPr>
        <w:pStyle w:val="Heading3"/>
      </w:pPr>
      <w:r>
        <w:t>研究论点</w:t>
      </w:r>
    </w:p>
    <w:p>
      <w:r>
        <w:t>作者认为，虽然先进的机器学习方法在大规模教育评估数据中具有分析潜力，但其可解释性不足限制了它们在教育决策中的应用；因此，他们尝试证明TabPFN这类表格基础模型在保持竞争性预测性能的同时，能够提供可解释的特征归因证据，从而更适合评估知情决策。</w:t>
      </w:r>
    </w:p>
    <w:p>
      <w:pPr>
        <w:pStyle w:val="Heading3"/>
      </w:pPr>
      <w:r>
        <w:t>研究问题</w:t>
      </w:r>
    </w:p>
    <w:p>
      <w:r>
        <w:t>摘要未明确列出研究问题，但可归纳为：（1）TabPFN在PISA 2022土耳其样本数学素养成绩分类中的表现是否优于或堪比传统机器学习模型？（2）TabPFN所识别的关键预测因子及其可解释性如何？</w:t>
      </w:r>
    </w:p>
    <w:p>
      <w:pPr>
        <w:pStyle w:val="Heading3"/>
      </w:pPr>
      <w:r>
        <w:t>研究方法</w:t>
      </w:r>
    </w:p>
    <w:p>
      <w:r>
        <w:t>研究类型：定量研究（基于机器学习模型的预测性能比较与解释性分析）。样本或参与者：土耳其PISA 2022样本中的7,250名学生（数据来源于PISA 2022土耳其子样本）。数据来源：PISA 2022数学素养测试数据（包括十个似真值及背景问卷变量）。分析方法：（1）将数学素养操作化为十个似真值的均值，并依据PISA二级熟练度（Level 2）转换为二元结局；（2）采用一致的预处理和分层交叉验证程序，训练并比较TabPFN、XGBoost、LightGBM、Stacking、随机森林、逻辑回归六种模型；（3）模型评估基于预测性能（如准确性等，具体指标摘要未说明）；（4）特征重要性分析：TabPFN使用SHAP，基线模型使用置换重要性；（5）比较各模型的性能及特征归因模式。摘要未说明数据处理软件或具体交叉验证折数。</w:t>
      </w:r>
    </w:p>
    <w:p>
      <w:pPr>
        <w:pStyle w:val="Heading3"/>
      </w:pPr>
      <w:r>
        <w:t>主要发现</w:t>
      </w:r>
    </w:p>
    <w:p>
      <w:r>
        <w:t>['TabPFN在PISA 2022数学素养分类任务中取得了与XGBoost、LightGBM、Stacking、随机森林、逻辑回归等基线模型相当的竞争性表现（具体性能指标数值摘要未说明）。', '家庭资源和数学自我效能感被识别为最有影响力的预测变量，其次为好奇心和课堂纪律氛围。', 'TabPFN在保持预测准确性的同时提供了可解释的预测因子画像，表明表格基础模型可同时胜任高精度预测与可解释性需求。']</w:t>
      </w:r>
    </w:p>
    <w:p>
      <w:pPr>
        <w:pStyle w:val="Heading3"/>
      </w:pPr>
      <w:r>
        <w:t>对教师教育研究的启示</w:t>
      </w:r>
    </w:p>
    <w:p>
      <w:r>
        <w:t>该方法展示了利用大规模国际评估数据（如PISA）和可解释机器学习模型进行教育数据挖掘的新路径：研究者可以借鉴其研究设计——将连续成绩转化为有教育意义的熟练度阈值、在统一预处理和交叉验证下比较多种算法、并使用SHAP等可解释性工具揭示预测因子作用，从而更严谨地开展教育大数据分析。教师教育研究可运用类似框架分析影响教师数字素养、教学效果或学生成就的多层面因素（如学生背景、自我效能、课堂环境），生成对教师培训和实践有直接指导价值的可解释证据。</w:t>
      </w:r>
    </w:p>
    <w:p>
      <w:pPr>
        <w:pStyle w:val="Heading3"/>
      </w:pPr>
      <w:r>
        <w:t>APA引用格式</w:t>
      </w:r>
    </w:p>
    <w:p>
      <w:r>
        <w:t>Eren, B., &amp; Niksarlı, T. (2026). Benchmarking and interpreting a tabular foundation model for PISA 2022 mathematical literacy. International Journal of Assessment Tools in Education. Advance online publication. https://doi.org/10.21449/ijate.1856645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153.90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7507/jltr.1705.10" TargetMode="External"/><Relationship Id="rId10" Type="http://schemas.openxmlformats.org/officeDocument/2006/relationships/hyperlink" Target="https://doi.org/10.59409/ojer.1919350" TargetMode="External"/><Relationship Id="rId11" Type="http://schemas.openxmlformats.org/officeDocument/2006/relationships/hyperlink" Target="https://doi.org/10.3390/architecture6030155" TargetMode="External"/><Relationship Id="rId12" Type="http://schemas.openxmlformats.org/officeDocument/2006/relationships/hyperlink" Target="https://doi.org/10.1007/s11192-026-05785-w" TargetMode="External"/><Relationship Id="rId13" Type="http://schemas.openxmlformats.org/officeDocument/2006/relationships/hyperlink" Target="https://doi.org/10.21449/ijate.18566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