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2026-07-17 09:26:49（北京时间）</w:t>
            </w:r>
          </w:p>
        </w:tc>
      </w:tr>
      <w:tr>
        <w:tc>
          <w:tcPr>
            <w:tcW w:type="dxa" w:w="4997"/>
          </w:tcPr>
          <w:p>
            <w:r>
              <w:rPr>
                <w:b/>
              </w:rPr>
              <w:t>检索窗口</w:t>
            </w:r>
          </w:p>
        </w:tc>
        <w:tc>
          <w:tcPr>
            <w:tcW w:type="dxa" w:w="4997"/>
          </w:tcPr>
          <w:p>
            <w:r>
              <w:t>2023-07-18 — 2026-07-17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数字技术赋能下的师生能力挑战，涵盖AI素养、数字文本管理及学习动机。方法上以网络元分析、混合方法研究为主，凸显量化与质性结合趋势。创新点包括提出AI素养作为教师专业发展第四支柱，以及揭示数字素养中隐蔽的认知负荷问题，高度关联中国教育数字化转型。</w:t>
      </w:r>
    </w:p>
    <w:p>
      <w:pPr>
        <w:pStyle w:val="Heading1"/>
      </w:pPr>
      <w:r>
        <w:t>目录</w:t>
      </w:r>
    </w:p>
    <w:p>
      <w:pPr>
        <w:pStyle w:val="ListNumber"/>
      </w:pPr>
      <w:r>
        <w:rPr>
          <w:b/>
        </w:rPr>
        <w:t>职前教师的AI素养：教师专业发展的一个新维度</w:t>
      </w:r>
      <w:r>
        <w:t>｜Zenodo (CERN European Organization for Nuclear Research)｜2026-07-15</w:t>
      </w:r>
    </w:p>
    <w:p>
      <w:pPr>
        <w:pStyle w:val="ListNumber"/>
      </w:pPr>
      <w:r>
        <w:rPr>
          <w:b/>
        </w:rPr>
        <w:t>职前教师的人工智能素养：教师专业发展的新维度</w:t>
      </w:r>
      <w:r>
        <w:t>｜Zenodo (CERN European Organization for Nuclear Research)｜2026-07-15</w:t>
      </w:r>
    </w:p>
    <w:p>
      <w:pPr>
        <w:pStyle w:val="ListNumber"/>
      </w:pPr>
      <w:r>
        <w:rPr>
          <w:b/>
        </w:rPr>
        <w:t>从数据到洞察：通过学习分析关注数学思维（勘误）</w:t>
      </w:r>
      <w:r>
        <w:t>｜Journal of Mathematics Teacher Education｜2026-07-16</w:t>
      </w:r>
    </w:p>
    <w:p>
      <w:pPr>
        <w:pStyle w:val="ListNumber"/>
      </w:pPr>
      <w:r>
        <w:rPr>
          <w:b/>
        </w:rPr>
        <w:t>人工智能工具对英语教学学习动机的影响：一项网络元分析</w:t>
      </w:r>
      <w:r>
        <w:t>｜Asian-Pacific Journal of Second and Foreign Language Education｜2026-07-17</w:t>
      </w:r>
    </w:p>
    <w:p>
      <w:pPr>
        <w:pStyle w:val="ListNumber"/>
      </w:pPr>
      <w:r>
        <w:rPr>
          <w:b/>
        </w:rPr>
        <w:t>教师与学生在数字文本管理中的问题解决策略</w:t>
      </w:r>
      <w:r>
        <w:t>｜Humanities and Social Sciences Communications｜2026-07-14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 Literacy Among Pre-Service Teachers: A New Dimension of Teacher Professional Development / 职前教师的AI素养：教师专业发展的一个新维度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Literacy Among Pre-Service Teachers: A New Dimension of Teacher Professional Development / 职前教师的AI素养：教师专业发展的一个新维度</w:t>
            </w:r>
          </w:p>
        </w:tc>
      </w:tr>
      <w:tr>
        <w:tc>
          <w:tcPr>
            <w:tcW w:type="dxa" w:w="4997"/>
          </w:tcPr>
          <w:p>
            <w:r>
              <w:rPr>
                <w:b/>
              </w:rPr>
              <w:t>作者</w:t>
            </w:r>
          </w:p>
        </w:tc>
        <w:tc>
          <w:tcPr>
            <w:tcW w:type="dxa" w:w="4997"/>
          </w:tcPr>
          <w:p>
            <w:r>
              <w:t>Asshar Ahmad</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10.5281/zenodo.21383145</w:t>
            </w:r>
          </w:p>
        </w:tc>
      </w:tr>
      <w:tr>
        <w:tc>
          <w:tcPr>
            <w:tcW w:type="dxa" w:w="4997"/>
          </w:tcPr>
          <w:p>
            <w:r>
              <w:rPr>
                <w:b/>
              </w:rPr>
              <w:t>在线发表时间</w:t>
            </w:r>
          </w:p>
        </w:tc>
        <w:tc>
          <w:tcPr>
            <w:tcW w:type="dxa" w:w="4997"/>
          </w:tcPr>
          <w:p>
            <w:r>
              <w:t>2026-07-15</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https://doi.org/10.5281/zenodo.21383145</w:t>
              </w:r>
            </w:hyperlink>
          </w:p>
        </w:tc>
      </w:tr>
    </w:tbl>
    <w:p>
      <w:pPr>
        <w:pStyle w:val="Heading3"/>
      </w:pPr>
      <w:r>
        <w:t>研究摘要</w:t>
      </w:r>
    </w:p>
    <w:p>
      <w:r>
        <w:t>人工智能技术的快速扩散——包括生成式工具、智能辅导系统和自适应学习平台——正在将师生关系重塑为教师-人工智能-学生动态（UNESCO, 2024）。尽管发生了这种转变，教师教育项目在将人工智能素养作为核心专业能力嵌入方面进展缓慢，导致职前教师带着支离破碎且主要是自我习得的人工智能理解进入课堂。目的：本综述整合了关于职前教师人工智能素养的概念化与实证证据，并将其定位为教师专业发展的一个新兴的、独特的维度。综述方法：遵循系统性叙事综述协议，从Scopus、Web of Science、ERIC、Frontiers和Elsevier/Springer数据库中检索了2020年至2025年间发表的15篇同行评审研究，并与基础政策文件（UNESCO, NEP 2020）一起进行了主题分析。主要发现：职前教师通常表现出中等的人工智能意识和伦理敏感性，但教学整合与问题解决能力较弱；结构化的、与TPACK对齐的课程可产生可衡量的提升，尽管多数证据仍是横截面的且地理上集中。实践意义：教师教育机构，特别是受印度国家教师教育委员会监管的机构，需要嵌入式的——而非选修式的——人工智能素养模块、教师能力建设以及修订的实习评估。结论：人工智能素养应被正式视为教师专业发展的第四大支柱，与内容、教学和技术知识并列，需要协调的政策、课程和机构行动。</w:t>
      </w:r>
    </w:p>
    <w:p>
      <w:pPr>
        <w:pStyle w:val="Heading3"/>
      </w:pPr>
      <w:r>
        <w:t>研究主要内容</w:t>
      </w:r>
    </w:p>
    <w:p>
      <w:r>
        <w:t>本文是一篇系统叙事综述，整合了2020-2025年间15篇同行评审研究及UNESCO等政策文件，聚焦职前教师的AI素养。梳理了AI素养的概念化、实证证据，并将其作为教师专业发展的新维度进行论证。研究发现职前教师AI意识和伦理敏感性中等，但教学整合及问题解决能力不足；结构化、TPACK对齐的课程能提升素养，但现有证据多为横截面且地域集中。论文提出教师教育机构应嵌入AI素养模块、加强教师能力建设并修订实习评估，最终主张将AI素养列为教师专业发展的第四大支柱。</w:t>
      </w:r>
    </w:p>
    <w:p>
      <w:pPr>
        <w:pStyle w:val="Heading3"/>
      </w:pPr>
      <w:r>
        <w:t>研究论点</w:t>
      </w:r>
    </w:p>
    <w:p>
      <w:r>
        <w:t>AI素养应被正式承认为教师专业发展的第四大支柱，与内容知识、教学知识和技术知识并列，需要协调的政策、课程和机构行动。当前教师教育项目尚未系统嵌入AI素养，导致职前教师缺乏结构化培养，此缺口亟需通过嵌入式课程、教师能力建设和实习评估改革来弥补。</w:t>
      </w:r>
    </w:p>
    <w:p>
      <w:pPr>
        <w:pStyle w:val="Heading3"/>
      </w:pPr>
      <w:r>
        <w:t>研究问题</w:t>
      </w:r>
    </w:p>
    <w:p>
      <w:r>
        <w:t>摘要未明确说明具体研究问题，但整体目的可概括为：整合关于职前教师AI素养的概念化与实证证据，并将其定位为教师专业发展的新兴独特维度。</w:t>
      </w:r>
    </w:p>
    <w:p>
      <w:pPr>
        <w:pStyle w:val="Heading3"/>
      </w:pPr>
      <w:r>
        <w:t>研究方法</w:t>
      </w:r>
    </w:p>
    <w:p>
      <w:r>
        <w:t>研究类型：文献综述（系统叙事综述）；样本：15篇同行评审研究（2020-2025年发表）；数据来源：Scopus、Web of Science、ERIC、Frontiers、Elsevier/Springer数据库；分析方法：主题分析（同时参考了UNESCO、NEP 2020等政策文件）。</w:t>
      </w:r>
    </w:p>
    <w:p>
      <w:pPr>
        <w:pStyle w:val="Heading3"/>
      </w:pPr>
      <w:r>
        <w:t>主要发现</w:t>
      </w:r>
    </w:p>
    <w:p>
      <w:r>
        <w:t>['职前教师普遍表现出中等水平的AI意识和对伦理问题的敏感性，但教学整合能力与问题解决能力相对较弱。', '结构化、与TPACK对齐的课程干预能带来可测量的AI素养提升，然而目前多数实证证据为横截面设计且地理上集中于特定区域。', '政策与机构层面需要采取行动：教师教育机构应嵌入而非选修式的AI素养模块，加强教师教育者的能力建设，并修订实习评估以纳入AI素养实践。']</w:t>
      </w:r>
    </w:p>
    <w:p>
      <w:pPr>
        <w:pStyle w:val="Heading3"/>
      </w:pPr>
      <w:r>
        <w:t>对教师教育研究的启示</w:t>
      </w:r>
    </w:p>
    <w:p>
      <w:r>
        <w:t>对教师教育研究的启示包括：1）应开展纵向研究以追踪AI素养课程干预的长期效果，弥补当前横截面证据的不足；2）研究需拓展地理范围，纳入多元文化背景以增强外部效度；3）可借鉴TPACK框架设计AI素养课程并评估其整合效果；4）教师教育者自身的AI素养培养也需纳入研究议程；5）实习评估指标中应包含AI教学应用维度，且需开发相应评价工具。这些方向有助于深化对AI素养作为教师专业发展新维度的理解。</w:t>
      </w:r>
    </w:p>
    <w:p>
      <w:pPr>
        <w:pStyle w:val="Heading3"/>
      </w:pPr>
      <w:r>
        <w:t>APA引用格式</w:t>
      </w:r>
    </w:p>
    <w:p>
      <w:r>
        <w:t>Ahmad, A. (2026). AI Literacy Among Pre-Service Teachers: A New Dimension of Teacher Professional Development. Zenodo. https://doi.org/10.5281/zenodo.21383145</w:t>
      </w:r>
    </w:p>
    <w:p>
      <w:r>
        <w:br w:type="page"/>
      </w:r>
    </w:p>
    <w:p>
      <w:pPr>
        <w:pStyle w:val="Heading2"/>
      </w:pPr>
      <w:r>
        <w:t>2. AI Literacy Among Pre-Service Teachers: A New Dimension of Teacher Professional Development / 职前教师的人工智能素养：教师专业发展的新维度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Literacy Among Pre-Service Teachers: A New Dimension of Teacher Professional Development / 职前教师的人工智能素养：教师专业发展的新维度</w:t>
            </w:r>
          </w:p>
        </w:tc>
      </w:tr>
      <w:tr>
        <w:tc>
          <w:tcPr>
            <w:tcW w:type="dxa" w:w="4997"/>
          </w:tcPr>
          <w:p>
            <w:r>
              <w:rPr>
                <w:b/>
              </w:rPr>
              <w:t>作者</w:t>
            </w:r>
          </w:p>
        </w:tc>
        <w:tc>
          <w:tcPr>
            <w:tcW w:type="dxa" w:w="4997"/>
          </w:tcPr>
          <w:p>
            <w:r>
              <w:t>Asshar Ahmad</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10.5281/zenodo.21383146</w:t>
            </w:r>
          </w:p>
        </w:tc>
      </w:tr>
      <w:tr>
        <w:tc>
          <w:tcPr>
            <w:tcW w:type="dxa" w:w="4997"/>
          </w:tcPr>
          <w:p>
            <w:r>
              <w:rPr>
                <w:b/>
              </w:rPr>
              <w:t>在线发表时间</w:t>
            </w:r>
          </w:p>
        </w:tc>
        <w:tc>
          <w:tcPr>
            <w:tcW w:type="dxa" w:w="4997"/>
          </w:tcPr>
          <w:p>
            <w:r>
              <w:t>2026-07-15</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https://doi.org/10.5281/zenodo.21383146</w:t>
              </w:r>
            </w:hyperlink>
          </w:p>
        </w:tc>
      </w:tr>
    </w:tbl>
    <w:p>
      <w:pPr>
        <w:pStyle w:val="Heading3"/>
      </w:pPr>
      <w:r>
        <w:t>研究摘要</w:t>
      </w:r>
    </w:p>
    <w:p>
      <w:r>
        <w:t>人工智能技术（包括生成式工具、智能辅导系统和自适应学习平台）的快速扩散正在重塑师生关系为教师–AI–学生动态（UNESCO, 2024）。然而，教师教育项目在将AI素养嵌入核心专业能力方面进展缓慢，导致职前教师带着碎片化且主要自学获得的AI理解进入课堂。目的：本综述综合了职前教师AI素养的概念化与实证证据，并将其定位为教师专业发展的新兴独特维度。综述方法：采用系统叙述性综述协议，从Scopus、Web of Science、ERIC、Frontiers和Elsevier/Springer数据库检索了2020-2025年间发表的15篇同行评审研究，并与基础政策文件（UNESCO, NEP 2020）一起进行主题分析。主要发现：职前教师普遍表现出中等的AI意识和较高的伦理敏感性，但教学整合与问题解决能力较弱；结构化的、与TPACK对齐的课程可带来可测量的能力提升，但多数证据仍为横断面设计且地理分布集中。实践启示：教师教育机构，尤其是受印度国家教师教育委员会监管的机构，需要嵌入式的（而非选修的）AI素养模块、教师能力建设以及修订实习评估。结论：AI素养应被正式认可为教师专业发展的第四大支柱，与内容、教学和技术知识并列，需要协调的政策、课程和机构行动。</w:t>
      </w:r>
    </w:p>
    <w:p>
      <w:pPr>
        <w:pStyle w:val="Heading3"/>
      </w:pPr>
      <w:r>
        <w:t>研究主要内容</w:t>
      </w:r>
    </w:p>
    <w:p>
      <w:r>
        <w:t>该综述通过系统叙述性综述协议，综合了15篇2020-2025年间发表的同行评审研究，结合UNESCO、NEP 2020等政策文件，对职前教师AI素养的概念化与实证证据进行了主题分析，旨在将其定位为教师专业发展的新兴维度。</w:t>
      </w:r>
    </w:p>
    <w:p>
      <w:pPr>
        <w:pStyle w:val="Heading3"/>
      </w:pPr>
      <w:r>
        <w:t>研究论点</w:t>
      </w:r>
    </w:p>
    <w:p>
      <w:r>
        <w:t>AI素养应被正式认可为教师专业发展的第四大支柱，与内容知识、教学知识和技术知识并列，需要政策、课程和机构层面的协调行动。</w:t>
      </w:r>
    </w:p>
    <w:p>
      <w:pPr>
        <w:pStyle w:val="Heading3"/>
      </w:pPr>
      <w:r>
        <w:t>研究问题</w:t>
      </w:r>
    </w:p>
    <w:p>
      <w:r>
        <w:t>如何综合职前教师AI素养的概念化与实证证据，并将其定位为教师专业发展的新兴维度？</w:t>
      </w:r>
    </w:p>
    <w:p>
      <w:pPr>
        <w:pStyle w:val="Heading3"/>
      </w:pPr>
      <w:r>
        <w:t>研究方法</w:t>
      </w:r>
    </w:p>
    <w:p>
      <w:r>
        <w:t>研究类型：系统叙述性综述。样本：15篇2020-2025年间发表的同行评审研究，检索自Scopus、Web of Science、ERIC、Frontiers、Elsevier/Springer数据库，同时纳入UNESCO和NEP 2020等政策文件。分析方法：主题分析。数据收集：摘要未描述具体的编码或提取过程，但基于系统性检索和叙事综合。</w:t>
      </w:r>
    </w:p>
    <w:p>
      <w:pPr>
        <w:pStyle w:val="Heading3"/>
      </w:pPr>
      <w:r>
        <w:t>主要发现</w:t>
      </w:r>
    </w:p>
    <w:p>
      <w:r>
        <w:t>1. 职前教师普遍表现出中等的AI意识和较高的伦理敏感性，但在教学整合和问题解决能力上较弱。2. 结构化的、与TPACK对齐的课程能带来可测量的能力提升，但多数证据为横断面设计且地理分布集中（主要集中在特定国家）。3. AI素养维度与内容、教学、技术知识相互交织，但尚未被系统纳入教师专业发展框架。</w:t>
      </w:r>
    </w:p>
    <w:p>
      <w:pPr>
        <w:pStyle w:val="Heading3"/>
      </w:pPr>
      <w:r>
        <w:t>对教师教育研究的启示</w:t>
      </w:r>
    </w:p>
    <w:p>
      <w:r>
        <w:t>教师教育机构应设计嵌入式的AI素养模块而非选修课，加强教师教育者自身的AI能力建设，修订实习评估以纳入AI教学实践指标。未来研究应采用纵向设计追踪AI素养的长期发展，并开展跨文化比较研究，以克服当前横断面和地理集中的局限。</w:t>
      </w:r>
    </w:p>
    <w:p>
      <w:pPr>
        <w:pStyle w:val="Heading3"/>
      </w:pPr>
      <w:r>
        <w:t>APA引用格式</w:t>
      </w:r>
    </w:p>
    <w:p>
      <w:r>
        <w:t>Ahmad, A. (2026). AI Literacy Among Pre-Service Teachers: A New Dimension of Teacher Professional Development. Zenodo. https://doi.org/10.5281/zenodo.21383146</w:t>
      </w:r>
    </w:p>
    <w:p>
      <w:r>
        <w:br w:type="page"/>
      </w:r>
    </w:p>
    <w:p>
      <w:pPr>
        <w:pStyle w:val="Heading2"/>
      </w:pPr>
      <w:r>
        <w:t>3. Correction: From data to insight: teachers’ noticing of mathematical thinking through learning analytics / 从数据到洞察：通过学习分析关注数学思维（勘误）</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Correction: From data to insight: teachers’ noticing of mathematical thinking through learning analytics / 从数据到洞察：通过学习分析关注数学思维（勘误）</w:t>
            </w:r>
          </w:p>
        </w:tc>
      </w:tr>
      <w:tr>
        <w:tc>
          <w:tcPr>
            <w:tcW w:type="dxa" w:w="4997"/>
          </w:tcPr>
          <w:p>
            <w:r>
              <w:rPr>
                <w:b/>
              </w:rPr>
              <w:t>作者</w:t>
            </w:r>
          </w:p>
        </w:tc>
        <w:tc>
          <w:tcPr>
            <w:tcW w:type="dxa" w:w="4997"/>
          </w:tcPr>
          <w:p>
            <w:r>
              <w:t>Kholod Moed-Abu Raya, Shai Olsher</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DOI:10.1007/s10857-026-09770-1</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https://doi.org/10.1007/s10857-026-09770-1</w:t>
              </w:r>
            </w:hyperlink>
          </w:p>
        </w:tc>
      </w:tr>
    </w:tbl>
    <w:p>
      <w:pPr>
        <w:pStyle w:val="Heading3"/>
      </w:pPr>
      <w:r>
        <w:t>研究摘要</w:t>
      </w:r>
    </w:p>
    <w:p>
      <w:r>
        <w:t>摘要未提供</w:t>
      </w:r>
    </w:p>
    <w:p>
      <w:pPr>
        <w:pStyle w:val="Heading3"/>
      </w:pPr>
      <w:r>
        <w:t>研究主要内容</w:t>
      </w:r>
    </w:p>
    <w:p>
      <w:r>
        <w:t>摘要未说明；无法从元数据获得</w:t>
      </w:r>
    </w:p>
    <w:p>
      <w:pPr>
        <w:pStyle w:val="Heading3"/>
      </w:pPr>
      <w:r>
        <w:t>研究论点</w:t>
      </w:r>
    </w:p>
    <w:p>
      <w:r>
        <w:t>摘要未说明；无法从元数据获得</w:t>
      </w:r>
    </w:p>
    <w:p>
      <w:pPr>
        <w:pStyle w:val="Heading3"/>
      </w:pPr>
      <w:r>
        <w:t>研究问题</w:t>
      </w:r>
    </w:p>
    <w:p>
      <w:r>
        <w:t>摘要未说明；无法从元数据获得</w:t>
      </w:r>
    </w:p>
    <w:p>
      <w:pPr>
        <w:pStyle w:val="Heading3"/>
      </w:pPr>
      <w:r>
        <w:t>研究方法</w:t>
      </w:r>
    </w:p>
    <w:p>
      <w:r>
        <w:t>摘要未说明；无法从元数据获得</w:t>
      </w:r>
    </w:p>
    <w:p>
      <w:pPr>
        <w:pStyle w:val="Heading3"/>
      </w:pPr>
      <w:r>
        <w:t>主要发现</w:t>
      </w:r>
    </w:p>
    <w:p>
      <w:r>
        <w:t>摘要未说明；无法从元数据获得</w:t>
      </w:r>
    </w:p>
    <w:p>
      <w:pPr>
        <w:pStyle w:val="Heading3"/>
      </w:pPr>
      <w:r>
        <w:t>对教师教育研究的启示</w:t>
      </w:r>
    </w:p>
    <w:p>
      <w:r>
        <w:t>摘要未说明；无法从元数据获得</w:t>
      </w:r>
    </w:p>
    <w:p>
      <w:pPr>
        <w:pStyle w:val="Heading3"/>
      </w:pPr>
      <w:r>
        <w:t>APA引用格式</w:t>
      </w:r>
    </w:p>
    <w:p>
      <w:r>
        <w:t>Moed-Abu Raya, K., &amp; Olsher, S. (2026). Correction: From data to insight: Teachers’ noticing of mathematical thinking through learning analytics. Journal of Mathematics Teacher Education. https://doi.org/10.1007/s10857-026-09770-1</w:t>
      </w:r>
    </w:p>
    <w:p>
      <w:r>
        <w:br w:type="page"/>
      </w:r>
    </w:p>
    <w:p>
      <w:pPr>
        <w:pStyle w:val="Heading2"/>
      </w:pPr>
      <w:r>
        <w:t>4. Impact of Artificial intelligence tools on learning motivation in English instruction: a network meta-analysis / 人工智能工具对英语教学学习动机的影响：一项网络元分析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Impact of Artificial intelligence tools on learning motivation in English instruction: a network meta-analysis / 人工智能工具对英语教学学习动机的影响：一项网络元分析</w:t>
            </w:r>
          </w:p>
        </w:tc>
      </w:tr>
      <w:tr>
        <w:tc>
          <w:tcPr>
            <w:tcW w:type="dxa" w:w="4997"/>
          </w:tcPr>
          <w:p>
            <w:r>
              <w:rPr>
                <w:b/>
              </w:rPr>
              <w:t>作者</w:t>
            </w:r>
          </w:p>
        </w:tc>
        <w:tc>
          <w:tcPr>
            <w:tcW w:type="dxa" w:w="4997"/>
          </w:tcPr>
          <w:p>
            <w:r>
              <w:t>Liwei Hsu, Yu-Chun Wang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10.1186/s40862-026-00421-9</w:t>
            </w:r>
          </w:p>
        </w:tc>
      </w:tr>
      <w:tr>
        <w:tc>
          <w:tcPr>
            <w:tcW w:type="dxa" w:w="4997"/>
          </w:tcPr>
          <w:p>
            <w:r>
              <w:rPr>
                <w:b/>
              </w:rPr>
              <w:t>在线发表时间</w:t>
            </w:r>
          </w:p>
        </w:tc>
        <w:tc>
          <w:tcPr>
            <w:tcW w:type="dxa" w:w="4997"/>
          </w:tcPr>
          <w:p>
            <w:r>
              <w:t>2026-07-17</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12">
              <w:r>
                <w:rPr>
                  <w:color w:val="0563C1"/>
                  <w:u w:val="single"/>
                </w:rPr>
                <w:t>https://doi.org/10.1186/s40862-026-00421-9</w:t>
              </w:r>
            </w:hyperlink>
          </w:p>
        </w:tc>
      </w:tr>
    </w:tbl>
    <w:p>
      <w:pPr>
        <w:pStyle w:val="Heading3"/>
      </w:pPr>
      <w:r>
        <w:t>研究摘要</w:t>
      </w:r>
    </w:p>
    <w:p>
      <w:r>
        <w:t>英语媒介教学（EMI）项目的快速扩张以及英语能力需求的日益增长，给面临语言障碍的EFL学习者带来了显著的动机挑战。人工智能（AI）工具通过提供个性化支架和互动支持，提供了潜在的解决方案。本研究对16项实证研究（总样本量N=1,923）进行了网络元分析（NMA），比较了三种AI干预措施——包括生成式AI聊天机器人、AI写作助手和AI语言学习应用程序——在英语教学情境中对K-12及大学EFL学生学习动机的有效性。结果显示，所有AI工具均显著优于传统教学。AI语言学习应用程序（g=0.907, k=2）的效果最大，其次是生成式AI聊天机器人（g=0.824, k=11）和AI写作助手（g=0.692, k=3）。这些发现表明，互动性和适应性强的AI工具通过满足学生的自主性和能力基本心理需求，在促进学习动机方面尤为有效。本研究为将AI策略性地整合到英语教学课程中以优化学生参与度和学业成功提供了基于证据的建议。</w:t>
      </w:r>
    </w:p>
    <w:p>
      <w:pPr>
        <w:pStyle w:val="Heading3"/>
      </w:pPr>
      <w:r>
        <w:t>研究主要内容</w:t>
      </w:r>
    </w:p>
    <w:p>
      <w:r>
        <w:t>本研究采用网络元分析方法，系统比较了三种AI工具（生成式AI聊天机器人、AI写作助手、AI语言学习应用程序）对K-12和大学EFL学生学习动机的影响效果，并基于自我决定理论探讨了AI如何通过满足基本心理需求来提升动机。</w:t>
      </w:r>
    </w:p>
    <w:p>
      <w:pPr>
        <w:pStyle w:val="Heading3"/>
      </w:pPr>
      <w:r>
        <w:t>研究论点</w:t>
      </w:r>
    </w:p>
    <w:p>
      <w:r>
        <w:t>互动性、适应性强的AI工具（尤其是AI语言学习应用程序）在提升EFL学习动机方面优于传统教学及单一功能的AI工具，其机制在于满足了学生对自主性和能力的基本心理需求。</w:t>
      </w:r>
    </w:p>
    <w:p>
      <w:pPr>
        <w:pStyle w:val="Heading3"/>
      </w:pPr>
      <w:r>
        <w:t>研究问题</w:t>
      </w:r>
    </w:p>
    <w:p>
      <w:r>
        <w:t>在英语教学情境中，相较于传统教学，三种AI干预措施（生成式AI聊天机器人、AI写作助手、AI语言学习应用程序）对K-12及大学EFL学生学习动机的有效性如何？哪种AI工具效果最优？</w:t>
      </w:r>
    </w:p>
    <w:p>
      <w:pPr>
        <w:pStyle w:val="Heading3"/>
      </w:pPr>
      <w:r>
        <w:t>研究方法</w:t>
      </w:r>
    </w:p>
    <w:p>
      <w:r>
        <w:t>{'research_type': '定量研究', 'design': '网络元分析（Network Meta-Analysis）', 'sample_or_participants': '16项实证研究，总样本量N=1,923，涵盖K-12和大学EFL学生', 'data_source': '已发表的实证研究（摘要未说明具体数据库及检索策略）', 'analysis_method': '网络元分析（NMA），计算标准化均值差（g）并比较不同干预的效应量；摘要未说明模型选择及异质性检验细节'}</w:t>
      </w:r>
    </w:p>
    <w:p>
      <w:pPr>
        <w:pStyle w:val="Heading3"/>
      </w:pPr>
      <w:r>
        <w:t>主要发现</w:t>
      </w:r>
    </w:p>
    <w:p>
      <w:r>
        <w:t>['所有三种AI工具（生成式AI聊天机器人、AI写作助手、AI语言学习应用程序）在提升EFL学生学习动机方面均显著优于传统教学模式。', 'AI语言学习应用程序展现出最大的效应量（g=0.907, k=2），其次为生成式AI聊天机器人（g=0.824, k=11）和AI写作助手（g=0.692, k=3）。', '研究结果支持互动性和适应性强的AI工具通过满足学生的自主性和能力基本心理需求来促进学习动机的机制。']</w:t>
      </w:r>
    </w:p>
    <w:p>
      <w:pPr>
        <w:pStyle w:val="Heading3"/>
      </w:pPr>
      <w:r>
        <w:t>对教师教育研究的启示</w:t>
      </w:r>
    </w:p>
    <w:p>
      <w:r>
        <w:t>本研究的网络元分析方法为教师教育研究者提供了一种比较多种AI干预效果的定量综合范式，尤其在AI教学应用研究中，可通过汇总多项实验/准实验研究的效应量来识别最优实践。研究者可借鉴其研究设计，将学习动机作为因变量，并采用标准化量表测量；同时需注意不同AI工具类型（如生成式聊天机器人、写作助手、语言学习App）的操作化定义。未来教师教育研究可进一步探讨AI工具在不同学段（K-12 vs. 大学）、不同语言水平学生中的调节效应，并收集更丰富的质性数据（如学生感知、教师实施过程）以深化对动机机制的理解。</w:t>
      </w:r>
    </w:p>
    <w:p>
      <w:pPr>
        <w:pStyle w:val="Heading3"/>
      </w:pPr>
      <w:r>
        <w:t>APA引用格式</w:t>
      </w:r>
    </w:p>
    <w:p>
      <w:r>
        <w:t>Hsu, L., &amp; Wang, Y.-C. (2026). Impact of Artificial intelligence tools on learning motivation in English instruction: a network meta-analysis. Asian-Pacific Journal of Second and Foreign Language Education. https://doi.org/10.1186/s40862-026-00421-9</w:t>
      </w:r>
    </w:p>
    <w:p>
      <w:r>
        <w:br w:type="page"/>
      </w:r>
    </w:p>
    <w:p>
      <w:pPr>
        <w:pStyle w:val="Heading2"/>
      </w:pPr>
      <w:r>
        <w:t>5. Problem-solving strategies of teachers and students in digital text management / 教师与学生在数字文本管理中的问题解决策略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Problem-solving strategies of teachers and students in digital text management / 教师与学生在数字文本管理中的问题解决策略</w:t>
            </w:r>
          </w:p>
        </w:tc>
      </w:tr>
      <w:tr>
        <w:tc>
          <w:tcPr>
            <w:tcW w:type="dxa" w:w="4997"/>
          </w:tcPr>
          <w:p>
            <w:r>
              <w:rPr>
                <w:b/>
              </w:rPr>
              <w:t>作者</w:t>
            </w:r>
          </w:p>
        </w:tc>
        <w:tc>
          <w:tcPr>
            <w:tcW w:type="dxa" w:w="4997"/>
          </w:tcPr>
          <w:p>
            <w:r>
              <w:t>Maria Csernoch, Carolin Hannusch</w:t>
            </w:r>
          </w:p>
        </w:tc>
      </w:tr>
      <w:tr>
        <w:tc>
          <w:tcPr>
            <w:tcW w:type="dxa" w:w="4997"/>
          </w:tcPr>
          <w:p>
            <w:r>
              <w:rPr>
                <w:b/>
              </w:rPr>
              <w:t>期刊及影响因子</w:t>
            </w:r>
          </w:p>
        </w:tc>
        <w:tc>
          <w:tcPr>
            <w:tcW w:type="dxa" w:w="4997"/>
          </w:tcPr>
          <w:p>
            <w:r>
              <w:t>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卷期未说明，DOI: https://doi.org/10.1057/s41599-026-08324-3</w:t>
            </w:r>
          </w:p>
        </w:tc>
      </w:tr>
      <w:tr>
        <w:tc>
          <w:tcPr>
            <w:tcW w:type="dxa" w:w="4997"/>
          </w:tcPr>
          <w:p>
            <w:r>
              <w:rPr>
                <w:b/>
              </w:rPr>
              <w:t>在线发表时间</w:t>
            </w:r>
          </w:p>
        </w:tc>
        <w:tc>
          <w:tcPr>
            <w:tcW w:type="dxa" w:w="4997"/>
          </w:tcPr>
          <w:p>
            <w:r>
              <w:t>2026-07-14</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3">
              <w:r>
                <w:rPr>
                  <w:color w:val="0563C1"/>
                  <w:u w:val="single"/>
                </w:rPr>
                <w:t>https://doi.org/10.1057/s41599-026-08324-3</w:t>
              </w:r>
            </w:hyperlink>
          </w:p>
        </w:tc>
      </w:tr>
    </w:tbl>
    <w:p>
      <w:pPr>
        <w:pStyle w:val="Heading3"/>
      </w:pPr>
      <w:r>
        <w:t>研究摘要</w:t>
      </w:r>
    </w:p>
    <w:p>
      <w:r>
        <w:t>数字文本的处理常被降级看待，被视为不需要有意识发展的先天知识。然而，先前的研究揭示数字文本管理和文档会产生浪费，且这些浪费大多未被注意和隐藏。为了从不同角度揭示这些差异的根本原因，并理解学生和教师如何有效修改数字文本，我们的研究团队发起了一系列测试。测试过程要求修改两个正确和两个错误的数字文本，并由增值活动和要求的非增值活动引导。该项目的另一个独特之处是所有活动都被记录在文本和屏幕录制视频文件中。这些数据是定性和定量分析的基础。本文提供了来自两所小学七年级和八年级学生和教师共221名参与者的结果细节。分析揭示了表面行动，参与者花费的时间远多于任务所需，包括等待、移动、过度加工和过度生产（通过不必要的键盘和鼠标活动）。这一发现使我们能够揭示问题的根本原因。研究发现，学生和教师在这一领域的理解水平极低，且学生和教师之间几乎没有差异。还发现，修改过程中的低理解水平和非增值活动增加了数字文本管理的认知负荷，导致缺陷——最严重的浪费形式。这些原因使得数字文本管理和工件容易出错，并在人力和机器资源方面积累浪费。然而，教师和八年级学生表现出更高的开放性和发展准备。结论是数字文本管理给参与者带来了巨大的认知负荷，这引导我们得出结论：教育需要能够通过减少学习、教学和使用数字文本管理中的认知负荷来提高数字学习和生产力的模型，而精益数字教育能够有效服务于这些目的。</w:t>
      </w:r>
    </w:p>
    <w:p>
      <w:pPr>
        <w:pStyle w:val="Heading3"/>
      </w:pPr>
      <w:r>
        <w:t>研究主要内容</w:t>
      </w:r>
    </w:p>
    <w:p>
      <w:r>
        <w:t>本研究通过测试两所小学221名师生（七、八年级学生及教师）修改数字文本的过程（包括两个正确文本和两个错误文本，由增值和非增值活动指导），并利用文本记录和屏幕录制视频进行定性与定量分析，揭示了师生在数字文本管理中普遍存在大量的非增值活动（等待、移动、过度加工、过度生产），导致任务时间显著超出必要。研究发现师生对数字文本修改的理解水平均极低，且两者之间几乎没有差异；低理解水平与非增值活动显著增加了认知负荷，造成缺陷和资源浪费。相比之下，教师和八年级学生表现出更高的开放性和发展准备。研究结论认为数字文本管理带来巨大认知负荷，呼吁教育引入精益数字教育模型以减少认知负荷。</w:t>
      </w:r>
    </w:p>
    <w:p>
      <w:pPr>
        <w:pStyle w:val="Heading3"/>
      </w:pPr>
      <w:r>
        <w:t>研究论点</w:t>
      </w:r>
    </w:p>
    <w:p>
      <w:r>
        <w:t>数字文本管理技能被忽视且被当作先天知识，实际上师生均存在严重的能力不足和认知负荷过重问题，需要专门的教育模型（如精益数字教育）来系统培养相关技能并减少认知负荷。</w:t>
      </w:r>
    </w:p>
    <w:p>
      <w:pPr>
        <w:pStyle w:val="Heading3"/>
      </w:pPr>
      <w:r>
        <w:t>研究问题</w:t>
      </w:r>
    </w:p>
    <w:p>
      <w:r>
        <w:t>摘要未明确陈述研究问题，但隐含探究学生与教师在数字文本修改过程中的问题解决策略、行为特征及问题的根本原因。</w:t>
      </w:r>
    </w:p>
    <w:p>
      <w:pPr>
        <w:pStyle w:val="Heading3"/>
      </w:pPr>
      <w:r>
        <w:t>研究方法</w:t>
      </w:r>
    </w:p>
    <w:p>
      <w:r>
        <w:t>{'research_type': '混合方法（定性与定量）', 'sample_participants': '两所小学的七、八年级学生和教师，共221名参与者', 'data_source': '修改两个正确和两个错误数字文本的任务，所有活动通过文本记录和屏幕录制视频文件采集', 'analysis_methods': '摘要未详细说明具体定性分析框架和定量统计方法，仅提及对表面行动（等待、移动、过度加工、过度生产等）进行定性与定量分析，包括时间统计和键盘鼠标活动分析'}</w:t>
      </w:r>
    </w:p>
    <w:p>
      <w:pPr>
        <w:pStyle w:val="Heading3"/>
      </w:pPr>
      <w:r>
        <w:t>主要发现</w:t>
      </w:r>
    </w:p>
    <w:p>
      <w:r>
        <w:t>['师生在数字文本修改过程中存在大量非增值活动（等待、移动、过度加工、过度生产），任务时间远超必要，体现出无效的键盘和鼠标操作。', '学生和教师对数字文本修改的理解水平均极低，且学生与教师之间几乎没有差异，表明教师自身也缺乏该领域的有效技能。', '低理解水平与非增值活动增加了认知负荷，导致缺陷和资源浪费；教师和八年级学生相较于七年级学生表现出更高的开放性和发展准备。']</w:t>
      </w:r>
    </w:p>
    <w:p>
      <w:pPr>
        <w:pStyle w:val="Heading3"/>
      </w:pPr>
      <w:r>
        <w:t>对教师教育研究的启示</w:t>
      </w:r>
    </w:p>
    <w:p>
      <w:r>
        <w:t>本研究直接揭示了教师自身在数字文本管理方面存在严重不足，提示教师教育应重视培养教师的数字文本处理素养（如精益数字教育理念），设计减少认知负荷的教学模型。在数据收集方法上，采用屏幕录制与文本记录相结合的方式，为教师教育中观察和分析教育者的数字行为提供了可借鉴的实证研究方法。同时，对师生对比的发现提醒教师教育项目应针对性地提升教师的数字技能，使其能更有效地指导学生。</w:t>
      </w:r>
    </w:p>
    <w:p>
      <w:pPr>
        <w:pStyle w:val="Heading3"/>
      </w:pPr>
      <w:r>
        <w:t>APA引用格式</w:t>
      </w:r>
    </w:p>
    <w:p>
      <w:r>
        <w:t>Csernoch, M., &amp; Hannusch, C. (2026). Problem-solving strategies of teachers and students in digital text management. Humanities and Social Sciences Communications. https://doi.org/10.1057/s41599-026-08324-3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108.38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383145" TargetMode="External"/><Relationship Id="rId10" Type="http://schemas.openxmlformats.org/officeDocument/2006/relationships/hyperlink" Target="https://doi.org/10.5281/zenodo.21383146" TargetMode="External"/><Relationship Id="rId11" Type="http://schemas.openxmlformats.org/officeDocument/2006/relationships/hyperlink" Target="https://doi.org/10.1007/s10857-026-09770-1" TargetMode="External"/><Relationship Id="rId12" Type="http://schemas.openxmlformats.org/officeDocument/2006/relationships/hyperlink" Target="https://doi.org/10.1186/s40862-026-00421-9" TargetMode="External"/><Relationship Id="rId13" Type="http://schemas.openxmlformats.org/officeDocument/2006/relationships/hyperlink" Target="https://doi.org/10.1057/s41599-026-083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