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每日SSCI文献简报｜2026-09-21</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2026-09-21 10:06:00（北京时间）</w:t>
            </w:r>
          </w:p>
        </w:tc>
      </w:tr>
      <w:tr>
        <w:tc>
          <w:tcPr>
            <w:tcW w:type="dxa" w:w="4997"/>
          </w:tcPr>
          <w:p>
            <w:r>
              <w:rPr>
                <w:b/>
              </w:rPr>
              <w:t>检索窗口</w:t>
            </w:r>
          </w:p>
        </w:tc>
        <w:tc>
          <w:tcPr>
            <w:tcW w:type="dxa" w:w="4997"/>
          </w:tcPr>
          <w:p>
            <w:r>
              <w:t>2023-09-22 — 2026-09-21</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介入教育中的教师能动性、伦理边界与负责任整合，方法多元（质性、混合方法、框架综述），并回应个体差异。最贴近中国语境的是：教师对AI的谨慎抵抗可视为专业边界工作，需批判性AI素养与伦理治理支撑。</w:t>
      </w:r>
    </w:p>
    <w:p>
      <w:pPr>
        <w:pStyle w:val="Heading1"/>
      </w:pPr>
      <w:r>
        <w:t>目录</w:t>
      </w:r>
    </w:p>
    <w:p>
      <w:pPr>
        <w:pStyle w:val="ListNumber"/>
      </w:pPr>
      <w:r>
        <w:rPr>
          <w:b/>
        </w:rPr>
        <w:t>探索教师对AI支持教学的潜在抵抗：一项质性研究</w:t>
      </w:r>
      <w:r>
        <w:t>｜International Journal of Current Educational Studies｜2026-09-21</w:t>
      </w:r>
    </w:p>
    <w:p>
      <w:pPr>
        <w:pStyle w:val="ListNumber"/>
      </w:pPr>
      <w:r>
        <w:rPr>
          <w:b/>
        </w:rPr>
        <w:t>通过参与与青少年共同进行的角色扮演游戏追踪职前教师教学观念中的能动性转变</w:t>
      </w:r>
      <w:r>
        <w:t>｜English Teaching: Practice &amp;amp; Critique｜2026-09-21</w:t>
      </w:r>
    </w:p>
    <w:p>
      <w:pPr>
        <w:pStyle w:val="ListNumber"/>
      </w:pPr>
      <w:r>
        <w:rPr>
          <w:b/>
        </w:rPr>
        <w:t>大型语言模型驱动的自主无人机系统：技术演进、核心架构与关键挑战</w:t>
      </w:r>
      <w:r>
        <w:t>｜Intelligence &amp;amp; Control｜2026-09-20</w:t>
      </w:r>
    </w:p>
    <w:p>
      <w:pPr>
        <w:pStyle w:val="ListNumber"/>
      </w:pPr>
      <w:r>
        <w:rPr>
          <w:b/>
        </w:rPr>
        <w:t>共同创造公共安全负责任AI：理解利益相关者感知的混合方法研究</w:t>
      </w:r>
      <w:r>
        <w:t>｜Technological Forecasting and Social Change｜2026-09-18</w:t>
      </w:r>
    </w:p>
    <w:p>
      <w:pPr>
        <w:pStyle w:val="ListNumber"/>
      </w:pPr>
      <w:r>
        <w:rPr>
          <w:b/>
        </w:rPr>
        <w:t>前路：学习的未来如何通过个体差异被塑造</w:t>
      </w:r>
      <w:r>
        <w:t>｜Learning and Individual Differences｜2026-09-18</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Exploring Teachers’ Latent Resistance to AI-Supported Teaching: A Qualitative Study / 探索教师对AI支持教学的潜在抵抗：一项质性研究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Exploring Teachers’ Latent Resistance to AI-Supported Teaching: A Qualitative Study / 探索教师对AI支持教学的潜在抵抗：一项质性研究</w:t>
            </w:r>
          </w:p>
        </w:tc>
      </w:tr>
      <w:tr>
        <w:tc>
          <w:tcPr>
            <w:tcW w:type="dxa" w:w="4997"/>
          </w:tcPr>
          <w:p>
            <w:r>
              <w:rPr>
                <w:b/>
              </w:rPr>
              <w:t>作者</w:t>
            </w:r>
          </w:p>
        </w:tc>
        <w:tc>
          <w:tcPr>
            <w:tcW w:type="dxa" w:w="4997"/>
          </w:tcPr>
          <w:p>
            <w:r>
              <w:t>Meriç Boynukara、Talha Çiçek、Rabia Durhan、Fatmagül Bor</w:t>
            </w:r>
          </w:p>
        </w:tc>
      </w:tr>
      <w:tr>
        <w:tc>
          <w:tcPr>
            <w:tcW w:type="dxa" w:w="4997"/>
          </w:tcPr>
          <w:p>
            <w:r>
              <w:rPr>
                <w:b/>
              </w:rPr>
              <w:t>期刊及影响因子</w:t>
            </w:r>
          </w:p>
        </w:tc>
        <w:tc>
          <w:tcPr>
            <w:tcW w:type="dxa" w:w="4997"/>
          </w:tcPr>
          <w:p>
            <w:r>
              <w:t>International Journal of Current Educational Studies；SSCI分类：Education &amp; Educational Research；影响因子/分区：白名单未提供影响因子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卷期未说明；DOI: 10.46328/ijces.308</w:t>
            </w:r>
          </w:p>
        </w:tc>
      </w:tr>
      <w:tr>
        <w:tc>
          <w:tcPr>
            <w:tcW w:type="dxa" w:w="4997"/>
          </w:tcPr>
          <w:p>
            <w:r>
              <w:rPr>
                <w:b/>
              </w:rPr>
              <w:t>在线发表时间</w:t>
            </w:r>
          </w:p>
        </w:tc>
        <w:tc>
          <w:tcPr>
            <w:tcW w:type="dxa" w:w="4997"/>
          </w:tcPr>
          <w:p>
            <w:r>
              <w:t>2026-09-21</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9">
              <w:r>
                <w:rPr>
                  <w:color w:val="0563C1"/>
                  <w:u w:val="single"/>
                </w:rPr>
                <w:t>https://doi.org/10.46328/ijces.308</w:t>
              </w:r>
            </w:hyperlink>
          </w:p>
        </w:tc>
      </w:tr>
    </w:tbl>
    <w:p>
      <w:pPr>
        <w:pStyle w:val="Heading3"/>
      </w:pPr>
      <w:r>
        <w:t>研究摘要</w:t>
      </w:r>
    </w:p>
    <w:p>
      <w:r>
        <w:t>教师对人工智能（AI）的参与不能仅用接受—拒绝二分法理解。已有研究较少关注间接、谨慎且具有专业正当性的抵抗形式，这些形式可能影响教师如何参与AI支持的教学。本研究通过考察教师如何描述AI使用、设定专业边界、为谨慎或选择性参与提供理由，以及识别可能减少此类抵抗的条件，探索教师对AI支持教学的潜在抵抗。研究在土耳其凡城（Van）和哈卡里（Hakkari）的两所公立教育机构中，对八名教师开展基础质性研究。数据通过面对面半结构化访谈收集，并采用编码本主题分析进行分析。结果形成五个描述性类别：务实且有条件的AI使用；信任、隐私与伦理边界；教师能动性与以人为本教学；能力、时间与支持需求；矛盾定位。这些类别通过四个分析维度解释：认识论不信任、伦理边界设定、专业身份保护、基于能力的退缩。教师对AI的谨慎参与可能反映专业边界工作，而非简单的不情愿或技术恐惧。负责任的AI整合应结合批判性AI素养、伦理指导、可靠工具、机构支持以及尊重教师能动性和以人为本教学的专业发展。</w:t>
      </w:r>
    </w:p>
    <w:p>
      <w:pPr>
        <w:pStyle w:val="Heading3"/>
      </w:pPr>
      <w:r>
        <w:t>研究主要内容</w:t>
      </w:r>
    </w:p>
    <w:p>
      <w:r>
        <w:t>该研究聚焦教师对AI支持教学的潜在抵抗，而非简单的接受或拒绝。研究内容围绕四类教师叙述展开：如何描述AI使用、如何设定专业边界、如何为谨慎或选择性参与提供理由、以及哪些条件可能减少抵抗。研究对象为土耳其Van和Hakkari两所公立教育机构的8名教师，采用基础质性研究设计和面对面半结构化访谈，并通过编码本主题分析提炼五个描述性类别和四个分析维度。</w:t>
      </w:r>
    </w:p>
    <w:p>
      <w:pPr>
        <w:pStyle w:val="Heading3"/>
      </w:pPr>
      <w:r>
        <w:t>研究论点</w:t>
      </w:r>
    </w:p>
    <w:p>
      <w:r>
        <w:t>论文核心论点是：教师对AI支持教学的谨慎或选择性参与，不宜被简化为接受—拒绝或技术恐惧，而应理解为一种潜在抵抗和专业边界工作。教师的犹豫涉及认识论不信任、伦理边界、专业身份保护与能力不足等多重维度；因此，负责任的AI整合需要同时回应批判性素养、伦理规范、工具可靠性、机构支持和尊重教师能动性的专业发展。</w:t>
      </w:r>
    </w:p>
    <w:p>
      <w:pPr>
        <w:pStyle w:val="Heading3"/>
      </w:pPr>
      <w:r>
        <w:t>研究问题</w:t>
      </w:r>
    </w:p>
    <w:p>
      <w:r>
        <w:t>摘要未明确以编号或独立段落列出研究问题；其研究目的可概括为：探索教师对AI支持教学的潜在抵抗，具体考察教师如何描述AI使用、设定专业边界、为谨慎或选择性参与提供理由，以及识别可能减少此类抵抗的条件。</w:t>
      </w:r>
    </w:p>
    <w:p>
      <w:pPr>
        <w:pStyle w:val="Heading3"/>
      </w:pPr>
      <w:r>
        <w:t>研究方法</w:t>
      </w:r>
    </w:p>
    <w:p>
      <w:r>
        <w:t>研究类型：质性研究中的基础质性研究。参与者：土耳其Van和Hakkari两所公立教育机构的8名教师。抽样方式：摘要未说明。数据来源：面对面半结构化访谈。数据分析：编码本主题分析。数据收集时间、访谈时长、研究者立场、编码信度/效度程序等信息：摘要未说明。</w:t>
      </w:r>
    </w:p>
    <w:p>
      <w:pPr>
        <w:pStyle w:val="Heading3"/>
      </w:pPr>
      <w:r>
        <w:t>主要发现</w:t>
      </w:r>
    </w:p>
    <w:p>
      <w:r>
        <w:t>1. 研究提炼出五个描述性类别：务实且有条件的AI使用；信任、隐私与伦理边界；教师能动性与以人为本教学；能力、时间与支持需求；矛盾定位。2. 这些类别被解释为四个分析维度：认识论不信任、伦理边界设定、专业身份保护、基于能力的退缩。3. 教师对AI的谨慎参与可能体现专业边界工作，而非简单不情愿或技术恐惧；减少抵抗需结合批判性AI素养、伦理指导、可靠工具、机构支持以及尊重教师能动性和以人为本教学的专业发展。</w:t>
      </w:r>
    </w:p>
    <w:p>
      <w:pPr>
        <w:pStyle w:val="Heading3"/>
      </w:pPr>
      <w:r>
        <w:t>对教师教育研究的启示</w:t>
      </w:r>
    </w:p>
    <w:p>
      <w:r>
        <w:t>对教师教育研究而言，该文的启示有三：第一，前沿主题上，教师AI整合研究可从接受—拒绝转向潜在抵抗与边界工作，关注信任、隐私、伦理、专业身份、能力与支持等维度。第二，研究设计上，基础质性研究适合挖掘教师未直接表达或未制度化的谨慎态度；8名教师的样本有助于深度解释，但结论外推受限，摘要未说明抽样与饱和策略，后续研究可补充最大差异抽样、多校或多国比较。第三，数据收集与分析上，面对面的半结构化访谈能获取教师对AI使用边界与矛盾定位的叙述，编码本主题分析可系统生成描述性类别并进一步抽象为分析维度；未来教师教育研究可结合访谈、课堂观察、日志或问卷，并在分析中明确编码本、信度与效度程序。</w:t>
      </w:r>
    </w:p>
    <w:p>
      <w:pPr>
        <w:pStyle w:val="Heading3"/>
      </w:pPr>
      <w:r>
        <w:t>APA引用格式</w:t>
      </w:r>
    </w:p>
    <w:p>
      <w:r>
        <w:t>Boynukara, M., Çiçek, T., Durhan, R., &amp; Bor, F. (2026). Exploring teachers’ latent resistance to AI-supported teaching: A qualitative study. International Journal of Current Educational Studies. https://doi.org/10.46328/ijces.308</w:t>
      </w:r>
    </w:p>
    <w:p>
      <w:r>
        <w:br w:type="page"/>
      </w:r>
    </w:p>
    <w:p>
      <w:pPr>
        <w:pStyle w:val="Heading2"/>
      </w:pPr>
      <w:r>
        <w:t>2. Tracing agentic shifts in PST conceptions of teaching through participation in roleplaying games alongside youth / 通过参与与青少年共同进行的角色扮演游戏追踪职前教师教学观念中的能动性转变</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Tracing agentic shifts in PST conceptions of teaching through participation in roleplaying games alongside youth / 通过参与与青少年共同进行的角色扮演游戏追踪职前教师教学观念中的能动性转变</w:t>
            </w:r>
          </w:p>
        </w:tc>
      </w:tr>
      <w:tr>
        <w:tc>
          <w:tcPr>
            <w:tcW w:type="dxa" w:w="4997"/>
          </w:tcPr>
          <w:p>
            <w:r>
              <w:rPr>
                <w:b/>
              </w:rPr>
              <w:t>作者</w:t>
            </w:r>
          </w:p>
        </w:tc>
        <w:tc>
          <w:tcPr>
            <w:tcW w:type="dxa" w:w="4997"/>
          </w:tcPr>
          <w:p>
            <w:r>
              <w:t>Karis Jones, Sarah Blood</w:t>
            </w:r>
          </w:p>
        </w:tc>
      </w:tr>
      <w:tr>
        <w:tc>
          <w:tcPr>
            <w:tcW w:type="dxa" w:w="4997"/>
          </w:tcPr>
          <w:p>
            <w:r>
              <w:rPr>
                <w:b/>
              </w:rPr>
              <w:t>期刊及影响因子</w:t>
            </w:r>
          </w:p>
        </w:tc>
        <w:tc>
          <w:tcPr>
            <w:tcW w:type="dxa" w:w="4997"/>
          </w:tcPr>
          <w:p>
            <w:r>
              <w:t>期刊：English Teaching: Practice &amp; Critique；SSCI分类：English；影响因子/分区：白名单未提供影响因子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1175-8708</w:t>
            </w:r>
          </w:p>
        </w:tc>
      </w:tr>
      <w:tr>
        <w:tc>
          <w:tcPr>
            <w:tcW w:type="dxa" w:w="4997"/>
          </w:tcPr>
          <w:p>
            <w:r>
              <w:rPr>
                <w:b/>
              </w:rPr>
              <w:t>卷期/DOI</w:t>
            </w:r>
          </w:p>
        </w:tc>
        <w:tc>
          <w:tcPr>
            <w:tcW w:type="dxa" w:w="4997"/>
          </w:tcPr>
          <w:p>
            <w:r>
              <w:t>卷期未提供；DOI：10.1108/etpc-01-2026-0011</w:t>
            </w:r>
          </w:p>
        </w:tc>
      </w:tr>
      <w:tr>
        <w:tc>
          <w:tcPr>
            <w:tcW w:type="dxa" w:w="4997"/>
          </w:tcPr>
          <w:p>
            <w:r>
              <w:rPr>
                <w:b/>
              </w:rPr>
              <w:t>在线发表时间</w:t>
            </w:r>
          </w:p>
        </w:tc>
        <w:tc>
          <w:tcPr>
            <w:tcW w:type="dxa" w:w="4997"/>
          </w:tcPr>
          <w:p>
            <w:r>
              <w:t>2026-09-21</w:t>
            </w:r>
          </w:p>
        </w:tc>
      </w:tr>
      <w:tr>
        <w:tc>
          <w:tcPr>
            <w:tcW w:type="dxa" w:w="4997"/>
          </w:tcPr>
          <w:p>
            <w:r>
              <w:rPr>
                <w:b/>
              </w:rPr>
              <w:t>SSCI分类</w:t>
            </w:r>
          </w:p>
        </w:tc>
        <w:tc>
          <w:tcPr>
            <w:tcW w:type="dxa" w:w="4997"/>
          </w:tcPr>
          <w:p>
            <w:r>
              <w:t>English</w:t>
            </w:r>
          </w:p>
        </w:tc>
      </w:tr>
      <w:tr>
        <w:tc>
          <w:tcPr>
            <w:tcW w:type="dxa" w:w="4997"/>
          </w:tcPr>
          <w:p>
            <w:r>
              <w:rPr>
                <w:b/>
              </w:rPr>
              <w:t>论文链接</w:t>
            </w:r>
          </w:p>
        </w:tc>
        <w:tc>
          <w:tcPr>
            <w:tcW w:type="dxa" w:w="4997"/>
          </w:tcPr>
          <w:p>
            <w:hyperlink r:id="rId10">
              <w:r>
                <w:rPr>
                  <w:color w:val="0563C1"/>
                  <w:u w:val="single"/>
                </w:rPr>
                <w:t>https://doi.org/10.1108/etpc-01-2026-0011</w:t>
              </w:r>
            </w:hyperlink>
          </w:p>
        </w:tc>
      </w:tr>
    </w:tbl>
    <w:p>
      <w:pPr>
        <w:pStyle w:val="Heading3"/>
      </w:pPr>
      <w:r>
        <w:t>研究摘要</w:t>
      </w:r>
    </w:p>
    <w:p>
      <w:r>
        <w:t>目的：英语教育领域需要能够弥合“用游戏达成识字教学目标”之理论与实践鸿沟的教师教育情境。本文旨在考察职前教师（PSTs）与青少年一起玩游戏时学到了什么。设计与方法：研究基于多元识读教学法和教师能动性理论，采用社会设计实验，考察三名职前教师参与每周一次、线下开展的青少年与教师共同参与桌面角色扮演游戏（TTRPGs）项目中的学习。职前教师参与角色扮演游戏，收集并分析青少年参与者的反馈，并为青少年设计并实施TTRPGs。作者对前测与后测访谈进行编码，并与教学制品、课后反思和活动田野笔记三角互证，追踪职前教师在“游戏促进学习”、课程与教学观、冲突解决课堂结构等理解上的能动性转变。发现：职前教师帮助青少年在个人目标与识字学习目标之间穿梭，学会为青少年提供定制化差异教学，并支持有产出的冲突而非回避冲突。职前教师也注意到通过游戏打破规范性社会结构所带来的益处。原创性/价值：回应教师如何以能动且公平的方式有效学习使用游戏的问题，作者提出，与青少年一起玩游戏并聚焦青少年的学习目标，有助于职前教师注意并支持更具颠覆性的游戏用途，并形成更广阔、与社会正义相一致的游戏化学习观念。</w:t>
      </w:r>
    </w:p>
    <w:p>
      <w:pPr>
        <w:pStyle w:val="Heading3"/>
      </w:pPr>
      <w:r>
        <w:t>研究主要内容</w:t>
      </w:r>
    </w:p>
    <w:p>
      <w:r>
        <w:t>该文聚焦英语教育中的职前教师教育，试图连接“游戏用于识字教学”的理论与实践。研究采用社会设计实验，在每周一次的线下项目中让三名职前教师与青少年共同参与桌面角色扮演游戏（TTRPGs）。职前教师不仅玩游戏，还收集和分析青少年反馈，并为青少年设计、实施TTRPGs。研究通过前测与后测访谈、教学制品、课后反思和田野笔记，追踪职前教师在游戏促进学习、课程与教学观、冲突解决课堂结构等方面的能动性转变。该文不涉及AI教学应用或教师数字素养，而更接近游戏化学习、教师能动性、社会正义取向的教师教育研究。</w:t>
      </w:r>
    </w:p>
    <w:p>
      <w:pPr>
        <w:pStyle w:val="Heading3"/>
      </w:pPr>
      <w:r>
        <w:t>研究论点</w:t>
      </w:r>
    </w:p>
    <w:p>
      <w:r>
        <w:t>论文的核心论点是：教师教育需要为职前教师提供与青少年共同游戏的真实情境，以弥合游戏用于识字教学的理论—实践鸿沟。与青少年一起玩TTRPG并聚焦青少年的个人与学习目标，能够促使职前教师重新理解游戏化学习，学会差异化支持、建设性冲突解决，并注意到游戏打破规范性社会结构的可能，从而形成更具能动性和社会正义取向的教学观念。</w:t>
      </w:r>
    </w:p>
    <w:p>
      <w:pPr>
        <w:pStyle w:val="Heading3"/>
      </w:pPr>
      <w:r>
        <w:t>研究问题</w:t>
      </w:r>
    </w:p>
    <w:p>
      <w:r>
        <w:t>摘要未以明确问句列出研究问题；其研究目的/问题可概括为：职前教师（PSTs）在与青少年共同参与桌面角色扮演游戏（TTRPGs）的每周项目中能学到什么？研究进而追踪职前教师在“游戏促进学习”、课程与教学观、冲突解决课堂结构等理解上的能动性转变。</w:t>
      </w:r>
    </w:p>
    <w:p>
      <w:pPr>
        <w:pStyle w:val="Heading3"/>
      </w:pPr>
      <w:r>
        <w:t>研究方法</w:t>
      </w:r>
    </w:p>
    <w:p>
      <w:r>
        <w:t>研究类型：社会设计实验（social design experiment）；摘要未明确标注为定量、定性或混合方法，但从访谈编码与三角互证来看具有质性设计研究取向。样本/参与者：三名职前教师（PSTs）；青少年参与者人数、年龄、招募方式摘要未说明。研究情境：每周一次、线下开展的教师与青少年共同参与桌面角色扮演游戏（TTRPGs）项目；PSTs参与角色扮演游戏，收集并分析青少年反馈，并为青少年设计并实施TTRPGs。数据来源：前测与后测访谈、教学制品、课后反思、每次活动的田野笔记。分析方法：对前测与后测访谈进行编码，并与教学制品、课后反思和田野笔记进行三角互证，以追踪PSTs在“游戏促进学习”、课程与教学观、冲突解决课堂结构等理解上的能动性转变。缺失信息：具体抽样方法、青少年样本量、编码框架、信效度程序与伦理审查细节摘要未说明。</w:t>
      </w:r>
    </w:p>
    <w:p>
      <w:pPr>
        <w:pStyle w:val="Heading3"/>
      </w:pPr>
      <w:r>
        <w:t>主要发现</w:t>
      </w:r>
    </w:p>
    <w:p>
      <w:r>
        <w:t>['职前教师帮助青少年在个人目标与识字学习目标之间穿梭，并学会为青少年提供定制化差异教学。', '职前教师学会支持有产出的冲突，而不是回避冲突；这体现在他们对课堂冲突解决结构的理解转变中。', '职前教师注意到通过游戏打破规范性社会结构所带来的益处，并开始形成更广阔、与社会正义相一致的游戏化学习观念。']</w:t>
      </w:r>
    </w:p>
    <w:p>
      <w:pPr>
        <w:pStyle w:val="Heading3"/>
      </w:pPr>
      <w:r>
        <w:t>对教师教育研究的启示</w:t>
      </w:r>
    </w:p>
    <w:p>
      <w:r>
        <w:t>对教师教育研究的启示：其一，可借鉴社会设计实验，把职前教师置于与青少年共同游戏的真实、长期情境中，以研究其能动性和教学观念变化，而不仅停留在理论讲授。其二，数据收集可组合前测/后测访谈、教学制品、课后反思与田野笔记，并通过编码和三角互证提高解释力。其三，研究应关注游戏化学习中的公平、差异化和冲突解决等社会正义议题，支持职前教师注意并设计更具颠覆性和包容性的游戏用途。其四，若用户关注AI教学应用、教师数字素养/智能素养/数据素养，该摘要未涉及这些主题；本文更适用于游戏化学习、职前教师能动性与英语教师教育研究。</w:t>
      </w:r>
    </w:p>
    <w:p>
      <w:pPr>
        <w:pStyle w:val="Heading3"/>
      </w:pPr>
      <w:r>
        <w:t>APA引用格式</w:t>
      </w:r>
    </w:p>
    <w:p>
      <w:r>
        <w:t>Jones, K., &amp; Blood, S. (2026). Tracing agentic shifts in PST conceptions of teaching through participation in roleplaying games alongside youth. English Teaching: Practice &amp; Critique. https://doi.org/10.1108/etpc-01-2026-0011</w:t>
      </w:r>
    </w:p>
    <w:p>
      <w:r>
        <w:br w:type="page"/>
      </w:r>
    </w:p>
    <w:p>
      <w:pPr>
        <w:pStyle w:val="Heading2"/>
      </w:pPr>
      <w:r>
        <w:t>3. Large Language Model-Driven Autonomous UAV Systems: Technical Evolution, Core Architectures, and Critical Challenges / 大型语言模型驱动的自主无人机系统：技术演进、核心架构与关键挑战</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Large Language Model-Driven Autonomous UAV Systems: Technical Evolution, Core Architectures, and Critical Challenges / 大型语言模型驱动的自主无人机系统：技术演进、核心架构与关键挑战</w:t>
            </w:r>
          </w:p>
        </w:tc>
      </w:tr>
      <w:tr>
        <w:tc>
          <w:tcPr>
            <w:tcW w:type="dxa" w:w="4997"/>
          </w:tcPr>
          <w:p>
            <w:r>
              <w:rPr>
                <w:b/>
              </w:rPr>
              <w:t>作者</w:t>
            </w:r>
          </w:p>
        </w:tc>
        <w:tc>
          <w:tcPr>
            <w:tcW w:type="dxa" w:w="4997"/>
          </w:tcPr>
          <w:p>
            <w:r>
              <w:t>Meijie Zhang, Hao Wang</w:t>
            </w:r>
          </w:p>
        </w:tc>
      </w:tr>
      <w:tr>
        <w:tc>
          <w:tcPr>
            <w:tcW w:type="dxa" w:w="4997"/>
          </w:tcPr>
          <w:p>
            <w:r>
              <w:rPr>
                <w:b/>
              </w:rPr>
              <w:t>期刊及影响因子</w:t>
            </w:r>
          </w:p>
        </w:tc>
        <w:tc>
          <w:tcPr>
            <w:tcW w:type="dxa" w:w="4997"/>
          </w:tcPr>
          <w:p>
            <w:r>
              <w:t>白名单未提供影响因子；白名单未提供JCR分区；SSCI分类：Multidisciplinary, Psychology</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卷期：元数据未提供；DOI：10.53941/ic.2026.100011</w:t>
            </w:r>
          </w:p>
        </w:tc>
      </w:tr>
      <w:tr>
        <w:tc>
          <w:tcPr>
            <w:tcW w:type="dxa" w:w="4997"/>
          </w:tcPr>
          <w:p>
            <w:r>
              <w:rPr>
                <w:b/>
              </w:rPr>
              <w:t>在线发表时间</w:t>
            </w:r>
          </w:p>
        </w:tc>
        <w:tc>
          <w:tcPr>
            <w:tcW w:type="dxa" w:w="4997"/>
          </w:tcPr>
          <w:p>
            <w:r>
              <w:t>2026-09-20</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1">
              <w:r>
                <w:rPr>
                  <w:color w:val="0563C1"/>
                  <w:u w:val="single"/>
                </w:rPr>
                <w:t>https://doi.org/10.53941/ic.2026.100011</w:t>
              </w:r>
            </w:hyperlink>
          </w:p>
        </w:tc>
      </w:tr>
    </w:tbl>
    <w:p>
      <w:pPr>
        <w:pStyle w:val="Heading3"/>
      </w:pPr>
      <w:r>
        <w:t>研究摘要</w:t>
      </w:r>
    </w:p>
    <w:p>
      <w:r>
        <w:t>大型语言模型（LLM）的快速发展扩展了自主无人机（UAV）系统在自然语言指令理解、多模态感知和决策方面的能力。本文综述LLM驱动无人机在感知、规划、控制、多智能体协调和边缘-云计算的系统架构及部署挑战方面的技术演进。除编目代表性系统外，文章还区分语义推理延迟、控制时序、功耗、任务结果、硬件和验证设置，以避免误导性的跨平台比较。文章进一步分析仿真到现实（Sim2Real）差距、间歇性连接、幻觉诱导的行动风险、网络攻击和隐私泄露。在本综述中，语义自适应安全证书指一种运行时可验证的CBF/MPC/STL约束，其安全集或裕度由接地的任务与场景语义参数化，但由生成模型之外的确定性安全层强制执行。未来方向强调分层轻量推理、通信感知自主、形式化有界语义适应和适航导向保证。</w:t>
      </w:r>
    </w:p>
    <w:p>
      <w:pPr>
        <w:pStyle w:val="Heading3"/>
      </w:pPr>
      <w:r>
        <w:t>研究主要内容</w:t>
      </w:r>
    </w:p>
    <w:p>
      <w:r>
        <w:t>本文为技术综述，围绕LLM驱动的自主无人机系统，梳理其在自然语言指令理解、多模态感知与决策方面的技术演进，并覆盖感知、规划、控制、多智能体协调、边缘-云计算等核心架构。文章强调不能简单进行跨平台比较，而应分离语义推理延迟、控制时序、功耗、任务结果、硬件和验证设置等维度。部署与安全挑战包括Sim2Real差距、间歇性连接、幻觉诱导行动风险、网络攻击与隐私泄露。文章提出“语义自适应安全证书”概念：运行时可验证的CBF/MPC/STL约束，其安全集或裕度由接地的任务与场景语义参数化，但由生成模型之外的确定性安全层执行。未来方向包括分层轻量推理、通信感知自主、形式化有界语义适应与适航导向保证。</w:t>
      </w:r>
    </w:p>
    <w:p>
      <w:pPr>
        <w:pStyle w:val="Heading3"/>
      </w:pPr>
      <w:r>
        <w:t>研究论点</w:t>
      </w:r>
    </w:p>
    <w:p>
      <w:r>
        <w:t>核心论证是：LLM提升了自主无人机的语义理解、感知与决策能力，但在安全关键部署中不能仅依赖生成模型的语义推理；应通过生成模型之外的确定性安全层强制执行可验证约束，并在比较不同系统时控制硬件、任务、验证设置等差异，以避免误导性结论。该论证面向无人机与控制领域，摘要未涉及教育、学前教育或基础教育情境。</w:t>
      </w:r>
    </w:p>
    <w:p>
      <w:pPr>
        <w:pStyle w:val="Heading3"/>
      </w:pPr>
      <w:r>
        <w:t>研究问题</w:t>
      </w:r>
    </w:p>
    <w:p>
      <w:r>
        <w:t>摘要未明确列出研究问题。综述范围可概括为：LLM驱动自主无人机系统的技术演进、核心架构与部署挑战是什么；如何避免跨平台比较误导，并应对Sim2Real、通信、安全、隐私等关键挑战。上述概括基于摘要所述综述范围，非摘要明确列出的研究问题。</w:t>
      </w:r>
    </w:p>
    <w:p>
      <w:pPr>
        <w:pStyle w:val="Heading3"/>
      </w:pPr>
      <w:r>
        <w:t>研究方法</w:t>
      </w:r>
    </w:p>
    <w:p>
      <w:r>
        <w:t>研究类型：技术综述/survey，非定量、非定性、非混合实证研究。样本或参与者：无人类参与者；摘要未说明纳入文献数量、文献筛选标准或样本。数据来源：摘要未说明具体数据库、检索策略或文献范围；内容覆盖代表性系统及感知、规划、控制、多智能体协调、边缘-云计算等主题。分析方法：摘要未说明系统综述、元分析等正式方法；从摘要看为叙述性技术综述，按技术模块与部署挑战分类，并区分语义推理延迟、控制时序、功耗、任务结果、硬件和验证设置等维度进行比较讨论。实证数据：摘要未提供实证数据。</w:t>
      </w:r>
    </w:p>
    <w:p>
      <w:pPr>
        <w:pStyle w:val="Heading3"/>
      </w:pPr>
      <w:r>
        <w:t>主要发现</w:t>
      </w:r>
    </w:p>
    <w:p>
      <w:r>
        <w:t>1. LLM扩展了自主无人机在自然语言指令理解、多模态感知和决策方面的能力，综述覆盖感知、规划、控制、多智能体协调和边缘-云计算等系统架构与技术演进。2. 部署挑战包括Sim2Real差距、间歇性连接、幻觉诱导行动风险、网络攻击和隐私泄露；跨平台比较需分离语义推理延迟、控制时序、功耗、任务结果、硬件和验证设置，以避免误导性比较。3. 提出语义自适应安全证书：运行时可验证的CBF/MPC/STL约束，其安全集或裕度由接地的任务与场景语义参数化，但由生成模型之外的确定性安全层强制执行；未来方向包括分层轻量推理、通信感知自主、形式化有界语义适应和适航导向保证。</w:t>
      </w:r>
    </w:p>
    <w:p>
      <w:pPr>
        <w:pStyle w:val="Heading3"/>
      </w:pPr>
      <w:r>
        <w:t>对教师教育研究的启示</w:t>
      </w:r>
    </w:p>
    <w:p>
      <w:r>
        <w:t>摘要未说明对教师教育研究的启示。该文主题为LLM驱动自主无人机系统，不属于学前教育或基础教育阶段，也未涉及AI教学应用、教师数字素养/智能素养/数据素养、教师教育与教师培训中的AI整合、教育数字化背景下教学变革与教师角色。就研究设计而言，该文为技术综述，摘要未提供可用于教师教育研究的数据收集或分析方法；若仅作方法论参照，其提示在技术综述中需明确比较维度与验证设置、避免跨情境误导比较，但摘要未说明这些内容可迁移到教师教育研究。</w:t>
      </w:r>
    </w:p>
    <w:p>
      <w:pPr>
        <w:pStyle w:val="Heading3"/>
      </w:pPr>
      <w:r>
        <w:t>APA引用格式</w:t>
      </w:r>
    </w:p>
    <w:p>
      <w:r>
        <w:t>Zhang, M., &amp; Wang, H. (2026). Large Language Model-Driven Autonomous UAV Systems: Technical Evolution, Core Architectures, and Critical Challenges. Intelligence &amp; Control. https://doi.org/10.53941/ic.2026.100011</w:t>
      </w:r>
    </w:p>
    <w:p>
      <w:r>
        <w:br w:type="page"/>
      </w:r>
    </w:p>
    <w:p>
      <w:pPr>
        <w:pStyle w:val="Heading2"/>
      </w:pPr>
      <w:r>
        <w:t>4. Co-creating responsible AI for public safety: A mixed-method approach toward understanding stakeholder perceptions / 共同创造公共安全负责任AI：理解利益相关者感知的混合方法研究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Co-creating responsible AI for public safety: A mixed-method approach toward understanding stakeholder perceptions / 共同创造公共安全负责任AI：理解利益相关者感知的混合方法研究</w:t>
            </w:r>
          </w:p>
        </w:tc>
      </w:tr>
      <w:tr>
        <w:tc>
          <w:tcPr>
            <w:tcW w:type="dxa" w:w="4997"/>
          </w:tcPr>
          <w:p>
            <w:r>
              <w:rPr>
                <w:b/>
              </w:rPr>
              <w:t>作者</w:t>
            </w:r>
          </w:p>
        </w:tc>
        <w:tc>
          <w:tcPr>
            <w:tcW w:type="dxa" w:w="4997"/>
          </w:tcPr>
          <w:p>
            <w:r>
              <w:t>Babak Rahimi Ardabili, Armin Danesh Pazho, Jeri Guido, Philip E. Otienoburu, Jason Windett, Shannon Reid, Hamed Tabkhi</w:t>
            </w:r>
          </w:p>
        </w:tc>
      </w:tr>
      <w:tr>
        <w:tc>
          <w:tcPr>
            <w:tcW w:type="dxa" w:w="4997"/>
          </w:tcPr>
          <w:p>
            <w:r>
              <w:rPr>
                <w:b/>
              </w:rPr>
              <w:t>期刊及影响因子</w:t>
            </w:r>
          </w:p>
        </w:tc>
        <w:tc>
          <w:tcPr>
            <w:tcW w:type="dxa" w:w="4997"/>
          </w:tcPr>
          <w:p>
            <w:r>
              <w:t>期刊：Technological Forecasting and Social Change；SSCI分类：Business, English, Regional &amp; Urban Planning；影响因子：白名单未提供；JCR分区：白名单未提供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1873-5509</w:t>
            </w:r>
          </w:p>
        </w:tc>
      </w:tr>
      <w:tr>
        <w:tc>
          <w:tcPr>
            <w:tcW w:type="dxa" w:w="4997"/>
          </w:tcPr>
          <w:p>
            <w:r>
              <w:rPr>
                <w:b/>
              </w:rPr>
              <w:t>卷期/DOI</w:t>
            </w:r>
          </w:p>
        </w:tc>
        <w:tc>
          <w:tcPr>
            <w:tcW w:type="dxa" w:w="4997"/>
          </w:tcPr>
          <w:p>
            <w:r>
              <w:t>卷期：摘要未说明；DOI：https://doi.org/10.1016/j.techfore.2026.124879</w:t>
            </w:r>
          </w:p>
        </w:tc>
      </w:tr>
      <w:tr>
        <w:tc>
          <w:tcPr>
            <w:tcW w:type="dxa" w:w="4997"/>
          </w:tcPr>
          <w:p>
            <w:r>
              <w:rPr>
                <w:b/>
              </w:rPr>
              <w:t>在线发表时间</w:t>
            </w:r>
          </w:p>
        </w:tc>
        <w:tc>
          <w:tcPr>
            <w:tcW w:type="dxa" w:w="4997"/>
          </w:tcPr>
          <w:p>
            <w:r>
              <w:t>2026-09-18</w:t>
            </w:r>
          </w:p>
        </w:tc>
      </w:tr>
      <w:tr>
        <w:tc>
          <w:tcPr>
            <w:tcW w:type="dxa" w:w="4997"/>
          </w:tcPr>
          <w:p>
            <w:r>
              <w:rPr>
                <w:b/>
              </w:rPr>
              <w:t>SSCI分类</w:t>
            </w:r>
          </w:p>
        </w:tc>
        <w:tc>
          <w:tcPr>
            <w:tcW w:type="dxa" w:w="4997"/>
          </w:tcPr>
          <w:p>
            <w:r>
              <w:t>Business；English；Regional &amp; Urban Planning</w:t>
            </w:r>
          </w:p>
        </w:tc>
      </w:tr>
      <w:tr>
        <w:tc>
          <w:tcPr>
            <w:tcW w:type="dxa" w:w="4997"/>
          </w:tcPr>
          <w:p>
            <w:r>
              <w:rPr>
                <w:b/>
              </w:rPr>
              <w:t>论文链接</w:t>
            </w:r>
          </w:p>
        </w:tc>
        <w:tc>
          <w:tcPr>
            <w:tcW w:type="dxa" w:w="4997"/>
          </w:tcPr>
          <w:p>
            <w:hyperlink r:id="rId12">
              <w:r>
                <w:rPr>
                  <w:color w:val="0563C1"/>
                  <w:u w:val="single"/>
                </w:rPr>
                <w:t>https://doi.org/10.1016/j.techfore.2026.124879</w:t>
              </w:r>
            </w:hyperlink>
          </w:p>
        </w:tc>
      </w:tr>
    </w:tbl>
    <w:p>
      <w:pPr>
        <w:pStyle w:val="Heading3"/>
      </w:pPr>
      <w:r>
        <w:t>研究摘要</w:t>
      </w:r>
    </w:p>
    <w:p>
      <w:r>
        <w:t>公共安全领域负责任地部署AI辅助视频监控（A 2 VS）需要社区成员以及安保人员、执法部门和小企业主等一线使用者的输入。本研究通过2025年6月举行的三场面对面焦点小组（n=21）和2023年8月至9月在北卡罗来纳州夏洛特市开展的公共调查（n=410），探讨他们对A 2 VS的感知。结果显示广泛支持：超过63%的焦点小组参与者表达了积极观点，85%的调查受访者认为该技术至少有些益处。主要担忧包括实时异常检测、可扩展性和系统学习。对调查的随机森林分析显示，教育和族裔是最主要的预测因素，白人、受教育程度更高的个体表现出更高支持。为综合洞察，我们通过量化跨组关注度和组内一致性，提出了“对齐—张力—缺口”（Alignment–Tension–Gap, ATG）象限图。对齐主题如通知功能在100%的组中被讨论，且一致性为100%。张力主题如实时检测出现在55%的组中，但一致性仅为10%。新兴缺口如商业洞察在25%的组中被提出，并显示70%的一致性，指向创新机会。</w:t>
      </w:r>
    </w:p>
    <w:p>
      <w:pPr>
        <w:pStyle w:val="Heading3"/>
      </w:pPr>
      <w:r>
        <w:t>研究主要内容</w:t>
      </w:r>
    </w:p>
    <w:p>
      <w:r>
        <w:t>研究聚焦公共安全AI辅助视频监控（A 2 VS）的负责任部署，强调社区成员与一线使用者（安保人员、执法部门、小企业主）的感知输入。采用混合方法：2025年6月三场面对面焦点小组（n=21）与2023年8—9月北卡罗来纳州夏洛特市公共调查（n=410）。调查数据使用随机森林分析；作者提出Alignment–Tension–Gap（ATG）象限图，通过量化跨组关注度与组内一致性综合定性与定量洞察。总体支持较高，同时存在实时异常检测、可扩展性、系统学习等担忧；教育和族裔是调查中支持度的重要预测因素。</w:t>
      </w:r>
    </w:p>
    <w:p>
      <w:pPr>
        <w:pStyle w:val="Heading3"/>
      </w:pPr>
      <w:r>
        <w:t>研究论点</w:t>
      </w:r>
    </w:p>
    <w:p>
      <w:r>
        <w:t>作者主张，公共安全领域AI辅助视频监控的负责任部署需要纳入社区成员和一线使用者等利益相关者的感知；不同群体间既存在对齐与共识，也存在张力和新兴缺口，可通过ATG象限图加以识别，从而为共创负责任AI提供依据。摘要未说明是否进行理论假设检验或因果论证。</w:t>
      </w:r>
    </w:p>
    <w:p>
      <w:pPr>
        <w:pStyle w:val="Heading3"/>
      </w:pPr>
      <w:r>
        <w:t>研究问题</w:t>
      </w:r>
    </w:p>
    <w:p>
      <w:r>
        <w:t>摘要未明确列出研究问题；研究目的可概括为：探索社区成员和一线使用者对AI辅助视频监控（A 2 VS）用于公共安全的感知，并通过混合方法综合不同群体的共识、分歧与缺口。</w:t>
      </w:r>
    </w:p>
    <w:p>
      <w:pPr>
        <w:pStyle w:val="Heading3"/>
      </w:pPr>
      <w:r>
        <w:t>研究方法</w:t>
      </w:r>
    </w:p>
    <w:p>
      <w:r>
        <w:t>研究类型：混合方法（mixed-method），包含定性焦点小组和定量公共调查。样本/参与者：三场面对面焦点小组共21人，2025年6月举行；公共调查共410人，2023年8月至9月在北卡罗来纳州夏洛特市开展。数据来源：焦点小组讨论；公共调查。分析方法：调查数据采用随机森林分析；研究提出并运用Alignment–Tension–Gap（ATG）象限图，通过量化跨组关注度（cross-group attention）和组内一致性（within-group agreement）综合洞察。焦点小组的具体转录、编码或定性分析程序、抽样策略、调查量表与变量测量、缺失值处理等，摘要未说明。</w:t>
      </w:r>
    </w:p>
    <w:p>
      <w:pPr>
        <w:pStyle w:val="Heading3"/>
      </w:pPr>
      <w:r>
        <w:t>主要发现</w:t>
      </w:r>
    </w:p>
    <w:p>
      <w:r>
        <w:t>1) 总体支持较高：超过63%的焦点小组参与者持积极观点，85%的调查受访者认为该技术至少有些益处；主要担忧包括实时异常检测、可扩展性和系统学习。2) 调查的随机森林分析显示，教育和族裔是最主要预测因素，白人、受教育程度更高的个体表现出更高支持。3) ATG象限图显示：对齐主题如通知功能在100%的组中被讨论且一致性为100%；张力主题如实时检测出现在55%的组中但一致性仅10%；新兴缺口如商业洞察在25%的组中被提出且一致性70%，指向创新机会。</w:t>
      </w:r>
    </w:p>
    <w:p>
      <w:pPr>
        <w:pStyle w:val="Heading3"/>
      </w:pPr>
      <w:r>
        <w:t>对教师教育研究的启示</w:t>
      </w:r>
    </w:p>
    <w:p>
      <w:r>
        <w:t>摘要未说明对教师教育研究的启示。该论文主题为公共安全AI视频监控的利益相关者感知，摘要未涉及学前教育、基础教育、AI教学应用、教师数字素养/智能素养/数据素养、教师教育与教师培训中的AI整合或教育数字化教学变革。若仅从研究设计层面借鉴，其“焦点小组+公共调查+随机森林+ATG跨组一致性/关注度量化”的混合方法或可用于教育领域利益相关者感知与AI接受度研究，但原文未提供教育情境证据，不能直接外推至教师教育。</w:t>
      </w:r>
    </w:p>
    <w:p>
      <w:pPr>
        <w:pStyle w:val="Heading3"/>
      </w:pPr>
      <w:r>
        <w:t>APA引用格式</w:t>
      </w:r>
    </w:p>
    <w:p>
      <w:r>
        <w:t>Rahimi Ardabili, B., Danesh Pazho, A., Guido, J., Otienoburu, P. E., Windett, J., Reid, S., &amp; Tabkhi, H. (2026). Co-creating responsible AI for public safety: A mixed-method approach toward understanding stakeholder perceptions. Technological Forecasting and Social Change. https://doi.org/10.1016/j.techfore.2026.124879</w:t>
      </w:r>
    </w:p>
    <w:p>
      <w:r>
        <w:br w:type="page"/>
      </w:r>
    </w:p>
    <w:p>
      <w:pPr>
        <w:pStyle w:val="Heading2"/>
      </w:pPr>
      <w:r>
        <w:t>5. The road ahead: How the future of learning is shaped through individual differences / 前路：学习的未来如何通过个体差异被塑造</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road ahead: How the future of learning is shaped through individual differences / 前路：学习的未来如何通过个体差异被塑造</w:t>
            </w:r>
          </w:p>
        </w:tc>
      </w:tr>
      <w:tr>
        <w:tc>
          <w:tcPr>
            <w:tcW w:type="dxa" w:w="4997"/>
          </w:tcPr>
          <w:p>
            <w:r>
              <w:rPr>
                <w:b/>
              </w:rPr>
              <w:t>作者</w:t>
            </w:r>
          </w:p>
        </w:tc>
        <w:tc>
          <w:tcPr>
            <w:tcW w:type="dxa" w:w="4997"/>
          </w:tcPr>
          <w:p>
            <w:r>
              <w:t>Martin Daumiller, Elisabeth Bauer, Samuel Greiff, Michael Sailer</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w:t>
            </w:r>
          </w:p>
        </w:tc>
      </w:tr>
      <w:tr>
        <w:tc>
          <w:tcPr>
            <w:tcW w:type="dxa" w:w="4997"/>
          </w:tcPr>
          <w:p>
            <w:r>
              <w:rPr>
                <w:b/>
              </w:rPr>
              <w:t>卷期/DOI</w:t>
            </w:r>
          </w:p>
        </w:tc>
        <w:tc>
          <w:tcPr>
            <w:tcW w:type="dxa" w:w="4997"/>
          </w:tcPr>
          <w:p>
            <w:r>
              <w:t>卷期缺失；DOI: https://doi.org/10.1016/j.lindif.2026.102975</w:t>
            </w:r>
          </w:p>
        </w:tc>
      </w:tr>
      <w:tr>
        <w:tc>
          <w:tcPr>
            <w:tcW w:type="dxa" w:w="4997"/>
          </w:tcPr>
          <w:p>
            <w:r>
              <w:rPr>
                <w:b/>
              </w:rPr>
              <w:t>在线发表时间</w:t>
            </w:r>
          </w:p>
        </w:tc>
        <w:tc>
          <w:tcPr>
            <w:tcW w:type="dxa" w:w="4997"/>
          </w:tcPr>
          <w:p>
            <w:r>
              <w:t>2026-09-18</w:t>
            </w:r>
          </w:p>
        </w:tc>
      </w:tr>
      <w:tr>
        <w:tc>
          <w:tcPr>
            <w:tcW w:type="dxa" w:w="4997"/>
          </w:tcPr>
          <w:p>
            <w:r>
              <w:rPr>
                <w:b/>
              </w:rPr>
              <w:t>SSCI分类</w:t>
            </w:r>
          </w:p>
        </w:tc>
        <w:tc>
          <w:tcPr>
            <w:tcW w:type="dxa" w:w="4997"/>
          </w:tcPr>
          <w:p>
            <w:r>
              <w:t>Educational；English；Psychology</w:t>
            </w:r>
          </w:p>
        </w:tc>
      </w:tr>
      <w:tr>
        <w:tc>
          <w:tcPr>
            <w:tcW w:type="dxa" w:w="4997"/>
          </w:tcPr>
          <w:p>
            <w:r>
              <w:rPr>
                <w:b/>
              </w:rPr>
              <w:t>论文链接</w:t>
            </w:r>
          </w:p>
        </w:tc>
        <w:tc>
          <w:tcPr>
            <w:tcW w:type="dxa" w:w="4997"/>
          </w:tcPr>
          <w:p>
            <w:hyperlink r:id="rId13">
              <w:r>
                <w:rPr>
                  <w:color w:val="0563C1"/>
                  <w:u w:val="single"/>
                </w:rPr>
                <w:t>https://doi.org/10.1016/j.lindif.2026.102975</w:t>
              </w:r>
            </w:hyperlink>
          </w:p>
        </w:tc>
      </w:tr>
    </w:tbl>
    <w:p>
      <w:pPr>
        <w:pStyle w:val="Heading3"/>
      </w:pPr>
      <w:r>
        <w:t>研究摘要</w:t>
      </w:r>
    </w:p>
    <w:p>
      <w:r>
        <w:t>本文为《Learning and Individual Differences》特刊导论，指出学习的未来常被技术变革框定，但技术发展并未取代教育心理学中的长期问题：为何学习者在相同机会下获益不同，学习环境如何回应异质性，以及教育如何支持这种回应。作者综合28篇特刊贡献，提出一个通过个体差异塑造未来学习的系统路线图，围绕八个相互关联主题组织：条件性学习系统、个性化架构、认知基础、AI生态、公平机制、繁荣发展轨迹、方法学基础设施、治理与护栏。其核心是将学习视为取决于学习者特征、认知与动机机制、发展历史及情境可供性的配置；外层则说明系统如何回应、何种支持可行、AI如何加速匹配与失配，以及公平、繁荣、有效推断与治理如何界定负责任的未来学习系统。</w:t>
      </w:r>
    </w:p>
    <w:p>
      <w:pPr>
        <w:pStyle w:val="Heading3"/>
      </w:pPr>
      <w:r>
        <w:t>研究主要内容</w:t>
      </w:r>
    </w:p>
    <w:p>
      <w:r>
        <w:t>该文不是单一实证研究，而是特刊导论与框架性综述。它整合28篇贡献，提出未来学习研究的系统路线图。路线图包含八个相互关联主题：条件性学习系统、个性化架构、认知基础、AI生态、公平机制、繁荣发展轨迹、方法学基础设施、治理与护栏。作者强调，技术变革只是背景，个体差异及其与认知、动机、发展史和情境条件的交互才是理解未来学习的核心。</w:t>
      </w:r>
    </w:p>
    <w:p>
      <w:pPr>
        <w:pStyle w:val="Heading3"/>
      </w:pPr>
      <w:r>
        <w:t>研究论点</w:t>
      </w:r>
    </w:p>
    <w:p>
      <w:r>
        <w:t>核心论点是：学习未来并非由技术单方面决定，而是取决于个体差异及其与认知、动机、发展历史和情境条件的配置。AI等新技术会放大教育系统中的匹配或失配，因此未来学习系统需要同时关注个性化、公平、有效推断、学生繁荣与治理。</w:t>
      </w:r>
    </w:p>
    <w:p>
      <w:pPr>
        <w:pStyle w:val="Heading3"/>
      </w:pPr>
      <w:r>
        <w:t>研究问题</w:t>
      </w:r>
    </w:p>
    <w:p>
      <w:r>
        <w:t>摘要提出三类长期问题：1）为什么学习者在相同机会下获益不同；2）学习环境应如何回应学习者异质性；3）教育如何支持这种回应。并进一步追问未来学习系统如何围绕个体差异进行组织、支持与治理。</w:t>
      </w:r>
    </w:p>
    <w:p>
      <w:pPr>
        <w:pStyle w:val="Heading3"/>
      </w:pPr>
      <w:r>
        <w:t>研究方法</w:t>
      </w:r>
    </w:p>
    <w:p>
      <w:r>
        <w:t>研究类型：特刊导论/理论综述与框架建构；摘要未说明定量、定性或混合方法的实证设计。样本或参与者：摘要未说明；本文综合28篇特刊贡献，未报告独立样本。数据来源：28篇特刊贡献及作者的综合论述。分析方法：主题综合与系统路线图建构，围绕八个相互关联主题组织；摘要未提供系统检索、编码、统计或元分析程序。</w:t>
      </w:r>
    </w:p>
    <w:p>
      <w:pPr>
        <w:pStyle w:val="Heading3"/>
      </w:pPr>
      <w:r>
        <w:t>主要发现</w:t>
      </w:r>
    </w:p>
    <w:p>
      <w:r>
        <w:t>1）技术变革并未替代教育心理学的长期问题，反而凸显学习者在相同机会下获益不同、学习环境需回应异质性、教育需提供支持等核心议题。2）作者综合28篇贡献，提出通过个体差异理解未来学习的系统路线图，包含条件性学习系统、个性化架构、认知基础、AI生态、公平机制、繁荣发展轨迹、方法学基础设施、治理与护栏八个主题。3）路线图将学习定位为学习者特征、认知与动机机制、发展历史及情境可供性配置的函数；外围层面则涉及系统如何回应、何种支持可行、AI如何造成匹配或失配，以及公平、繁荣、有效推断与治理如何界定负责任的未来学习系统。</w:t>
      </w:r>
    </w:p>
    <w:p>
      <w:pPr>
        <w:pStyle w:val="Heading3"/>
      </w:pPr>
      <w:r>
        <w:t>对教师教育研究的启示</w:t>
      </w:r>
    </w:p>
    <w:p>
      <w:r>
        <w:t>摘要未直接说明教师教育研究启示；基于该路线图可推论：教师教育研究应重视学习者个体差异与异质性，设计能收集认知、动机、发展史和情境数据的研究；关注AI生态下的适应性教学、数据/智能素养与教师角色；将公平、学生繁荣、有效推断和治理纳入教师培训与学校改进研究。方法上可借鉴其系统路线图与多主题综合思路，但需注意本文并非教师教育实证研究。</w:t>
      </w:r>
    </w:p>
    <w:p>
      <w:pPr>
        <w:pStyle w:val="Heading3"/>
      </w:pPr>
      <w:r>
        <w:t>APA引用格式</w:t>
      </w:r>
    </w:p>
    <w:p>
      <w:r>
        <w:t>Daumiller, M., Bauer, E., Greiff, S., &amp; Sailer, M. (2026). The road ahead: How the future of learning is shaped through individual differences. Learning and Individual Differences. https://doi.org/10.1016/j.lindif.2026.102975</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119.84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46328/ijces.308" TargetMode="External"/><Relationship Id="rId10" Type="http://schemas.openxmlformats.org/officeDocument/2006/relationships/hyperlink" Target="https://doi.org/10.1108/etpc-01-2026-0011" TargetMode="External"/><Relationship Id="rId11" Type="http://schemas.openxmlformats.org/officeDocument/2006/relationships/hyperlink" Target="https://doi.org/10.53941/ic.2026.100011" TargetMode="External"/><Relationship Id="rId12" Type="http://schemas.openxmlformats.org/officeDocument/2006/relationships/hyperlink" Target="https://doi.org/10.1016/j.techfore.2026.124879" TargetMode="External"/><Relationship Id="rId13" Type="http://schemas.openxmlformats.org/officeDocument/2006/relationships/hyperlink" Target="https://doi.org/10.1016/j.lindif.2026.1029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