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每日SSCI文献简报｜2026-07-07</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2026-07-07 15:19:01（北京时间）</w:t>
            </w:r>
          </w:p>
        </w:tc>
      </w:tr>
      <w:tr>
        <w:tc>
          <w:tcPr>
            <w:tcW w:type="dxa" w:w="4997"/>
          </w:tcPr>
          <w:p>
            <w:r>
              <w:rPr>
                <w:b/>
              </w:rPr>
              <w:t>检索窗口</w:t>
            </w:r>
          </w:p>
        </w:tc>
        <w:tc>
          <w:tcPr>
            <w:tcW w:type="dxa" w:w="4997"/>
          </w:tcPr>
          <w:p>
            <w:r>
              <w:t>2023-07-08 — 2026-07-07</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教育与健康领域，核心趋势包括：**人机协同**重塑学习自主性（混合自主性）、教师培训（LLM模拟学生）及能力评估（代码能动性）；同时呈现方法创新，如超图神经网络建模高阶依赖，以及强调情境敏感的教师准备研究。</w:t>
      </w:r>
    </w:p>
    <w:p>
      <w:pPr>
        <w:pStyle w:val="Heading1"/>
      </w:pPr>
      <w:r>
        <w:t>目录</w:t>
      </w:r>
    </w:p>
    <w:p>
      <w:pPr>
        <w:pStyle w:val="ListNumber"/>
      </w:pPr>
      <w:r>
        <w:rPr>
          <w:b/>
        </w:rPr>
        <w:t>大型语言模型作为数学教师的有效培训工具：机遇还是幻觉？</w:t>
      </w:r>
      <w:r>
        <w:t>｜ZDM – Mathematics Education｜2026-07-07</w:t>
      </w:r>
    </w:p>
    <w:p>
      <w:pPr>
        <w:pStyle w:val="ListNumber"/>
      </w:pPr>
      <w:r>
        <w:rPr>
          <w:b/>
        </w:rPr>
        <w:t>从学习者自主性到混合自主性：一项研究议程</w:t>
      </w:r>
      <w:r>
        <w:t>｜Artificial Intelligence in Language Education｜2026-07-07</w:t>
      </w:r>
    </w:p>
    <w:p>
      <w:pPr>
        <w:pStyle w:val="ListNumber"/>
      </w:pPr>
      <w:r>
        <w:rPr>
          <w:b/>
        </w:rPr>
        <w:t>AE-HGNN：面向可解释压力预测的注意力增强超图神经网络——基于高阶依赖建模</w:t>
      </w:r>
      <w:r>
        <w:t>｜Frontiers in Artificial Intelligence｜2026-07-07</w:t>
      </w:r>
    </w:p>
    <w:p>
      <w:pPr>
        <w:pStyle w:val="ListNumber"/>
      </w:pPr>
      <w:r>
        <w:rPr>
          <w:b/>
        </w:rPr>
        <w:t>南非职前教师在基础阶段编程与机器人教学准备感知研究</w:t>
      </w:r>
      <w:r>
        <w:t>｜African Journal of Career Development｜2026-07-07</w:t>
      </w:r>
    </w:p>
    <w:p>
      <w:pPr>
        <w:pStyle w:val="ListNumber"/>
      </w:pPr>
      <w:r>
        <w:rPr>
          <w:b/>
        </w:rPr>
        <w:t>AIGC时代面向编程教育的以代码能动性为核心证据框架</w:t>
      </w:r>
      <w:r>
        <w:t>｜World Journal of Educational Research｜2026-07-07</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LLMs as useful training tools for mathematics teachers: opportunities or hallucinations? / 大型语言模型作为数学教师的有效培训工具：机遇还是幻觉？</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LLMs as useful training tools for mathematics teachers: opportunities or hallucinations? / 大型语言模型作为数学教师的有效培训工具：机遇还是幻觉？</w:t>
            </w:r>
          </w:p>
        </w:tc>
      </w:tr>
      <w:tr>
        <w:tc>
          <w:tcPr>
            <w:tcW w:type="dxa" w:w="4997"/>
          </w:tcPr>
          <w:p>
            <w:r>
              <w:rPr>
                <w:b/>
              </w:rPr>
              <w:t>作者</w:t>
            </w:r>
          </w:p>
        </w:tc>
        <w:tc>
          <w:tcPr>
            <w:tcW w:type="dxa" w:w="4997"/>
          </w:tcPr>
          <w:p>
            <w:r>
              <w:t>Ulrich Kortenkamp, Kevin Larkin</w:t>
            </w:r>
          </w:p>
        </w:tc>
      </w:tr>
      <w:tr>
        <w:tc>
          <w:tcPr>
            <w:tcW w:type="dxa" w:w="4997"/>
          </w:tcPr>
          <w:p>
            <w:r>
              <w:rPr>
                <w:b/>
              </w:rPr>
              <w:t>期刊及影响因子</w:t>
            </w:r>
          </w:p>
        </w:tc>
        <w:tc>
          <w:tcPr>
            <w:tcW w:type="dxa" w:w="4997"/>
          </w:tcPr>
          <w:p>
            <w:r>
              <w:t>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 HEIDELBERG</w:t>
            </w:r>
          </w:p>
        </w:tc>
      </w:tr>
      <w:tr>
        <w:tc>
          <w:tcPr>
            <w:tcW w:type="dxa" w:w="4997"/>
          </w:tcPr>
          <w:p>
            <w:r>
              <w:rPr>
                <w:b/>
              </w:rPr>
              <w:t>卷期/DOI</w:t>
            </w:r>
          </w:p>
        </w:tc>
        <w:tc>
          <w:tcPr>
            <w:tcW w:type="dxa" w:w="4997"/>
          </w:tcPr>
          <w:p>
            <w:r>
              <w:t>DOI: 10.1007/s11858-026-01813-4</w:t>
            </w:r>
          </w:p>
        </w:tc>
      </w:tr>
      <w:tr>
        <w:tc>
          <w:tcPr>
            <w:tcW w:type="dxa" w:w="4997"/>
          </w:tcPr>
          <w:p>
            <w:r>
              <w:rPr>
                <w:b/>
              </w:rPr>
              <w:t>在线发表时间</w:t>
            </w:r>
          </w:p>
        </w:tc>
        <w:tc>
          <w:tcPr>
            <w:tcW w:type="dxa" w:w="4997"/>
          </w:tcPr>
          <w:p>
            <w:r>
              <w:t>2026-07-07</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https://doi.org/10.1007/s11858-026-01813-4</w:t>
              </w:r>
            </w:hyperlink>
          </w:p>
        </w:tc>
      </w:tr>
    </w:tbl>
    <w:p>
      <w:pPr>
        <w:pStyle w:val="Heading3"/>
      </w:pPr>
      <w:r>
        <w:t>研究摘要</w:t>
      </w:r>
    </w:p>
    <w:p>
      <w:r>
        <w:t>我们探讨人工智能聊天机器人生成的数学应用题答案在多大程度上与学生答案具有可比性，以及与之交互是否有助于模拟课堂话语。我们使用大型语言模型（LLM）对10道标准教科书练习每道题重复求解100次，并分析这些答案以确定适合通过教师提示进行进一步交互的任务。基于此分析，我们以后续提示的形式推导出适当的教师干预措施，并确定其对LLM输出的影响。结果表明，LLM生成的答案确实可以模拟学生的答案，因此这些答案可用于职前教师学习如何有效地干预学生学习。然而，我们也发现，在生成正确LLM响应方面，通用后续提示比基于教学内容知识的特定提示更有效。综上，这些发现表明LLM可能非常适合模拟学生的数学解法，但不适合模拟学生如何自然回应教学提示。这揭示了教师教育中LLM训练的适用性，也揭示了现代推理模型改善LLM答案可靠性的可能性。</w:t>
      </w:r>
    </w:p>
    <w:p>
      <w:pPr>
        <w:pStyle w:val="Heading3"/>
      </w:pPr>
      <w:r>
        <w:t>研究主要内容</w:t>
      </w:r>
    </w:p>
    <w:p>
      <w:r>
        <w:t>本研究使用大型语言模型（GPT系列，具体模型未说明）反复生成10道标准数学应用题（教科书级别）的答案，每道题生成100次，共生成1000个答案。研究者分析这些答案以识别哪些任务适合用于教师培训中的交互练习，并测试不同教师提示（基于教学内容知识的特定提示 vs. 通用提示）对LLM输出正确性的影响。</w:t>
      </w:r>
    </w:p>
    <w:p>
      <w:pPr>
        <w:pStyle w:val="Heading3"/>
      </w:pPr>
      <w:r>
        <w:t>研究论点</w:t>
      </w:r>
    </w:p>
    <w:p>
      <w:r>
        <w:t>LLM生成的数学答案与真实学生答案相似，可用于职前教师干预练习，但LLM对教学提示的响应模式与学生自然反应不同，因此需要谨慎设计培训中的提示策略。</w:t>
      </w:r>
    </w:p>
    <w:p>
      <w:pPr>
        <w:pStyle w:val="Heading3"/>
      </w:pPr>
      <w:r>
        <w:t>研究问题</w:t>
      </w:r>
    </w:p>
    <w:p>
      <w:r>
        <w:t>LLM生成的数学应用题答案与学生答案的可比性如何？与LLM交互是否能够有效模拟课堂话语，从而用于教师培训？</w:t>
      </w:r>
    </w:p>
    <w:p>
      <w:pPr>
        <w:pStyle w:val="Heading3"/>
      </w:pPr>
      <w:r>
        <w:t>研究方法</w:t>
      </w:r>
    </w:p>
    <w:p>
      <w:r>
        <w:t>{'研究类型': '混合研究（定量重复生成与定性答案分析结合），但摘要未明确说明分析方法的细节。', '样本与参与者': '无人类参与者；研究对象为10道标准教科书练习，每道题由LLM重复生成100次。', '数据来源': 'LLM生成的数学应用题答案（共1000个答案）。', '分析方法': '摘要未说明具体的质性或定量分析技术，仅提及“分析答案以确定适合进一步交互的任务”以及“比较不同提示下的LLM输出”。'}</w:t>
      </w:r>
    </w:p>
    <w:p>
      <w:pPr>
        <w:pStyle w:val="Heading3"/>
      </w:pPr>
      <w:r>
        <w:t>主要发现</w:t>
      </w:r>
    </w:p>
    <w:p>
      <w:r>
        <w:t>['LLM生成的答案与学生的典型答案在表面形式上具有相似性，可用于模拟学生解题过程。', '通用后续提示（如“请再次检查”）比基于教学内容知识的特定提示（如“提示学生注意单位转换”）更能促使LLM生成正确答案。', 'LLM适合建模学生的数学解法，但不适合建模学生如何自然回应教学提示，即LLM的响应模式与真实学生的认知反应存在差异。']</w:t>
      </w:r>
    </w:p>
    <w:p>
      <w:pPr>
        <w:pStyle w:val="Heading3"/>
      </w:pPr>
      <w:r>
        <w:t>对教师教育研究的启示</w:t>
      </w:r>
    </w:p>
    <w:p>
      <w:r>
        <w:t>['教师教育者可以利用LLM生成大量类似学生错误的数学答案，供职前教师练习诊断和干预，但需设计真实的干预情境。', '未来研究应比较不同LLM（尤其是推理模型）在模拟学生回答时的可靠性，以提升培训工具的准确性。', '在教师培训中引入LLM时，必须明确其局限性：LLM对教学提示的响应不能简单等同于学生反应，提示设计应注重通用性而非过度依赖学科知识。']</w:t>
      </w:r>
    </w:p>
    <w:p>
      <w:pPr>
        <w:pStyle w:val="Heading3"/>
      </w:pPr>
      <w:r>
        <w:t>APA引用格式</w:t>
      </w:r>
    </w:p>
    <w:p>
      <w:r>
        <w:t>Kortenkamp, U., &amp; Larkin, K. (2026). LLMs as useful training tools for mathematics teachers: opportunities or hallucinations? ZDM – Mathematics Education. https://doi.org/10.1007/s11858-026-01813-4</w:t>
      </w:r>
    </w:p>
    <w:p>
      <w:r>
        <w:br w:type="page"/>
      </w:r>
    </w:p>
    <w:p>
      <w:pPr>
        <w:pStyle w:val="Heading2"/>
      </w:pPr>
      <w:r>
        <w:t>2. From learner autonomy to hybrid autonomy: A research agenda / 从学习者自主性到混合自主性：一项研究议程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From learner autonomy to hybrid autonomy: A research agenda / 从学习者自主性到混合自主性：一项研究议程</w:t>
            </w:r>
          </w:p>
        </w:tc>
      </w:tr>
      <w:tr>
        <w:tc>
          <w:tcPr>
            <w:tcW w:type="dxa" w:w="4997"/>
          </w:tcPr>
          <w:p>
            <w:r>
              <w:rPr>
                <w:b/>
              </w:rPr>
              <w:t>作者</w:t>
            </w:r>
          </w:p>
        </w:tc>
        <w:tc>
          <w:tcPr>
            <w:tcW w:type="dxa" w:w="4997"/>
          </w:tcPr>
          <w:p>
            <w:r>
              <w:t>Hayo Reinders</w:t>
            </w:r>
          </w:p>
        </w:tc>
      </w:tr>
      <w:tr>
        <w:tc>
          <w:tcPr>
            <w:tcW w:type="dxa" w:w="4997"/>
          </w:tcPr>
          <w:p>
            <w:r>
              <w:rPr>
                <w:b/>
              </w:rPr>
              <w:t>期刊及影响因子</w:t>
            </w:r>
          </w:p>
        </w:tc>
        <w:tc>
          <w:tcPr>
            <w:tcW w:type="dxa" w:w="4997"/>
          </w:tcPr>
          <w:p>
            <w:r>
              <w:t>摘要未说明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DOI: 10.29140/aile.2026.104233</w:t>
            </w:r>
          </w:p>
        </w:tc>
      </w:tr>
      <w:tr>
        <w:tc>
          <w:tcPr>
            <w:tcW w:type="dxa" w:w="4997"/>
          </w:tcPr>
          <w:p>
            <w:r>
              <w:rPr>
                <w:b/>
              </w:rPr>
              <w:t>在线发表时间</w:t>
            </w:r>
          </w:p>
        </w:tc>
        <w:tc>
          <w:tcPr>
            <w:tcW w:type="dxa" w:w="4997"/>
          </w:tcPr>
          <w:p>
            <w:r>
              <w:t>2026-07-07</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0">
              <w:r>
                <w:rPr>
                  <w:color w:val="0563C1"/>
                  <w:u w:val="single"/>
                </w:rPr>
                <w:t>https://doi.org/10.29140/aile.2026.104233</w:t>
              </w:r>
            </w:hyperlink>
          </w:p>
        </w:tc>
      </w:tr>
    </w:tbl>
    <w:p>
      <w:pPr>
        <w:pStyle w:val="Heading3"/>
      </w:pPr>
      <w:r>
        <w:t>研究摘要</w:t>
      </w:r>
    </w:p>
    <w:p>
      <w:r>
        <w:t>这篇概念性文章提出了‘混合自主性’（hybrid autonomy）这一构念，用以描述在语言学习中，控制、能动性和反思如何日益分布在学习者与人工智能系统之间。传统上学习者自主性被理解为掌控自我学习的能力，而生成式AI、对话代理、自适应系统和学习分析的不断整合正在重塑自主学习的实现方式。文章认为，AI并非单纯增强或削弱自主性，而是通过在人类与非人类行动者之间重新分配认知、评估和调节功能，改变了控制生态。本文综合了学习者自主性、计算机辅助语言学习、分布式认知、混合智能及AI中介语言学习等领域的最新实证与理论发展，考察了AI如何影响自主性的认知、情感、社会和技术维度。特别关注了赋能与依赖、个性化与标准化、能动性与算法引导之间浮现的张力。文章进一步探讨了对教学、评估、教师角色和机构政策的启示，认为在AI丰富的环境中，自主性不仅取决于能否获取智能工具，更取决于学习者批判性地协商、解释和调节自身与工具交互的能力。文章最后提出了在语言教育中研究混合自主性的研究议程，包括共享能动性、评估判断、AI支持自我调节、学习者身份以及人机交互中的认知劳动分配等方向。</w:t>
      </w:r>
    </w:p>
    <w:p>
      <w:pPr>
        <w:pStyle w:val="Heading3"/>
      </w:pPr>
      <w:r>
        <w:t>研究主要内容</w:t>
      </w:r>
    </w:p>
    <w:p>
      <w:r>
        <w:t>本文围绕语言学习中人工智能整合背景下学习者自主性概念的变化，提出了混合自主性构念，并分析了其多维影响及对教育实践的启示。</w:t>
      </w:r>
    </w:p>
    <w:p>
      <w:pPr>
        <w:pStyle w:val="Heading3"/>
      </w:pPr>
      <w:r>
        <w:t>研究论点</w:t>
      </w:r>
    </w:p>
    <w:p>
      <w:r>
        <w:t>AI不是简单地增强或削弱学习者自主性，而是通过分布式认知和控制生态的转变，重新定义了自主性的实现方式。真正的自主性需要学习者具备批判性协商与调节能力。</w:t>
      </w:r>
    </w:p>
    <w:p>
      <w:pPr>
        <w:pStyle w:val="Heading3"/>
      </w:pPr>
      <w:r>
        <w:t>研究问题</w:t>
      </w:r>
    </w:p>
    <w:p>
      <w:r>
        <w:t>人工智能如何改变语言学习中的学习者自主性？如何理解和研究这种混合自主性？</w:t>
      </w:r>
    </w:p>
    <w:p>
      <w:pPr>
        <w:pStyle w:val="Heading3"/>
      </w:pPr>
      <w:r>
        <w:t>研究方法</w:t>
      </w:r>
    </w:p>
    <w:p>
      <w:r>
        <w:t>研究类型：概念性/理论分析文章；未涉及实证数据；未说明样本、参与者、数据来源；分析方法为文献综合与理论建构，具体分析步骤摘要未说明。</w:t>
      </w:r>
    </w:p>
    <w:p>
      <w:pPr>
        <w:pStyle w:val="Heading3"/>
      </w:pPr>
      <w:r>
        <w:t>主要发现</w:t>
      </w:r>
    </w:p>
    <w:p>
      <w:r>
        <w:t>['提出了混合自主性构念，即控制、能动性和反思在人类学习者与AI系统之间动态分布。', '识别出AI影响自主性的四个维度：认知、情感、社会和技术维度，并指出赋能与依赖、个性化与标准化、能动性与算法指引之间的张力。', '总结了AI环境下自主性的实现取决于学习者批判性地协商、解释和调节与AI交互的能力，而非仅仅获取技术工具。']</w:t>
      </w:r>
    </w:p>
    <w:p>
      <w:pPr>
        <w:pStyle w:val="Heading3"/>
      </w:pPr>
      <w:r>
        <w:t>对教师教育研究的启示</w:t>
      </w:r>
    </w:p>
    <w:p>
      <w:r>
        <w:t>教师角色需重新定位，从传统自主性促进者转变为帮助学生发展批判性评估人机交互、调节自身学习过程的引导者；教师教育应关注培养教师的数字素养和AI理解力，使其能够设计支持混合自主性的学习环境；研究方法上，可采用混合研究方法，结合定量学习分析和定性访谈/叙事探究，考察师生在人机交互中的共享能动性和认知劳动分配。</w:t>
      </w:r>
    </w:p>
    <w:p>
      <w:pPr>
        <w:pStyle w:val="Heading3"/>
      </w:pPr>
      <w:r>
        <w:t>APA引用格式</w:t>
      </w:r>
    </w:p>
    <w:p>
      <w:r>
        <w:t>Reinders, H. (2026). From learner autonomy to hybrid autonomy: A research agenda. Artificial Intelligence in Language Education. https://doi.org/10.29140/aile.2026.104233</w:t>
      </w:r>
    </w:p>
    <w:p>
      <w:r>
        <w:br w:type="page"/>
      </w:r>
    </w:p>
    <w:p>
      <w:pPr>
        <w:pStyle w:val="Heading2"/>
      </w:pPr>
      <w:r>
        <w:t>3. AE-HGNN: attention-enhanced hypergraph neural networks for interpretable stress prediction through higher-order dependency modeling / AE-HGNN：面向可解释压力预测的注意力增强超图神经网络——基于高阶依赖建模</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AE-HGNN: attention-enhanced hypergraph neural networks for interpretable stress prediction through higher-order dependency modeling / AE-HGNN：面向可解释压力预测的注意力增强超图神经网络——基于高阶依赖建模</w:t>
            </w:r>
          </w:p>
        </w:tc>
      </w:tr>
      <w:tr>
        <w:tc>
          <w:tcPr>
            <w:tcW w:type="dxa" w:w="4997"/>
          </w:tcPr>
          <w:p>
            <w:r>
              <w:rPr>
                <w:b/>
              </w:rPr>
              <w:t>作者</w:t>
            </w:r>
          </w:p>
        </w:tc>
        <w:tc>
          <w:tcPr>
            <w:tcW w:type="dxa" w:w="4997"/>
          </w:tcPr>
          <w:p>
            <w:r>
              <w:t>Bindu Garg, Manisha Kasar, Renuka Mane, Massimo Donelli, Achin Jain, Arun Kumar Dubey</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DOI: 10.3389/frai.2026.1844784</w:t>
            </w:r>
          </w:p>
        </w:tc>
      </w:tr>
      <w:tr>
        <w:tc>
          <w:tcPr>
            <w:tcW w:type="dxa" w:w="4997"/>
          </w:tcPr>
          <w:p>
            <w:r>
              <w:rPr>
                <w:b/>
              </w:rPr>
              <w:t>在线发表时间</w:t>
            </w:r>
          </w:p>
        </w:tc>
        <w:tc>
          <w:tcPr>
            <w:tcW w:type="dxa" w:w="4997"/>
          </w:tcPr>
          <w:p>
            <w:r>
              <w:t>2026-07-07</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1">
              <w:r>
                <w:rPr>
                  <w:color w:val="0563C1"/>
                  <w:u w:val="single"/>
                </w:rPr>
                <w:t>https://doi.org/10.3389/frai.2026.1844784</w:t>
              </w:r>
            </w:hyperlink>
          </w:p>
        </w:tc>
      </w:tr>
    </w:tbl>
    <w:p>
      <w:pPr>
        <w:pStyle w:val="Heading3"/>
      </w:pPr>
      <w:r>
        <w:t>研究摘要</w:t>
      </w:r>
    </w:p>
    <w:p>
      <w:r>
        <w:t>压力是导致心理和身体健康恶化的重要因素，包括焦虑、抑郁和心血管问题。传统机器学习方法（如SVM、决策树和深度神经网络）在利用生理和行为数据进行压力预测时，难以捕捉压力指标间复杂的高阶交互，且需要对噪声信号进行大量预处理。为解决该问题，本文提出一种基于注意力增强超图神经网络（AE-HGNN）的压力预测系统，对环境和行为因素（如湿度、温度、步数）之间的高阶关系进行建模。注意力机制为每个因素分配注意力权重；与仅限于成对关系的传统图模型不同，注意力增强超图神经网络利用超边表示多节点依赖关系，显著提升了分类性能和鲁棒性。主要贡献包括设计了一种用于压力分类的AE-HGNN架构，通过为每个因素分配注意力权重来建模高阶依赖。该模型在优化超参数（学习率0.01，隐藏维度128，迭代次数150）下测试准确率达99.75%（5折交叉验证均值98.44%±0.56%），性能显著优于随机森林（87.3%）、SVM（82.8%）和标准DNN（90.7%），证实了其在可穿戴技术和移动健康平台中进行非侵入式、实时压力监测的潜力。</w:t>
      </w:r>
    </w:p>
    <w:p>
      <w:pPr>
        <w:pStyle w:val="Heading3"/>
      </w:pPr>
      <w:r>
        <w:t>研究主要内容</w:t>
      </w:r>
    </w:p>
    <w:p>
      <w:r>
        <w:t>提出一个基于注意力增强超图神经网络（AE-HGNN）的压力预测系统，通过建模环境与行为因素间的高阶依赖关系，实现高精度、可解释的压力分类，并在公开数据上验证其优于传统机器学习模型。</w:t>
      </w:r>
    </w:p>
    <w:p>
      <w:pPr>
        <w:pStyle w:val="Heading3"/>
      </w:pPr>
      <w:r>
        <w:t>研究论点</w:t>
      </w:r>
    </w:p>
    <w:p>
      <w:r>
        <w:t>传统机器学习方法受限于成对关系建模和对噪声信号的预处理需求，无法有效捕捉压力指标间的复杂高阶交互；而注意力增强超图神经网络通过超边和注意力机制可以自然建模多节点依赖关系，从而显著提升压力预测的准确性和鲁棒性。</w:t>
      </w:r>
    </w:p>
    <w:p>
      <w:pPr>
        <w:pStyle w:val="Heading3"/>
      </w:pPr>
      <w:r>
        <w:t>研究问题</w:t>
      </w:r>
    </w:p>
    <w:p>
      <w:r>
        <w:t>如何利用注意力增强超图神经网络建模环境与行为因素中的高阶依赖关系，以实现可解释、高精度的压力预测？</w:t>
      </w:r>
    </w:p>
    <w:p>
      <w:pPr>
        <w:pStyle w:val="Heading3"/>
      </w:pPr>
      <w:r>
        <w:t>研究方法</w:t>
      </w:r>
    </w:p>
    <w:p>
      <w:r>
        <w:t>研究类型为定量研究。样本/参与者：摘要未说明，但使用了生理和行为数据（湿度、温度、步数等），具体数据集来源、参与者数量和人口学信息摘要未说明。数据来源：基于生理和行为数据（可能来自公开数据集或实验采集，摘要未进一步明确）。分析方法：设计AE-HGNN架构，采用5折交叉验证进行模型评估；超参数设置为学习率0.01、隐藏维度128、迭代次数150；与传统方法（Random Forest、SVM、标准DNN）进行性能对比。</w:t>
      </w:r>
    </w:p>
    <w:p>
      <w:pPr>
        <w:pStyle w:val="Heading3"/>
      </w:pPr>
      <w:r>
        <w:t>主要发现</w:t>
      </w:r>
    </w:p>
    <w:p>
      <w:r>
        <w:t>['AE-HGNN在压力分类任务上测试准确率达99.75%，5折交叉验证均值98.44%±0.56%，优于随机森林（87.3%）、SVM（82.8%）和标准DNN（90.7%）。', '注意力机制能够为每个输入因素（温度、湿度、步数等）分配可解释的注意力权重，揭示了不同因素对压力预测的相对重要性。', '超图神经网络通过超边建模多节点高阶依赖关系，相比传统图模型的成对关系建模，显著提升了分类性能和鲁棒性。']</w:t>
      </w:r>
    </w:p>
    <w:p>
      <w:pPr>
        <w:pStyle w:val="Heading3"/>
      </w:pPr>
      <w:r>
        <w:t>对教师教育研究的启示</w:t>
      </w:r>
    </w:p>
    <w:p>
      <w:r>
        <w:t>本文展示了超图神经网络与注意力机制在复杂因素交互建模中的有效性，为教育领域研究学生压力、学习行为等多因素问题提供了方法借鉴；可考虑在教师教育研究中利用此类高阶依赖建模技术分析教师数字素养、AI教学应用中的多变量交互作用；5折交叉验证与超参数优化流程为教育技术研究中的模型评估提供了可操作的技术参考。</w:t>
      </w:r>
    </w:p>
    <w:p>
      <w:pPr>
        <w:pStyle w:val="Heading3"/>
      </w:pPr>
      <w:r>
        <w:t>APA引用格式</w:t>
      </w:r>
    </w:p>
    <w:p>
      <w:r>
        <w:t>Garg, B., Kasar, M., Mane, R., Donelli, M., Jain, A., &amp; Dubey, A. K. (2026). AE-HGNN: attention-enhanced hypergraph neural networks for interpretable stress prediction through higher-order dependency modeling. Frontiers in Artificial Intelligence. https://doi.org/10.3389/frai.2026.1844784</w:t>
      </w:r>
    </w:p>
    <w:p>
      <w:r>
        <w:br w:type="page"/>
      </w:r>
    </w:p>
    <w:p>
      <w:pPr>
        <w:pStyle w:val="Heading2"/>
      </w:pPr>
      <w:r>
        <w:t>4. South African pre-service teachers’ perceived pedagogical readiness for coding and robotics in the Foundation Phase / 南非职前教师在基础阶段编程与机器人教学准备感知研究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South African pre-service teachers’ perceived pedagogical readiness for coding and robotics in the Foundation Phase / 南非职前教师在基础阶段编程与机器人教学准备感知研究</w:t>
            </w:r>
          </w:p>
        </w:tc>
      </w:tr>
      <w:tr>
        <w:tc>
          <w:tcPr>
            <w:tcW w:type="dxa" w:w="4997"/>
          </w:tcPr>
          <w:p>
            <w:r>
              <w:rPr>
                <w:b/>
              </w:rPr>
              <w:t>作者</w:t>
            </w:r>
          </w:p>
        </w:tc>
        <w:tc>
          <w:tcPr>
            <w:tcW w:type="dxa" w:w="4997"/>
          </w:tcPr>
          <w:p>
            <w:r>
              <w:t>Kayla Willemse</w:t>
            </w:r>
          </w:p>
        </w:tc>
      </w:tr>
      <w:tr>
        <w:tc>
          <w:tcPr>
            <w:tcW w:type="dxa" w:w="4997"/>
          </w:tcPr>
          <w:p>
            <w:r>
              <w:rPr>
                <w:b/>
              </w:rPr>
              <w:t>期刊及影响因子</w:t>
            </w:r>
          </w:p>
        </w:tc>
        <w:tc>
          <w:tcPr>
            <w:tcW w:type="dxa" w:w="4997"/>
          </w:tcPr>
          <w:p>
            <w:r>
              <w:t>未提供影响因子及分区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8(1), 10.4102/ajcd.v8i1.221</w:t>
            </w:r>
          </w:p>
        </w:tc>
      </w:tr>
      <w:tr>
        <w:tc>
          <w:tcPr>
            <w:tcW w:type="dxa" w:w="4997"/>
          </w:tcPr>
          <w:p>
            <w:r>
              <w:rPr>
                <w:b/>
              </w:rPr>
              <w:t>在线发表时间</w:t>
            </w:r>
          </w:p>
        </w:tc>
        <w:tc>
          <w:tcPr>
            <w:tcW w:type="dxa" w:w="4997"/>
          </w:tcPr>
          <w:p>
            <w:r>
              <w:t>2026-07-07</w:t>
            </w:r>
          </w:p>
        </w:tc>
      </w:tr>
      <w:tr>
        <w:tc>
          <w:tcPr>
            <w:tcW w:type="dxa" w:w="4997"/>
          </w:tcPr>
          <w:p>
            <w:r>
              <w:rPr>
                <w:b/>
              </w:rPr>
              <w:t>SSCI分类</w:t>
            </w:r>
          </w:p>
        </w:tc>
        <w:tc>
          <w:tcPr>
            <w:tcW w:type="dxa" w:w="4997"/>
          </w:tcPr>
          <w:p>
            <w:r>
              <w:t>Applied；Psychology</w:t>
            </w:r>
          </w:p>
        </w:tc>
      </w:tr>
      <w:tr>
        <w:tc>
          <w:tcPr>
            <w:tcW w:type="dxa" w:w="4997"/>
          </w:tcPr>
          <w:p>
            <w:r>
              <w:rPr>
                <w:b/>
              </w:rPr>
              <w:t>论文链接</w:t>
            </w:r>
          </w:p>
        </w:tc>
        <w:tc>
          <w:tcPr>
            <w:tcW w:type="dxa" w:w="4997"/>
          </w:tcPr>
          <w:p>
            <w:hyperlink r:id="rId12">
              <w:r>
                <w:rPr>
                  <w:color w:val="0563C1"/>
                  <w:u w:val="single"/>
                </w:rPr>
                <w:t>https://doi.org/10.4102/ajcd.v8i1.221</w:t>
              </w:r>
            </w:hyperlink>
          </w:p>
        </w:tc>
      </w:tr>
    </w:tbl>
    <w:p>
      <w:pPr>
        <w:pStyle w:val="Heading3"/>
      </w:pPr>
      <w:r>
        <w:t>研究摘要</w:t>
      </w:r>
    </w:p>
    <w:p>
      <w:r>
        <w:t>背景：编程与机器人技术在早期学校教育中日益重要，其在基础阶段的实施不仅依赖于课程改革和资源获取，还取决于教师以发展适宜性和包容性方式教授这些概念的教学准备。目的：本研究探讨南非某大学三年级职前教师如何概念化他们在基础阶段实施编程与机器人的教学准备感知，以教学内容知识和教师自我效能为理论框架。方法：采用定性解释设计，通过开放式在线问卷收集51名同意参与的职前教师的数据，这些教师注册了基础阶段教师教育模块。使用主题分析对数据进行归纳编码和溯因解释。结果：参与者以三种相互关联的方式概念化教学准备感知：作为通过游戏化、动手操作和整合教学法教授编程与机器人的能力；作为一种包容性关系实践，需关注学生信心、语言和与家长的沟通；作为一种受资源、支持和教师信心塑造的新兴能力。结论：编程与机器人的教学准备感知不仅被视为技术能力，而是情境敏感的教学实施，包括将新课程内容转化为发展适宜性、关系回应性且在资源不均等教室中可行的教学实践。贡献：本研究通过表明准备是教学性的、关系性的和情境制约的，为早期阶段的教师教育与编程与机器人教学学术研究做出贡献。</w:t>
      </w:r>
    </w:p>
    <w:p>
      <w:pPr>
        <w:pStyle w:val="Heading3"/>
      </w:pPr>
      <w:r>
        <w:t>研究主要内容</w:t>
      </w:r>
    </w:p>
    <w:p>
      <w:r>
        <w:t>编程与机器人技术在早期学校教育中日益重要，其实施不仅依赖课程改革和资源，还依赖教师的发展适宜性和包容性教学准备。本研究基于教学内容知识和教师自我效能理论，探究南非某大学三年级职前教师如何概念化其在基础阶段实施编程与机器人的教学准备感知。</w:t>
      </w:r>
    </w:p>
    <w:p>
      <w:pPr>
        <w:pStyle w:val="Heading3"/>
      </w:pPr>
      <w:r>
        <w:t>研究论点</w:t>
      </w:r>
    </w:p>
    <w:p>
      <w:r>
        <w:t>职前教师的编程与机器人教学准备不是单纯的技术能力，而是情境敏感的教学实施，涉及发展适宜性、关系回应性和在资源不均等教室中的可行性。</w:t>
      </w:r>
    </w:p>
    <w:p>
      <w:pPr>
        <w:pStyle w:val="Heading3"/>
      </w:pPr>
      <w:r>
        <w:t>研究问题</w:t>
      </w:r>
    </w:p>
    <w:p>
      <w:r>
        <w:t>南非某大学三年级职前教师如何概念化他们在基础阶段实施编程与机器人的教学准备感知？</w:t>
      </w:r>
    </w:p>
    <w:p>
      <w:pPr>
        <w:pStyle w:val="Heading3"/>
      </w:pPr>
      <w:r>
        <w:t>研究方法</w:t>
      </w:r>
    </w:p>
    <w:p>
      <w:r>
        <w:t>研究类型：定性解释设计。样本与参与者：51名同意参与的三年级职前教师，均注册了基础阶段教师教育模块。数据来源：开放式在线问卷。分析方法：主题分析，采用归纳编码过程和溯因解释。</w:t>
      </w:r>
    </w:p>
    <w:p>
      <w:pPr>
        <w:pStyle w:val="Heading3"/>
      </w:pPr>
      <w:r>
        <w:t>主要发现</w:t>
      </w:r>
    </w:p>
    <w:p>
      <w:r>
        <w:t>['参与者将教学准备感知概念化为通过游戏化、动手操作和整合教学法教授编程与机器人的能力；', '教学准备被视为包容性关系实践，需关注学生信心、语言沟通及与家长的协同；', '教学准备是一种受资源可用性、学校支持和教师个人信心共同塑造的新兴能力。']</w:t>
      </w:r>
    </w:p>
    <w:p>
      <w:pPr>
        <w:pStyle w:val="Heading3"/>
      </w:pPr>
      <w:r>
        <w:t>对教师教育研究的启示</w:t>
      </w:r>
    </w:p>
    <w:p>
      <w:r>
        <w:t>本研究采用定性解释设计，通过开放式在线问卷收集51名职前教师的观点，并运用主题分析（归纳编码+溯因解释）揭示教学准备感知的多维性。启示：未来研究可扩大样本范围、采用混合方法或纵向设计以深化理解；教师教育课程应注重培养职前教师在资源不均等环境下通过游戏化、整合性教学法实施编程与机器人的能力，并关注学生信心与家校沟通；数据收集可采用低成本高效的在线问卷，分析时注意保持开放性以捕捉本土化认知。</w:t>
      </w:r>
    </w:p>
    <w:p>
      <w:pPr>
        <w:pStyle w:val="Heading3"/>
      </w:pPr>
      <w:r>
        <w:t>APA引用格式</w:t>
      </w:r>
    </w:p>
    <w:p>
      <w:r>
        <w:t>Willemse, K. (2026). South African pre-service teachers’ perceived pedagogical readiness for coding and robotics in the Foundation Phase. African Journal of Career Development, 8(1), Article 221. https://doi.org/10.4102/ajcd.v8i1.221</w:t>
      </w:r>
    </w:p>
    <w:p>
      <w:r>
        <w:br w:type="page"/>
      </w:r>
    </w:p>
    <w:p>
      <w:pPr>
        <w:pStyle w:val="Heading2"/>
      </w:pPr>
      <w:r>
        <w:t>5. A Code-Agency-Centered Evidence Framework for Programming Education in the Age of AIGC / AIGC时代面向编程教育的以代码能动性为核心证据框架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Code-Agency-Centered Evidence Framework for Programming Education in the Age of AIGC / AIGC时代面向编程教育的以代码能动性为核心证据框架</w:t>
            </w:r>
          </w:p>
        </w:tc>
      </w:tr>
      <w:tr>
        <w:tc>
          <w:tcPr>
            <w:tcW w:type="dxa" w:w="4997"/>
          </w:tcPr>
          <w:p>
            <w:r>
              <w:rPr>
                <w:b/>
              </w:rPr>
              <w:t>作者</w:t>
            </w:r>
          </w:p>
        </w:tc>
        <w:tc>
          <w:tcPr>
            <w:tcW w:type="dxa" w:w="4997"/>
          </w:tcPr>
          <w:p>
            <w:r>
              <w:t>Wei Xin, Qinxin Liao</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v13n3p148, DOI:10.22158/wjer.v13n3p148</w:t>
            </w:r>
          </w:p>
        </w:tc>
      </w:tr>
      <w:tr>
        <w:tc>
          <w:tcPr>
            <w:tcW w:type="dxa" w:w="4997"/>
          </w:tcPr>
          <w:p>
            <w:r>
              <w:rPr>
                <w:b/>
              </w:rPr>
              <w:t>在线发表时间</w:t>
            </w:r>
          </w:p>
        </w:tc>
        <w:tc>
          <w:tcPr>
            <w:tcW w:type="dxa" w:w="4997"/>
          </w:tcPr>
          <w:p>
            <w:r>
              <w:t>2026-07-07</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3">
              <w:r>
                <w:rPr>
                  <w:color w:val="0563C1"/>
                  <w:u w:val="single"/>
                </w:rPr>
                <w:t>https://doi.org/10.22158/wjer.v13n3p148</w:t>
              </w:r>
            </w:hyperlink>
          </w:p>
        </w:tc>
      </w:tr>
    </w:tbl>
    <w:p>
      <w:pPr>
        <w:pStyle w:val="Heading3"/>
      </w:pPr>
      <w:r>
        <w:t>研究摘要</w:t>
      </w:r>
    </w:p>
    <w:p>
      <w:r>
        <w:t>生成式人工智能（AIGC）使得可执行代码更容易生成，但也削弱了提交代码与学生实际编程能力之间的证据联系。在编程教育中，代码产品的可见性现在与能力形成的相对不可见性形成对比：学生可能提交能够运行的代码，却无法解释其逻辑、判断其风险、修改其缺陷或为其后果承担责任。本文针对AIGC支持的编程教育，开发了一个以代码能动性（Code Agency）为中心的证据框架。代码能动性被有界地界定为对代码的教育所有权，通过四种能力表达：理解代码逻辑、判断代码质量与风险、在约束条件下修改代码、以及为代码行为承担责任。该框架通过三个递进阶段组织学习——独立实现、AI中介的批评与修改、以及负责任的工程交付——同时将AI访问作为一种治理条件与证据要求相耦合。证据周期包括执行模型构建、调试与验证、AI输出审查与修改、以及带有反馈调整的现场答辩。一个LiteOS任务管理案例被用作诊断场景，因为RTOS运行时状态部分不可见，调度行为在时间上复杂，且AI生成的代码可能看似正确却未被充分理解。该框架为AIGC时代的编程教育贡献了一个有界且可评估的代码所有权描述。</w:t>
      </w:r>
    </w:p>
    <w:p>
      <w:pPr>
        <w:pStyle w:val="Heading3"/>
      </w:pPr>
      <w:r>
        <w:t>研究主要内容</w:t>
      </w:r>
    </w:p>
    <w:p>
      <w:r>
        <w:t>本文提出并论证了一个以代码能动性为核心证据的编程教育框架，旨在应对AIGC时代学生在编程能力评估中的证据缺失问题。文章界定了代码能动性的四个维度（理解、判断、修改、负责），设计了三个递进学习阶段，并构建了一个四环节证据周期。</w:t>
      </w:r>
    </w:p>
    <w:p>
      <w:pPr>
        <w:pStyle w:val="Heading3"/>
      </w:pPr>
      <w:r>
        <w:t>研究论点</w:t>
      </w:r>
    </w:p>
    <w:p>
      <w:r>
        <w:t>AIGC虽然提高了代码生产效率，但削弱了代码提交与学生真实编程能力之间的证据链；因此，编程教育需要建立以代码能动性为核心的证据框架，以恢复和确保对编程能力的可信评估。</w:t>
      </w:r>
    </w:p>
    <w:p>
      <w:pPr>
        <w:pStyle w:val="Heading3"/>
      </w:pPr>
      <w:r>
        <w:t>研究问题</w:t>
      </w:r>
    </w:p>
    <w:p>
      <w:r>
        <w:t>在AIGC支持的编程教育中，如何构建一个能够确保代码提交与编程能力之间有效证据联系的教学与评估框架？</w:t>
      </w:r>
    </w:p>
    <w:p>
      <w:pPr>
        <w:pStyle w:val="Heading3"/>
      </w:pPr>
      <w:r>
        <w:t>研究方法</w:t>
      </w:r>
    </w:p>
    <w:p>
      <w:r>
        <w:t>研究方法类型：摘要未明确说明研究类型（定量/定性/混合）；样本或参与者：未说明；数据来源：摘要未说明数据来源；分析方法：概念框架构建，结合LiteOS任务管理案例进行诊断性说明。摘要未提供实证数据收集与分析方法。</w:t>
      </w:r>
    </w:p>
    <w:p>
      <w:pPr>
        <w:pStyle w:val="Heading3"/>
      </w:pPr>
      <w:r>
        <w:t>主要发现</w:t>
      </w:r>
    </w:p>
    <w:p>
      <w:r>
        <w:t>1. 提出了代码能动性（Code Agency）概念，并将其界定为对代码的教育所有权，包含理解代码逻辑、判断代码质量与风险、在约束下修改代码、承担代码行为责任四个能力维度。2. 设计了三个递进学习阶段：独立实现、AI中介的批评与修改、负责任的工程交付，并将AI访问作为治理条件与证据要求结合。3. 构建了一个四环节证据周期：执行模型构建、调试与验证、AI输出审查与修改、现场答辩与反馈调整，并以LiteOS任务管理案例说明了该框架的诊断适用性。</w:t>
      </w:r>
    </w:p>
    <w:p>
      <w:pPr>
        <w:pStyle w:val="Heading3"/>
      </w:pPr>
      <w:r>
        <w:t>对教师教育研究的启示</w:t>
      </w:r>
    </w:p>
    <w:p>
      <w:r>
        <w:t>1. 该框架为教师在AIGC时代设计编程课程提供了可操作的教学阶段与证据收集流程，有助于教师系统评估学生的真实编程能力而非表面代码产出。2. 对教师教育研究的启示：可借鉴其概念界定（如代码能动性）设计实证研究，例如通过准实验设计比较使用该框架与传统教学在编程能力评估有效性上的差异。3. 数据收集方法上，未来研究可围绕证据周期中的四个环节设计观察与访谈工具，收集学生在现场答辩、代码修改过程中的表现数据进行分析。</w:t>
      </w:r>
    </w:p>
    <w:p>
      <w:pPr>
        <w:pStyle w:val="Heading3"/>
      </w:pPr>
      <w:r>
        <w:t>APA引用格式</w:t>
      </w:r>
    </w:p>
    <w:p>
      <w:r>
        <w:t>Xin, W., &amp; Liao, Q. (2026). A Code-Agency-Centered Evidence Framework for Programming Education in the Age of AIGC. World Journal of Educational Research, 13(3), 148. https://doi.org/10.22158/wjer.v13n3p148</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116.69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11858-026-01813-4" TargetMode="External"/><Relationship Id="rId10" Type="http://schemas.openxmlformats.org/officeDocument/2006/relationships/hyperlink" Target="https://doi.org/10.29140/aile.2026.104233" TargetMode="External"/><Relationship Id="rId11" Type="http://schemas.openxmlformats.org/officeDocument/2006/relationships/hyperlink" Target="https://doi.org/10.3389/frai.2026.1844784" TargetMode="External"/><Relationship Id="rId12" Type="http://schemas.openxmlformats.org/officeDocument/2006/relationships/hyperlink" Target="https://doi.org/10.4102/ajcd.v8i1.221" TargetMode="External"/><Relationship Id="rId13" Type="http://schemas.openxmlformats.org/officeDocument/2006/relationships/hyperlink" Target="https://doi.org/10.22158/wjer.v13n3p1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