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每日SSCI文献简报｜2026-09-27</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2026-09-27 10:15:47（北京时间）</w:t>
            </w:r>
          </w:p>
        </w:tc>
      </w:tr>
      <w:tr>
        <w:tc>
          <w:tcPr>
            <w:tcW w:type="dxa" w:w="4997"/>
          </w:tcPr>
          <w:p>
            <w:r>
              <w:rPr>
                <w:b/>
              </w:rPr>
              <w:t>检索窗口</w:t>
            </w:r>
          </w:p>
        </w:tc>
        <w:tc>
          <w:tcPr>
            <w:tcW w:type="dxa" w:w="4997"/>
          </w:tcPr>
          <w:p>
            <w:r>
              <w:t>2023-09-28 — 2026-09-27</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今日文献聚焦AI融入教学、评估与教师发展，关注教师AI素养、学习投入、认知负荷、人机协同与主体性保护；方法上实验、匹配调查、访谈、案例和理论并进。中国高教样本凸显AI素养机制。</w:t>
      </w:r>
    </w:p>
    <w:p>
      <w:pPr>
        <w:pStyle w:val="Heading1"/>
      </w:pPr>
      <w:r>
        <w:t>目录</w:t>
      </w:r>
    </w:p>
    <w:p>
      <w:pPr>
        <w:pStyle w:val="ListNumber"/>
      </w:pPr>
      <w:r>
        <w:rPr>
          <w:b/>
        </w:rPr>
        <w:t>教师AI使用与高等教育学生学习成果：学习投入和教师AI素养的作用</w:t>
      </w:r>
      <w:r>
        <w:t>｜Acta Psychologica｜2026-09-25</w:t>
      </w:r>
    </w:p>
    <w:p>
      <w:pPr>
        <w:pStyle w:val="ListNumber"/>
      </w:pPr>
      <w:r>
        <w:rPr>
          <w:b/>
        </w:rPr>
        <w:t>数学评估中的认知负荷：一项比较人工评分、AI自动评分与人机协同评分的探索性研究</w:t>
      </w:r>
      <w:r>
        <w:t>｜International Journal of Educational Research｜2026-09-25</w:t>
      </w:r>
    </w:p>
    <w:p>
      <w:pPr>
        <w:pStyle w:val="ListNumber"/>
      </w:pPr>
      <w:r>
        <w:rPr>
          <w:b/>
        </w:rPr>
        <w:t>AI在工作场所：在AI赋能转型中管理组织文化</w:t>
      </w:r>
      <w:r>
        <w:t>｜Journal of Information Technology Teaching Cases｜2026-09-26</w:t>
      </w:r>
    </w:p>
    <w:p>
      <w:pPr>
        <w:pStyle w:val="ListNumber"/>
      </w:pPr>
      <w:r>
        <w:rPr>
          <w:b/>
        </w:rPr>
        <w:t>生成式人工智能时代ESL写作教学中的反思性自由写作与不可化约的人性</w:t>
      </w:r>
      <w:r>
        <w:t>｜Journal of Second Language Writing｜2026-09-24</w:t>
      </w:r>
    </w:p>
    <w:p>
      <w:pPr>
        <w:pStyle w:val="ListNumber"/>
      </w:pPr>
      <w:r>
        <w:rPr>
          <w:b/>
        </w:rPr>
        <w:t>在不确定性中学习：探究式数学教学中的教师成长机会</w:t>
      </w:r>
      <w:r>
        <w:t>｜Educational Studies in Mathematics｜2026-09-25</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Teachers' AI use and student learning outcomes in higher education: The roles of learning engagement and teacher AI literacy / 教师AI使用与高等教育学生学习成果：学习投入和教师AI素养的作用</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Teachers' AI use and student learning outcomes in higher education: The roles of learning engagement and teacher AI literacy / 教师AI使用与高等教育学生学习成果：学习投入和教师AI素养的作用</w:t>
            </w:r>
          </w:p>
        </w:tc>
      </w:tr>
      <w:tr>
        <w:tc>
          <w:tcPr>
            <w:tcW w:type="dxa" w:w="4997"/>
          </w:tcPr>
          <w:p>
            <w:r>
              <w:rPr>
                <w:b/>
              </w:rPr>
              <w:t>作者</w:t>
            </w:r>
          </w:p>
        </w:tc>
        <w:tc>
          <w:tcPr>
            <w:tcW w:type="dxa" w:w="4997"/>
          </w:tcPr>
          <w:p>
            <w:r>
              <w:t>Yi Zhan, Xin Su, Bei-He Hui, Ben‐Xia Zheng</w:t>
            </w:r>
          </w:p>
        </w:tc>
      </w:tr>
      <w:tr>
        <w:tc>
          <w:tcPr>
            <w:tcW w:type="dxa" w:w="4997"/>
          </w:tcPr>
          <w:p>
            <w:r>
              <w:rPr>
                <w:b/>
              </w:rPr>
              <w:t>期刊及影响因子</w:t>
            </w:r>
          </w:p>
        </w:tc>
        <w:tc>
          <w:tcPr>
            <w:tcW w:type="dxa" w:w="4997"/>
          </w:tcPr>
          <w:p>
            <w:r>
              <w:t>Acta Psychologica；SSCI分类：English, Experimental, Psychology；影响因子：白名单未提供影响因子；JCR分区：白名单未提供JCR分区。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1873-6297</w:t>
            </w:r>
          </w:p>
        </w:tc>
      </w:tr>
      <w:tr>
        <w:tc>
          <w:tcPr>
            <w:tcW w:type="dxa" w:w="4997"/>
          </w:tcPr>
          <w:p>
            <w:r>
              <w:rPr>
                <w:b/>
              </w:rPr>
              <w:t>卷期/DOI</w:t>
            </w:r>
          </w:p>
        </w:tc>
        <w:tc>
          <w:tcPr>
            <w:tcW w:type="dxa" w:w="4997"/>
          </w:tcPr>
          <w:p>
            <w:r>
              <w:t>卷期未说明；DOI: https://doi.org/10.1016/j.actpsy.2026.107878</w:t>
            </w:r>
          </w:p>
        </w:tc>
      </w:tr>
      <w:tr>
        <w:tc>
          <w:tcPr>
            <w:tcW w:type="dxa" w:w="4997"/>
          </w:tcPr>
          <w:p>
            <w:r>
              <w:rPr>
                <w:b/>
              </w:rPr>
              <w:t>在线发表时间</w:t>
            </w:r>
          </w:p>
        </w:tc>
        <w:tc>
          <w:tcPr>
            <w:tcW w:type="dxa" w:w="4997"/>
          </w:tcPr>
          <w:p>
            <w:r>
              <w:t>2026-09-25</w:t>
            </w:r>
          </w:p>
        </w:tc>
      </w:tr>
      <w:tr>
        <w:tc>
          <w:tcPr>
            <w:tcW w:type="dxa" w:w="4997"/>
          </w:tcPr>
          <w:p>
            <w:r>
              <w:rPr>
                <w:b/>
              </w:rPr>
              <w:t>SSCI分类</w:t>
            </w:r>
          </w:p>
        </w:tc>
        <w:tc>
          <w:tcPr>
            <w:tcW w:type="dxa" w:w="4997"/>
          </w:tcPr>
          <w:p>
            <w:r>
              <w:t>English；Experimental；Psychology</w:t>
            </w:r>
          </w:p>
        </w:tc>
      </w:tr>
      <w:tr>
        <w:tc>
          <w:tcPr>
            <w:tcW w:type="dxa" w:w="4997"/>
          </w:tcPr>
          <w:p>
            <w:r>
              <w:rPr>
                <w:b/>
              </w:rPr>
              <w:t>论文链接</w:t>
            </w:r>
          </w:p>
        </w:tc>
        <w:tc>
          <w:tcPr>
            <w:tcW w:type="dxa" w:w="4997"/>
          </w:tcPr>
          <w:p>
            <w:hyperlink r:id="rId9">
              <w:r>
                <w:rPr>
                  <w:color w:val="0563C1"/>
                  <w:u w:val="single"/>
                </w:rPr>
                <w:t>https://doi.org/10.1016/j.actpsy.2026.107878</w:t>
              </w:r>
            </w:hyperlink>
          </w:p>
        </w:tc>
      </w:tr>
    </w:tbl>
    <w:p>
      <w:pPr>
        <w:pStyle w:val="Heading3"/>
      </w:pPr>
      <w:r>
        <w:t>研究摘要</w:t>
      </w:r>
    </w:p>
    <w:p>
      <w:r>
        <w:t>该研究目的为检验生成式AI融入高等教育背景下教师AI使用是否以及如何提升学生学习成果。基于自我决定理论，研究关注学习投入的中介作用和教师AI素养的调节作用。研究采用实验与调查结合的双研究设计：研究1为前后测实验，涉及482名大学生和12名教师，实验组教师系统整合AI工具，控制组采用常规教学，并在不同时间点测量学习投入和学习成果；研究2为中国高等教育机构的多波教师—学生匹配调查，涉及97名教师和816名学生，教师报告AI素养，学生评价教师AI使用、学习投入和学习成果。研究发现，教师AI使用正向预测学生学习成果；学习投入显著中介该关系；教师AI素养正向调节教师AI使用与学习投入的关系，并增强通过学习投入产生的间接效应。研究价值在于扩展自我决定理论至AI辅助教学情境，识别学习投入机制和教师AI素养边界条件，为AI教学改革、教师专业发展和高等教育数字化转型提供启示。</w:t>
      </w:r>
    </w:p>
    <w:p>
      <w:pPr>
        <w:pStyle w:val="Heading3"/>
      </w:pPr>
      <w:r>
        <w:t>研究主要内容</w:t>
      </w:r>
    </w:p>
    <w:p>
      <w:r>
        <w:t>论文聚焦教师AI使用与学生（高等教育）学习成果之间的关系，理论框架为自我决定理论。核心模型为：教师AI使用→学习投入→学生学习成果，并以教师AI素养作为调节变量。研究采用双研究设计：研究1用前后测实验检验因果方向，研究2用多波教师—学生匹配调查检验中介、调节和调节中介。需要说明，该文样本为高等教育阶段，并非学前教育或基础教育阶段；主题与AI教学应用、教师AI素养相关，但学段不完全符合用户关注的学前/基础教育范围。</w:t>
      </w:r>
    </w:p>
    <w:p>
      <w:pPr>
        <w:pStyle w:val="Heading3"/>
      </w:pPr>
      <w:r>
        <w:t>研究论点</w:t>
      </w:r>
    </w:p>
    <w:p>
      <w:r>
        <w:t>核心论点是：教师AI使用有助于提升学生学习成果，其作用机制在于提升学生的学习投入；教师AI素养是关键边界条件，高AI素养教师的AI使用对学习投入的促进更强，并通过学习投入增强对学生学习成果的间接影响。</w:t>
      </w:r>
    </w:p>
    <w:p>
      <w:pPr>
        <w:pStyle w:val="Heading3"/>
      </w:pPr>
      <w:r>
        <w:t>研究问题</w:t>
      </w:r>
    </w:p>
    <w:p>
      <w:r>
        <w:t>摘要提出的核心问题包括：教师AI使用是否以及如何提升学生学习成果？学习投入是否在教师AI使用与学生学习成果之间起中介作用？教师AI素养是否调节教师AI使用与学习投入的关系，并进一步调节教师AI使用通过学习投入影响学习成果的间接效应？</w:t>
      </w:r>
    </w:p>
    <w:p>
      <w:pPr>
        <w:pStyle w:val="Heading3"/>
      </w:pPr>
      <w:r>
        <w:t>研究方法</w:t>
      </w:r>
    </w:p>
    <w:p>
      <w:r>
        <w:t>研究类型：实验与调查相结合的定量多研究设计（摘要未报告质性数据）。研究1：前后测实验设计，样本为482名大学生和12名教师；实验组教师系统整合AI工具，控制组采用常规教学；在不同时间点测量学习投入和学习成果。研究2：多波教师—学生匹配调查设计，样本为中国高等教育机构的97名教师和816名学生；教师报告教师AI素养，学生评价教师AI使用、学习投入和学习成果。分析方法：使用Bootstrap程序进行中介、调节和调节中介分析。摘要未说明抽样方法、测量工具具体来源、实验随机分配细节、数据收集时间间隔、信效度及控制变量等信息。</w:t>
      </w:r>
    </w:p>
    <w:p>
      <w:pPr>
        <w:pStyle w:val="Heading3"/>
      </w:pPr>
      <w:r>
        <w:t>主要发现</w:t>
      </w:r>
    </w:p>
    <w:p>
      <w:r>
        <w:t>1. 两项研究一致显示，教师AI使用正向预测学生学习成果。2. 学习投入显著中介教师AI使用与学习成果的关系，表明教师AI使用通过提高学生认知、行为和情感投入来提升学习成果。3. 教师AI素养正向调节教师AI使用与学习投入的关系：教师AI素养越高，教师AI使用对学习投入的正向作用越强；教师AI素养还增强教师AI使用通过学习投入影响学生学习成果的间接效应。</w:t>
      </w:r>
    </w:p>
    <w:p>
      <w:pPr>
        <w:pStyle w:val="Heading3"/>
      </w:pPr>
      <w:r>
        <w:t>对教师教育研究的启示</w:t>
      </w:r>
    </w:p>
    <w:p>
      <w:r>
        <w:t>1. 前沿主题：教师AI使用、教师AI素养、学习投入与学习成果的链式中介—调节模型，可作为教师教育中AI整合研究的重要分析框架。2. 研究设计：可借鉴“实验+多波教师—学生匹配调查”的多研究设计，实验增强因果推断，多源报告降低同源偏差，不同时间点测量中介与结果，并用Bootstrap检验中介、调节和调节中介。3. 教师教育实践：教师AI专业发展不应只停留在工具操作培训，还应提升教师AI素养，以更有效促进学生认知、行为和情感投入；但该研究基于中国高等教育样本，迁移至学前、小学、初中等基础教育阶段需另行验证。</w:t>
      </w:r>
    </w:p>
    <w:p>
      <w:pPr>
        <w:pStyle w:val="Heading3"/>
      </w:pPr>
      <w:r>
        <w:t>APA引用格式</w:t>
      </w:r>
    </w:p>
    <w:p>
      <w:r>
        <w:t>Zhan, Y., Su, X., Hui, B.-H., &amp; Zheng, B.-X. (2026). Teachers' AI use and student learning outcomes in higher education: The roles of learning engagement and teacher AI literacy. Acta Psychologica. https://doi.org/10.1016/j.actpsy.2026.107878</w:t>
      </w:r>
    </w:p>
    <w:p>
      <w:r>
        <w:br w:type="page"/>
      </w:r>
    </w:p>
    <w:p>
      <w:pPr>
        <w:pStyle w:val="Heading2"/>
      </w:pPr>
      <w:r>
        <w:t>2. Cognitive load in mathematics assessment: An exploratory study comparing manual, AI-automated, and human-machine collaboration / 数学评估中的认知负荷：一项比较人工评分、AI自动评分与人机协同评分的探索性研究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Cognitive load in mathematics assessment: An exploratory study comparing manual, AI-automated, and human-machine collaboration / 数学评估中的认知负荷：一项比较人工评分、AI自动评分与人机协同评分的探索性研究</w:t>
            </w:r>
          </w:p>
        </w:tc>
      </w:tr>
      <w:tr>
        <w:tc>
          <w:tcPr>
            <w:tcW w:type="dxa" w:w="4997"/>
          </w:tcPr>
          <w:p>
            <w:r>
              <w:rPr>
                <w:b/>
              </w:rPr>
              <w:t>作者</w:t>
            </w:r>
          </w:p>
        </w:tc>
        <w:tc>
          <w:tcPr>
            <w:tcW w:type="dxa" w:w="4997"/>
          </w:tcPr>
          <w:p>
            <w:r>
              <w:t>Hongde Wu, Weizhong Zhang</w:t>
            </w:r>
          </w:p>
        </w:tc>
      </w:tr>
      <w:tr>
        <w:tc>
          <w:tcPr>
            <w:tcW w:type="dxa" w:w="4997"/>
          </w:tcPr>
          <w:p>
            <w:r>
              <w:rPr>
                <w:b/>
              </w:rPr>
              <w:t>期刊及影响因子</w:t>
            </w:r>
          </w:p>
        </w:tc>
        <w:tc>
          <w:tcPr>
            <w:tcW w:type="dxa" w:w="4997"/>
          </w:tcPr>
          <w:p>
            <w:r>
              <w:t>期刊：International Journal of Educational Research；SSCI分类：Education &amp; Educational Research, English；影响因子/JCR分区：白名单未提供影响因子，白名单未提供JCR分区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1873-538X</w:t>
            </w:r>
          </w:p>
        </w:tc>
      </w:tr>
      <w:tr>
        <w:tc>
          <w:tcPr>
            <w:tcW w:type="dxa" w:w="4997"/>
          </w:tcPr>
          <w:p>
            <w:r>
              <w:rPr>
                <w:b/>
              </w:rPr>
              <w:t>卷期/DOI</w:t>
            </w:r>
          </w:p>
        </w:tc>
        <w:tc>
          <w:tcPr>
            <w:tcW w:type="dxa" w:w="4997"/>
          </w:tcPr>
          <w:p>
            <w:r>
              <w:t>卷期：摘要及元数据未说明；DOI：https://doi.org/10.1016/j.ijer.2026.103128</w:t>
            </w:r>
          </w:p>
        </w:tc>
      </w:tr>
      <w:tr>
        <w:tc>
          <w:tcPr>
            <w:tcW w:type="dxa" w:w="4997"/>
          </w:tcPr>
          <w:p>
            <w:r>
              <w:rPr>
                <w:b/>
              </w:rPr>
              <w:t>在线发表时间</w:t>
            </w:r>
          </w:p>
        </w:tc>
        <w:tc>
          <w:tcPr>
            <w:tcW w:type="dxa" w:w="4997"/>
          </w:tcPr>
          <w:p>
            <w:r>
              <w:t>2026-09-25</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0">
              <w:r>
                <w:rPr>
                  <w:color w:val="0563C1"/>
                  <w:u w:val="single"/>
                </w:rPr>
                <w:t>https://doi.org/10.1016/j.ijer.2026.103128</w:t>
              </w:r>
            </w:hyperlink>
          </w:p>
        </w:tc>
      </w:tr>
    </w:tbl>
    <w:p>
      <w:pPr>
        <w:pStyle w:val="Heading3"/>
      </w:pPr>
      <w:r>
        <w:t>研究摘要</w:t>
      </w:r>
    </w:p>
    <w:p>
      <w:r>
        <w:t>评估开放性数学任务对教师构成较高的认知需求，在大规模评分情境中尤为突出。随着AI工具在教育场景中的普及，有必要理解不同评估方式如何影响教师的认知负荷及其评价判断质量。本研究为探索性研究，比较了人工评分、AI自动评分与人机协同评分三种方式，使用300份模拟的初中学段数学作答，并对6名教师进行深度访谈。基于该样本的初步发现显示：人机协同方式的表现模式与“外在认知负荷与关联认知负荷之间更有利的平衡”相一致，总体准确率最高，且在任务量增加时仍保持稳定表现；AI自动评分在处理程序性错误时表现良好，但在需要概念性判断的错误上存在明显局限；在该样本中，新手教师从协同中获得的相对提升更大，其准确率接近人工评分专家教师。上述初步发现为认知负荷理论在技术中介的数学评估中的应用提供了初步支持，并为将AI整合进教师专业发展与大规模评估系统（尤其是高利害考试情境）提供了初步启示。</w:t>
      </w:r>
    </w:p>
    <w:p>
      <w:pPr>
        <w:pStyle w:val="Heading3"/>
      </w:pPr>
      <w:r>
        <w:t>研究主要内容</w:t>
      </w:r>
    </w:p>
    <w:p>
      <w:r>
        <w:t>研究聚焦于开放性数学任务评分中教师的认知负荷与评分判断质量问题，比较三种评估方式：纯人工评分、AI自动评分、人机协同评分。研究以初中学段数学作答为任务材料，采用模拟作答样本与教师深度访谈相结合的方式进行探索。研究发现，人机协同在准确率与任务量增加时的稳定性上表现最佳，且与更有利的认知负荷结构（较低外在负荷、较高关联负荷）相符；AI自动评分在程序性错误识别上表现较好，但在概念性错误上局限明显；新手教师从人机协同中获益相对更大，准确率接近人工评分的专家教师水平。研究据此讨论认知负荷理论在技术中介数学评估中的适用性，以及对教师专业发展和大规模评估系统（尤其高利害考试）的启示。</w:t>
      </w:r>
    </w:p>
    <w:p>
      <w:pPr>
        <w:pStyle w:val="Heading3"/>
      </w:pPr>
      <w:r>
        <w:t>研究论点</w:t>
      </w:r>
    </w:p>
    <w:p>
      <w:r>
        <w:t>核心论点：在开放性数学任务的大规模评分中，不同评估方式会给教师带来不同的认知负荷结构，进而影响评价判断质量；人机协同评分可能在认知负荷平衡与评分准确性上优于纯人工评分与纯AI自动评分，尤其对新手教师具有支持作用；但AI自动评分在概念性判断上存在明显局限。</w:t>
      </w:r>
    </w:p>
    <w:p>
      <w:pPr>
        <w:pStyle w:val="Heading3"/>
      </w:pPr>
      <w:r>
        <w:t>研究问题</w:t>
      </w:r>
    </w:p>
    <w:p>
      <w:r>
        <w:t>摘要未以明确问句形式列出研究问题。根据摘要可推断其探究重点为：人工评分、AI自动评分与人机协同评分三种方式如何影响教师的认知负荷及评价判断质量（包括不同经验水平教师的表现差异）。具体研究问题与假设表述摘要未说明。</w:t>
      </w:r>
    </w:p>
    <w:p>
      <w:pPr>
        <w:pStyle w:val="Heading3"/>
      </w:pPr>
      <w:r>
        <w:t>研究方法</w:t>
      </w:r>
    </w:p>
    <w:p>
      <w:r>
        <w:t>研究类型：探索性研究，摘要显示同时包含量化评分表现数据与质性访谈资料，属混合方法取向（摘要未明确使用“混合方法”这一术语）。样本/参与者：300份模拟的初中学段（junior secondary）数学作答；6名教师接受深度访谈。数据来源：模拟数学作答的评分结果数据，以及教师深度访谈资料。分析方法：摘要未说明具体的量化统计分析方法（如方差分析、认知负荷测量指标计算方式等），也未说明质性资料的分析方法（如编码方式、主题分析等）。认知负荷的具体测量工具与操作化方式亦未说明。研究局限：作者将结果表述为“初步发现”，提示样本规模与探索性设计带来推论限制。</w:t>
      </w:r>
    </w:p>
    <w:p>
      <w:pPr>
        <w:pStyle w:val="Heading3"/>
      </w:pPr>
      <w:r>
        <w:t>主要发现</w:t>
      </w:r>
    </w:p>
    <w:p>
      <w:r>
        <w:t>1. 人机协同评分方式的表现模式与更有利的认知负荷平衡（外在认知负荷与关联认知负荷之间）相一致，总体准确率最高，且在任务量不断增加时仍保持稳定表现。2. AI自动评分在处理程序性错误方面表现良好，但在需要概念性理解的错误上存在明显局限。3. 在该样本中，新手教师从人机协同中获得的相对提升更大，其评分准确率接近采用人工评分的专家教师水平。</w:t>
      </w:r>
    </w:p>
    <w:p>
      <w:pPr>
        <w:pStyle w:val="Heading3"/>
      </w:pPr>
      <w:r>
        <w:t>对教师教育研究的启示</w:t>
      </w:r>
    </w:p>
    <w:p>
      <w:r>
        <w:t>1. 前沿主题：研究将认知负荷理论与技术中介的数学评估相连接，提示教师教育研究可关注“AI评分工具使用中的教师认知成本”，特别是新手教师与专家教师的差异，以及人机协同作为教师评估能力支持路径的潜力。2. 研究设计参考：采用“模拟作答任务实验 + 教师深度访谈”的探索性混合设计，可在同一研究中同时捕捉评分表现（准确率、任务量效应）与教师主观认知体验，适合作为教师数字素养/智能素养研究的起步性设计；作者亦强调结果为初步发现，后续需更大样本与更严格控制。3. 数据收集与分析启示：数据收集可包括标准化模拟学生作答语料库（本研究为300份）与教师访谈（本研究为6人）；分析上需明确认知负荷的测量指标与评分质量的评定标准，并区分程序性错误与概念性错误两类任务特征；同时应报告新手—专家分组比较。摘要未说明具体统计与质性分析方法，提示后续研究需在方法部分补充认知负荷测量工具、评分者一致性检验与质性编码框架。4. 实践启示方向：研究指向将AI整合进教师专业发展与大规模评估系统，尤其在高利害考试情境中，应重视人机协同流程设计而非单纯依赖AI自动评分。</w:t>
      </w:r>
    </w:p>
    <w:p>
      <w:pPr>
        <w:pStyle w:val="Heading3"/>
      </w:pPr>
      <w:r>
        <w:t>APA引用格式</w:t>
      </w:r>
    </w:p>
    <w:p>
      <w:r>
        <w:t>Wu, H., &amp; Zhang, W. (2026). Cognitive load in mathematics assessment: An exploratory study comparing manual, AI-automated, and human-machine collaboration. International Journal of Educational Research. https://doi.org/10.1016/j.ijer.2026.103128</w:t>
      </w:r>
    </w:p>
    <w:p>
      <w:r>
        <w:br w:type="page"/>
      </w:r>
    </w:p>
    <w:p>
      <w:pPr>
        <w:pStyle w:val="Heading2"/>
      </w:pPr>
      <w:r>
        <w:t>3. AI at work: Managing organisational culture in an AI-enabled transformation / AI在工作场所：在AI赋能转型中管理组织文化</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AI at work: Managing organisational culture in an AI-enabled transformation / AI在工作场所：在AI赋能转型中管理组织文化</w:t>
            </w:r>
          </w:p>
        </w:tc>
      </w:tr>
      <w:tr>
        <w:tc>
          <w:tcPr>
            <w:tcW w:type="dxa" w:w="4997"/>
          </w:tcPr>
          <w:p>
            <w:r>
              <w:rPr>
                <w:b/>
              </w:rPr>
              <w:t>作者</w:t>
            </w:r>
          </w:p>
        </w:tc>
        <w:tc>
          <w:tcPr>
            <w:tcW w:type="dxa" w:w="4997"/>
          </w:tcPr>
          <w:p>
            <w:r>
              <w:t>David Oyebisi, Samuel Ofori</w:t>
            </w:r>
          </w:p>
        </w:tc>
      </w:tr>
      <w:tr>
        <w:tc>
          <w:tcPr>
            <w:tcW w:type="dxa" w:w="4997"/>
          </w:tcPr>
          <w:p>
            <w:r>
              <w:rPr>
                <w:b/>
              </w:rPr>
              <w:t>期刊及影响因子</w:t>
            </w:r>
          </w:p>
        </w:tc>
        <w:tc>
          <w:tcPr>
            <w:tcW w:type="dxa" w:w="4997"/>
          </w:tcPr>
          <w:p>
            <w:r>
              <w:t>白名单未提供影响因子 / 白名单未提供JCR分区；SSCI分类：Information Science &amp; Library Science, Management</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卷期：摘要/元数据未说明；DOI：10.1177/20438869261491516</w:t>
            </w:r>
          </w:p>
        </w:tc>
      </w:tr>
      <w:tr>
        <w:tc>
          <w:tcPr>
            <w:tcW w:type="dxa" w:w="4997"/>
          </w:tcPr>
          <w:p>
            <w:r>
              <w:rPr>
                <w:b/>
              </w:rPr>
              <w:t>在线发表时间</w:t>
            </w:r>
          </w:p>
        </w:tc>
        <w:tc>
          <w:tcPr>
            <w:tcW w:type="dxa" w:w="4997"/>
          </w:tcPr>
          <w:p>
            <w:r>
              <w:t>2026-09-26</w:t>
            </w:r>
          </w:p>
        </w:tc>
      </w:tr>
      <w:tr>
        <w:tc>
          <w:tcPr>
            <w:tcW w:type="dxa" w:w="4997"/>
          </w:tcPr>
          <w:p>
            <w:r>
              <w:rPr>
                <w:b/>
              </w:rPr>
              <w:t>SSCI分类</w:t>
            </w:r>
          </w:p>
        </w:tc>
        <w:tc>
          <w:tcPr>
            <w:tcW w:type="dxa" w:w="4997"/>
          </w:tcPr>
          <w:p>
            <w:r>
              <w:t>Information Science &amp; Library Science；Management</w:t>
            </w:r>
          </w:p>
        </w:tc>
      </w:tr>
      <w:tr>
        <w:tc>
          <w:tcPr>
            <w:tcW w:type="dxa" w:w="4997"/>
          </w:tcPr>
          <w:p>
            <w:r>
              <w:rPr>
                <w:b/>
              </w:rPr>
              <w:t>论文链接</w:t>
            </w:r>
          </w:p>
        </w:tc>
        <w:tc>
          <w:tcPr>
            <w:tcW w:type="dxa" w:w="4997"/>
          </w:tcPr>
          <w:p>
            <w:hyperlink r:id="rId11">
              <w:r>
                <w:rPr>
                  <w:color w:val="0563C1"/>
                  <w:u w:val="single"/>
                </w:rPr>
                <w:t>https://doi.org/10.1177/20438869261491516</w:t>
              </w:r>
            </w:hyperlink>
          </w:p>
        </w:tc>
      </w:tr>
    </w:tbl>
    <w:p>
      <w:pPr>
        <w:pStyle w:val="Heading3"/>
      </w:pPr>
      <w:r>
        <w:t>研究摘要</w:t>
      </w:r>
    </w:p>
    <w:p>
      <w:r>
        <w:t>本教学案例考察英国时尚零售商Jiband Retail Services Ltd在AI赋能数字化转型中采用人工智能（AI）所伴随的组织文化挑战。为提升效率、决策与竞争力，Jiband引入Microsoft Copilot、AI支持的招聘系统、生产力监控工具、客户服务技术以及决策支持仪表板。这些举措虽带来运营收益，却也造成组织张力，涉及员工抵制、信任、透明度、沟通、协作、人类监督与伦理治理。案例使学生能够运用既有组织文化理论分析AI赋能组织变革，包括Schein文化层次、Handy文化类型、Hofstede组织文化维度与McKinsey 7S框架。案例强调这些理论在解释AI相关组织挑战方面的优势与局限。为弥补这一缺口，案例提出AI赋能组织文化框架（AIOCF），将传统组织文化维度与AI特有维度相结合，包括AI素养、人类监督、AI信任、AI透明度与伦理AI治理，为分析AI赋能组织文化提供实用框架。案例最后提出领导困境，要求学生评估战略选项，并建议Jiband如何在维持组织效能、员工信任与竞争优势的同时，发展负责任的AI赋能组织文化。</w:t>
      </w:r>
    </w:p>
    <w:p>
      <w:pPr>
        <w:pStyle w:val="Heading3"/>
      </w:pPr>
      <w:r>
        <w:t>研究主要内容</w:t>
      </w:r>
    </w:p>
    <w:p>
      <w:r>
        <w:t>该文献是一篇教学案例，而非传统实证研究。案例围绕英国时尚零售商Jiband Retail Services Ltd在AI赋能数字化转型中的组织文化管理展开。公司为提升效率、决策和竞争力，采用Microsoft Copilot、AI招聘系统、生产力监控工具、客服技术和决策支持仪表板。这些AI举措带来运营收益，同时引发员工抵制、信任、透明度、沟通、协作、人类监督和伦理治理等组织张力。案例引导学生使用Schein文化层次、Handy文化类型、Hofstede组织文化维度和McKinsey 7S框架分析AI组织变革，并讨论这些理论的解释力与局限。随后，案例提出AI赋能组织文化框架（AIOCF），整合传统组织文化维度与AI素养、人类监督、AI信任、AI透明度和伦理AI治理等AI特有维度。案例以领导困境收束，要求学生评估战略选项，并建议Jiband如何发展负责任的AI组织文化，同时保持组织效能、员工信任和竞争优势。</w:t>
      </w:r>
    </w:p>
    <w:p>
      <w:pPr>
        <w:pStyle w:val="Heading3"/>
      </w:pPr>
      <w:r>
        <w:t>研究论点</w:t>
      </w:r>
    </w:p>
    <w:p>
      <w:r>
        <w:t>核心主张是：传统组织文化理论虽可用于分析AI赋能组织变革，但不足以充分解释AI adoption带来的独特挑战；因此需要将AI素养、人类监督、AI信任、AI透明度和伦理AI治理等AI特有维度纳入组织文化分析，并提出AIOCF框架。教学案例通过领导困境促使学生权衡组织效能、员工信任与竞争优势，形成负责任的AI组织文化建议。</w:t>
      </w:r>
    </w:p>
    <w:p>
      <w:pPr>
        <w:pStyle w:val="Heading3"/>
      </w:pPr>
      <w:r>
        <w:t>研究问题</w:t>
      </w:r>
    </w:p>
    <w:p>
      <w:r>
        <w:t>摘要未明确陈述研究问题。作为教学案例，其教学任务导向为：让学生运用组织文化理论分析Jiband的AI赋能变革，并围绕案例结尾的领导困境评估战略选项，提出如何发展负责任的AI组织文化。</w:t>
      </w:r>
    </w:p>
    <w:p>
      <w:pPr>
        <w:pStyle w:val="Heading3"/>
      </w:pPr>
      <w:r>
        <w:t>研究方法</w:t>
      </w:r>
    </w:p>
    <w:p>
      <w:r>
        <w:t>研究类型：教学案例（teaching case），不是定量、定性或混合方法的实证研究。样本或参与者：案例对象为英国时尚零售商Jiband Retail Services Ltd；摘要未说明实际参与者、访谈对象、学生样本或教师样本。数据来源：摘要未说明；案例涉及Microsoft Copilot、AI招聘系统、生产力监控工具、客服技术和决策支持仪表板等AI应用。分析方法：摘要未说明实证分析步骤；教学分析框架包括Schein文化层次、Handy文化类型、Hofstede组织文化维度、McKinsey 7S框架，并提出AIOCF概念框架。</w:t>
      </w:r>
    </w:p>
    <w:p>
      <w:pPr>
        <w:pStyle w:val="Heading3"/>
      </w:pPr>
      <w:r>
        <w:t>主要发现</w:t>
      </w:r>
    </w:p>
    <w:p>
      <w:r>
        <w:t>1. 案例中的AI应用旨在提升效率、决策和竞争力，并产生运营收益；同时引发员工抵制、信任、透明度、沟通、协作、人类监督和伦理治理等组织张力。2. 摘要指出，Schein、Handy、Hofstede和McKinsey 7S等既有组织文化理论可用于分析AI赋能组织变革，但在解释AI相关挑战时存在强项和局限；摘要未说明具体实证发现或效应大小。3. 为回应上述局限，案例提出AIOCF，将传统组织文化维度与AI素养、人类监督、AI信任、AI透明度和伦理AI治理等AI特有维度整合；案例以领导困境收束，要求学生评估战略选项并建议如何兼顾组织效能、员工信任与竞争优势。</w:t>
      </w:r>
    </w:p>
    <w:p>
      <w:pPr>
        <w:pStyle w:val="Heading3"/>
      </w:pPr>
      <w:r>
        <w:t>对教师教育研究的启示</w:t>
      </w:r>
    </w:p>
    <w:p>
      <w:r>
        <w:t>该文对学前教育/基础教育及教师教育研究的直接启示有限，因为其情境为英国零售企业的AI赋能组织转型，摘要未涉及学校、教师或学生样本。可借鉴之处主要在研究方法与教学设计：以教学案例方式，将组织文化理论与AI特有维度（AI素养、人类监督、信任、透明度、伦理治理）结合，训练学习者分析AI变革中的伦理与领导困境。若迁移到教师教育，可将其视为概念/教学案例资源，而非实证证据；未来研究可在学前和中小学采用混合方法，收集教师问卷、访谈、课堂观察、AI平台日志等数据，检验AIOCF等框架在学校组织文化、教师数字素养/智能素养和教师角色变革中的适用性。摘要未说明可用于教师教育的实证数据、样本或分析方法。</w:t>
      </w:r>
    </w:p>
    <w:p>
      <w:pPr>
        <w:pStyle w:val="Heading3"/>
      </w:pPr>
      <w:r>
        <w:t>APA引用格式</w:t>
      </w:r>
    </w:p>
    <w:p>
      <w:r>
        <w:t>Oyebisi, D., &amp; Ofori, S. (2026). AI at work: Managing organisational culture in an AI-enabled transformation. Journal of Information Technology Teaching Cases. Advance online publication. https://doi.org/10.1177/20438869261491516</w:t>
      </w:r>
    </w:p>
    <w:p>
      <w:r>
        <w:br w:type="page"/>
      </w:r>
    </w:p>
    <w:p>
      <w:pPr>
        <w:pStyle w:val="Heading2"/>
      </w:pPr>
      <w:r>
        <w:t>4. Reflective freewriting and the irreducibly human in ESL writing pedagogy in the age of generative AI / 生成式人工智能时代ESL写作教学中的反思性自由写作与不可化约的人性</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Reflective freewriting and the irreducibly human in ESL writing pedagogy in the age of generative AI / 生成式人工智能时代ESL写作教学中的反思性自由写作与不可化约的人性</w:t>
            </w:r>
          </w:p>
        </w:tc>
      </w:tr>
      <w:tr>
        <w:tc>
          <w:tcPr>
            <w:tcW w:type="dxa" w:w="4997"/>
          </w:tcPr>
          <w:p>
            <w:r>
              <w:rPr>
                <w:b/>
              </w:rPr>
              <w:t>作者</w:t>
            </w:r>
          </w:p>
        </w:tc>
        <w:tc>
          <w:tcPr>
            <w:tcW w:type="dxa" w:w="4997"/>
          </w:tcPr>
          <w:p>
            <w:r>
              <w:t>Daniela Rothwell（独著）</w:t>
            </w:r>
          </w:p>
        </w:tc>
      </w:tr>
      <w:tr>
        <w:tc>
          <w:tcPr>
            <w:tcW w:type="dxa" w:w="4997"/>
          </w:tcPr>
          <w:p>
            <w:r>
              <w:rPr>
                <w:b/>
              </w:rPr>
              <w:t>期刊及影响因子</w:t>
            </w:r>
          </w:p>
        </w:tc>
        <w:tc>
          <w:tcPr>
            <w:tcW w:type="dxa" w:w="4997"/>
          </w:tcPr>
          <w:p>
            <w:r>
              <w:t>期刊：Journal of Second Language Writing；SSCI分类：English, Linguistics；影响因子：白名单未提供影响因子；分区：白名单未提供JCR分区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1873-1422</w:t>
            </w:r>
          </w:p>
        </w:tc>
      </w:tr>
      <w:tr>
        <w:tc>
          <w:tcPr>
            <w:tcW w:type="dxa" w:w="4997"/>
          </w:tcPr>
          <w:p>
            <w:r>
              <w:rPr>
                <w:b/>
              </w:rPr>
              <w:t>卷期/DOI</w:t>
            </w:r>
          </w:p>
        </w:tc>
        <w:tc>
          <w:tcPr>
            <w:tcW w:type="dxa" w:w="4997"/>
          </w:tcPr>
          <w:p>
            <w:r>
              <w:t>卷期：摘要未说明；DOI：https://doi.org/10.1016/j.jslw.2026.101366</w:t>
            </w:r>
          </w:p>
        </w:tc>
      </w:tr>
      <w:tr>
        <w:tc>
          <w:tcPr>
            <w:tcW w:type="dxa" w:w="4997"/>
          </w:tcPr>
          <w:p>
            <w:r>
              <w:rPr>
                <w:b/>
              </w:rPr>
              <w:t>在线发表时间</w:t>
            </w:r>
          </w:p>
        </w:tc>
        <w:tc>
          <w:tcPr>
            <w:tcW w:type="dxa" w:w="4997"/>
          </w:tcPr>
          <w:p>
            <w:r>
              <w:t>2026-09-24</w:t>
            </w:r>
          </w:p>
        </w:tc>
      </w:tr>
      <w:tr>
        <w:tc>
          <w:tcPr>
            <w:tcW w:type="dxa" w:w="4997"/>
          </w:tcPr>
          <w:p>
            <w:r>
              <w:rPr>
                <w:b/>
              </w:rPr>
              <w:t>SSCI分类</w:t>
            </w:r>
          </w:p>
        </w:tc>
        <w:tc>
          <w:tcPr>
            <w:tcW w:type="dxa" w:w="4997"/>
          </w:tcPr>
          <w:p>
            <w:r>
              <w:t>English；Linguistics</w:t>
            </w:r>
          </w:p>
        </w:tc>
      </w:tr>
      <w:tr>
        <w:tc>
          <w:tcPr>
            <w:tcW w:type="dxa" w:w="4997"/>
          </w:tcPr>
          <w:p>
            <w:r>
              <w:rPr>
                <w:b/>
              </w:rPr>
              <w:t>论文链接</w:t>
            </w:r>
          </w:p>
        </w:tc>
        <w:tc>
          <w:tcPr>
            <w:tcW w:type="dxa" w:w="4997"/>
          </w:tcPr>
          <w:p>
            <w:hyperlink r:id="rId12">
              <w:r>
                <w:rPr>
                  <w:color w:val="0563C1"/>
                  <w:u w:val="single"/>
                </w:rPr>
                <w:t>https://doi.org/10.1016/j.jslw.2026.101366</w:t>
              </w:r>
            </w:hyperlink>
          </w:p>
        </w:tc>
      </w:tr>
    </w:tbl>
    <w:p>
      <w:pPr>
        <w:pStyle w:val="Heading3"/>
      </w:pPr>
      <w:r>
        <w:t>研究摘要</w:t>
      </w:r>
    </w:p>
    <w:p>
      <w:r>
        <w:t>反思性自由写作（reflective freewriting）在ESL写作教学中占有独特位置，它是一种低风险的探索性实践，学习者在被评价性要求塑形之前，先用语言表达尚处于尝试阶段的思考。生成式人工智能（GenAI）快速融入第二语言（L2）写作，如今有可能把反思性自由写作吸纳进一个更广泛的AI中介产出体制之中，使反思沦为又一种可被生成、润色或摘要的输出。本文主张，这种损失不仅是教学论意义上的，更是本体论意义上的。文章借助Biesta的主体化（subjectification）理论，将反思性自由写作概念化为“主体化写作”，它是对世界进行存在性遭遇的场所，学习者在此以自己的名义用语言作出回应。文章提出“算法性封闭”（algorithmic foreclosure）这一构念，用以描述GenAI系统短路这种存在性回应的结构性倾向，即以生成文本替代主体化那项未确定的工作。上述两个构念共同支持了一项主张：在L2写作教学中，应把反思性自由写作作为一种非AI中介的空间加以保护。</w:t>
      </w:r>
    </w:p>
    <w:p>
      <w:pPr>
        <w:pStyle w:val="Heading3"/>
      </w:pPr>
      <w:r>
        <w:t>研究主要内容</w:t>
      </w:r>
    </w:p>
    <w:p>
      <w:r>
        <w:t>本文是一篇理论/概念性论文，关注生成式人工智能（GenAI）进入第二语言写作教学后，对“反思性自由写作”这一实践所造成的冲击。作者首先界定反思性自由写作是低风险、探索性的写作活动，其价值在于学习者可在未受评价压力塑造之前，表达尚未定型的、尝试性的思考。随后指出，GenAI被快速整合进L2写作教学，可能将反思性写作纳入由AI中介的产出链条，使“反思”变成又一项只需要生成、润色或摘要的任务。作者进一步认为，这一损失不止于教学层面，而具有本体论意义：即触及学习者作为主体如何通过语言回应世界的问题。为论证这一点，文章引入Biesta的主体化理论，把反思性自由写作界定为“主体化写作”；并新造“算法性封闭”这一构念，描述GenAI系统以生成文本替代主体化之未确定性工作的结构性倾向。结论主张将反思性自由写作保留为L2写作教学中不受AI中介的保护性空间。需要说明的是，摘要未说明本文是否包含任何实证数据、样本或具体教学场域（如学前教育、小学或初中），其论证主要以理论建构与概念辨析展开。</w:t>
      </w:r>
    </w:p>
    <w:p>
      <w:pPr>
        <w:pStyle w:val="Heading3"/>
      </w:pPr>
      <w:r>
        <w:t>研究论点</w:t>
      </w:r>
    </w:p>
    <w:p>
      <w:r>
        <w:t>核心论点：GenAI融入L2写作教学对反思性自由写作的侵蚀，不仅是教学法层面的问题，更是本体论层面的问题；反思性自由写作是学习者以自己的名义进行存在性回应的“主体化写作”场所，而GenAI系统具有以生成文本短路这种回应的结构性倾向（即“算法性封闭”），因此应把反思性自由写作作为一种非AI中介的空间在L2写作教学中加以保护。</w:t>
      </w:r>
    </w:p>
    <w:p>
      <w:pPr>
        <w:pStyle w:val="Heading3"/>
      </w:pPr>
      <w:r>
        <w:t>研究问题</w:t>
      </w:r>
    </w:p>
    <w:p>
      <w:r>
        <w:t>摘要未明确列出研究问题。从论证脉络可推断其核心追问为：生成式AI融入L2写作教学后，反思性自由写作的存在价值与本体论意义何在，以及为何需要将其保护为非AI中介的空间；但摘要未以研究问题的形式明确表述。</w:t>
      </w:r>
    </w:p>
    <w:p>
      <w:pPr>
        <w:pStyle w:val="Heading3"/>
      </w:pPr>
      <w:r>
        <w:t>研究方法</w:t>
      </w:r>
    </w:p>
    <w:p>
      <w:r>
        <w:t>研究类型：理论/概念性论文（conceptual/theoretical article），非定量、非定性、非混合方法的实证研究。样本或参与者：摘要未说明（无参与者）。数据来源：摘要未说明实证数据来源，论证所依据的是理论资源，主要为Biesta的主体化（subjectification）理论，以及作者自建的“算法性封闭”（algorithmic foreclosure）构念。分析方法：摘要未说明具体的分析程序或编码、统计方法，全文以概念界定、理论推演与论证（case-building）方式展开，而非数据分析。教育阶段：摘要未说明所涉具体学段（未提及学前教育、小学或初中），语境为ESL/L2写作教学。</w:t>
      </w:r>
    </w:p>
    <w:p>
      <w:pPr>
        <w:pStyle w:val="Heading3"/>
      </w:pPr>
      <w:r>
        <w:t>主要发现</w:t>
      </w:r>
    </w:p>
    <w:p>
      <w:r>
        <w:t>['反思性自由写作被界定为ESL写作教学中的低风险、探索性实践，其关键价值在于学习者能在评价性要求介入之前，以自己的语言表达尚未定型的尝试性思考，因而构成一种“主体化写作”。', 'GenAI被快速整合进L2写作之后，存在把反思性自由写作吸纳进AI中介产出体制的风险，使反思被降格为可被生成、润色或摘要的又一项输出；作者认为这一损失不仅是教学论的，也是本体论的。', '文章提出“算法性封闭”构念，指称GenAI系统具有以生成文本替代主体化之未确定工作的结构性倾向，并据此主张在L2写作教学中把反思性自由写作保留为受保护的非AI中介空间。']</w:t>
      </w:r>
    </w:p>
    <w:p>
      <w:pPr>
        <w:pStyle w:val="Heading3"/>
      </w:pPr>
      <w:r>
        <w:t>对教师教育研究的启示</w:t>
      </w:r>
    </w:p>
    <w:p>
      <w:r>
        <w:t>1）前沿主题提示：该文把GenAI与写作教学的讨论从“效率与产出”推进到“主体化与本体论”层面，提出“算法性封闭”这一可迁移的分析构念，教师教育研究可据此反思：在什么教学环节应保留不接入AI的写作与反思空间，以及“非AI中介空间”如何被设计、被保护。2）研究设计提示：本文属概念/理论建构型研究，摘要未提供任何样本、数据收集或分析方法，也未给出实证证据，因此其主张尚待实证检验；后续研究可结合设计研究、课堂个案或纵向追踪，检验反思性自由写作在GenAI介入下的变化。3）数据收集与分析提示：因摘要未说明数据来源与方法，无法直接借鉴其数据路径；若开展相关研究，需自行明确参与者（如师范生、在职教师）、数据来源（如写作文本、反思日志、课堂观察、访谈）与分析策略（如质性内容分析、话语分析），并在研究问题中把“AI中介/非AI中介”作为可操作变量。4）学段适配提示：摘要未说明是否涉及学前教育或基础教育（小学、初中）阶段，指向的是ESL/L2写作教学语境，向基础教育与教师培训迁移时需额外论证其适切性。</w:t>
      </w:r>
    </w:p>
    <w:p>
      <w:pPr>
        <w:pStyle w:val="Heading3"/>
      </w:pPr>
      <w:r>
        <w:t>APA引用格式</w:t>
      </w:r>
    </w:p>
    <w:p>
      <w:r>
        <w:t>Rothwell, D. (2026). Reflective freewriting and the irreducibly human in ESL writing pedagogy in the age of generative AI. Journal of Second Language Writing. https://doi.org/10.1016/j.jslw.2026.101366</w:t>
      </w:r>
    </w:p>
    <w:p>
      <w:r>
        <w:br w:type="page"/>
      </w:r>
    </w:p>
    <w:p>
      <w:pPr>
        <w:pStyle w:val="Heading2"/>
      </w:pPr>
      <w:r>
        <w:t>5. Learning through uncertainty: opportunities for teacher growth in inquiry-based mathematics instruction / 在不确定性中学习：探究式数学教学中的教师成长机会</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Learning through uncertainty: opportunities for teacher growth in inquiry-based mathematics instruction / 在不确定性中学习：探究式数学教学中的教师成长机会</w:t>
            </w:r>
          </w:p>
        </w:tc>
      </w:tr>
      <w:tr>
        <w:tc>
          <w:tcPr>
            <w:tcW w:type="dxa" w:w="4997"/>
          </w:tcPr>
          <w:p>
            <w:r>
              <w:rPr>
                <w:b/>
              </w:rPr>
              <w:t>作者</w:t>
            </w:r>
          </w:p>
        </w:tc>
        <w:tc>
          <w:tcPr>
            <w:tcW w:type="dxa" w:w="4997"/>
          </w:tcPr>
          <w:p>
            <w:r>
              <w:t>Tuval Avishai, Alik Palatnik, Yifat Ben‐David Kolikant</w:t>
            </w:r>
          </w:p>
        </w:tc>
      </w:tr>
      <w:tr>
        <w:tc>
          <w:tcPr>
            <w:tcW w:type="dxa" w:w="4997"/>
          </w:tcPr>
          <w:p>
            <w:r>
              <w:rPr>
                <w:b/>
              </w:rPr>
              <w:t>期刊及影响因子</w:t>
            </w:r>
          </w:p>
        </w:tc>
        <w:tc>
          <w:tcPr>
            <w:tcW w:type="dxa" w:w="4997"/>
          </w:tcPr>
          <w:p>
            <w:r>
              <w:t>期刊：Educational Studies in Mathematics；SSCI分类：Education &amp; Educational Research, English；影响因子/分区：白名单未提供影响因子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1573-0816</w:t>
            </w:r>
          </w:p>
        </w:tc>
      </w:tr>
      <w:tr>
        <w:tc>
          <w:tcPr>
            <w:tcW w:type="dxa" w:w="4997"/>
          </w:tcPr>
          <w:p>
            <w:r>
              <w:rPr>
                <w:b/>
              </w:rPr>
              <w:t>卷期/DOI</w:t>
            </w:r>
          </w:p>
        </w:tc>
        <w:tc>
          <w:tcPr>
            <w:tcW w:type="dxa" w:w="4997"/>
          </w:tcPr>
          <w:p>
            <w:r>
              <w:t>卷期未提供；DOI: https://doi.org/10.1007/s10649-026-10560-y</w:t>
            </w:r>
          </w:p>
        </w:tc>
      </w:tr>
      <w:tr>
        <w:tc>
          <w:tcPr>
            <w:tcW w:type="dxa" w:w="4997"/>
          </w:tcPr>
          <w:p>
            <w:r>
              <w:rPr>
                <w:b/>
              </w:rPr>
              <w:t>在线发表时间</w:t>
            </w:r>
          </w:p>
        </w:tc>
        <w:tc>
          <w:tcPr>
            <w:tcW w:type="dxa" w:w="4997"/>
          </w:tcPr>
          <w:p>
            <w:r>
              <w:t>2026-09-25</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3">
              <w:r>
                <w:rPr>
                  <w:color w:val="0563C1"/>
                  <w:u w:val="single"/>
                </w:rPr>
                <w:t>https://doi.org/10.1007/s10649-026-10560-y</w:t>
              </w:r>
            </w:hyperlink>
          </w:p>
        </w:tc>
      </w:tr>
    </w:tbl>
    <w:p>
      <w:pPr>
        <w:pStyle w:val="Heading3"/>
      </w:pPr>
      <w:r>
        <w:t>研究摘要</w:t>
      </w:r>
    </w:p>
    <w:p>
      <w:r>
        <w:t>本研究考察数学教师在转向探究式教学时如何经历、应对并通过不确定性进行学习。基于三个年度 Practimatics——一个支持这一教学转型的专业发展项目——队列的数据，研究识别出三种相互关联的不确定性：(1) 数学内容不确定性，即学生探究走向未预期的方向；(2) 过程相关不确定性，源于学生进步的不均衡和非线性；(3) 角色相关不确定性，涉及如何组织探索、维持参与以及在自主与指导之间取得平衡的困境。教师通过一系列策略应对这些挑战：有时试图通过预期准备、规划和学习新内容来遏制不确定性，有时则通过承认知识缺口和采取共同学习立场来拥抱不确定性。参与不确定性伴随着多个领域的教师成长机会：数学与教学知识的扩展、对新教学实践的尝试、促进实践的改进，以及对教学与学习信念的挑战或精炼。通过追踪不确定性及其管理方式，本研究有助于将不确定性理论化为迈向雄心勃勃、以学生为中心教学的教学转变的构成性条件，并为在这些情境中合法化并支持教师建设性参与不确定性的专业发展设计提供启示。</w:t>
      </w:r>
    </w:p>
    <w:p>
      <w:pPr>
        <w:pStyle w:val="Heading3"/>
      </w:pPr>
      <w:r>
        <w:t>研究主要内容</w:t>
      </w:r>
    </w:p>
    <w:p>
      <w:r>
        <w:t>论文聚焦数学教师在转向探究式教学时所经历的不确定性，以及教师如何应对这种不确定性并获得专业成长。研究基于 Practimatics 专业发展项目三个年度队列的数据，识别出数学内容、教学过程和教师角色三类不确定性。教师有时通过预期准备、规划和补充学科内容来遏制不确定性，有时则通过承认自身知识缺口、采取与学生共同学习的立场来拥抱不确定性。论文进一步将不确定性管理与教师成长联系起来，包括数学与教学知识扩展、尝试新教学实践、改进促进实践以及反思和调整教学信念。其核心贡献在于把不确定性视为教学转型的构成性条件，而非单纯障碍，并据此讨论专业发展设计如何合法化并支持教师建设性参与不确定性。</w:t>
      </w:r>
    </w:p>
    <w:p>
      <w:pPr>
        <w:pStyle w:val="Heading3"/>
      </w:pPr>
      <w:r>
        <w:t>研究论点</w:t>
      </w:r>
    </w:p>
    <w:p>
      <w:r>
        <w:t>论文的核心论点是：在转向探究式、以学生为中心的数学教学过程中，不确定性不是需要被消除的偶发障碍，而是教学转变的构成性条件。教师若能在专业发展支持下识别、管理并反思数学内容、教学过程和角色定位方面的不确定性，就可能获得知识、实践和信念层面的成长。因此，专业发展项目应合法化并支持教师对不确定性的建设性参与。</w:t>
      </w:r>
    </w:p>
    <w:p>
      <w:pPr>
        <w:pStyle w:val="Heading3"/>
      </w:pPr>
      <w:r>
        <w:t>研究问题</w:t>
      </w:r>
    </w:p>
    <w:p>
      <w:r>
        <w:t>摘要未明确列出研究问题。研究目的可概括为：考察数学教师在转向探究式教学时如何经历、应对并通过不确定性进行学习，以及不确定性如何被管理并与教师成长相关联。</w:t>
      </w:r>
    </w:p>
    <w:p>
      <w:pPr>
        <w:pStyle w:val="Heading3"/>
      </w:pPr>
      <w:r>
        <w:t>研究方法</w:t>
      </w:r>
    </w:p>
    <w:p>
      <w:r>
        <w:t>研究类型：实证研究，基于专业发展项目三个年度队列的数据；但摘要未说明是定量、定性还是混合方法。样本/参与者：三个年度参与 Practimatics 专业发展项目的数学教师队列；具体人数、学段、地区、教学经验等摘要未说明。数据来源：来自三个年度 Practimatics 队列的数据；具体数据形式（如访谈、课堂观察、录像、反思日志、问卷等）摘要未说明。分析方法：摘要未说明。</w:t>
      </w:r>
    </w:p>
    <w:p>
      <w:pPr>
        <w:pStyle w:val="Heading3"/>
      </w:pPr>
      <w:r>
        <w:t>主要发现</w:t>
      </w:r>
    </w:p>
    <w:p>
      <w:r>
        <w:t>1. 研究识别出三种相互关联的不确定性：数学内容不确定性，即学生探究走向未预期方向；过程相关不确定性，源于学生进步的不均衡和非线性；角色相关不确定性，涉及组织探索、维持参与以及平衡自主与指导的困境。2. 教师采用多类应对策略：有时通过预期准备、规划和学习新内容来遏制不确定性；有时通过承认知识缺口和采取共同学习立场来拥抱不确定性。3. 参与不确定性与教师成长机会相关：包括数学与教学知识扩展、尝试新教学实践、改进促进实践，以及挑战或精炼关于教学与学习的信念。</w:t>
      </w:r>
    </w:p>
    <w:p>
      <w:pPr>
        <w:pStyle w:val="Heading3"/>
      </w:pPr>
      <w:r>
        <w:t>对教师教育研究的启示</w:t>
      </w:r>
    </w:p>
    <w:p>
      <w:r>
        <w:t>对教师教育研究而言，该文提示应把“不确定性”作为探究式、以学生为中心教学转型的核心研究对象，关注教师经历、应对策略与专业成长之间的关系。研究设计上，摘要显示其基于专业发展项目三个年度队列的数据，但未说明具体研究类型、样本量、数据形式与分析方法；后续研究应明确报告这些方法学信息。数据收集可追踪教师在数学内容、教学过程和角色定位上的不确定情境及管理策略。教师教育项目设计应合法化不确定性，提供预期准备、规划、内容学习和共学等支持，帮助教师将不确定性转化为知识、实践与信念发展的机会。</w:t>
      </w:r>
    </w:p>
    <w:p>
      <w:pPr>
        <w:pStyle w:val="Heading3"/>
      </w:pPr>
      <w:r>
        <w:t>APA引用格式</w:t>
      </w:r>
    </w:p>
    <w:p>
      <w:r>
        <w:t>Avishai, T., Palatnik, A., &amp; Ben-David Kolikant, Y. (2026). Learning through uncertainty: Opportunities for teacher growth in inquiry-based mathematics instruction. Educational Studies in Mathematics. https://doi.org/10.1007/s10649-026-10560-y</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91.09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16/j.actpsy.2026.107878" TargetMode="External"/><Relationship Id="rId10" Type="http://schemas.openxmlformats.org/officeDocument/2006/relationships/hyperlink" Target="https://doi.org/10.1016/j.ijer.2026.103128" TargetMode="External"/><Relationship Id="rId11" Type="http://schemas.openxmlformats.org/officeDocument/2006/relationships/hyperlink" Target="https://doi.org/10.1177/20438869261491516" TargetMode="External"/><Relationship Id="rId12" Type="http://schemas.openxmlformats.org/officeDocument/2006/relationships/hyperlink" Target="https://doi.org/10.1016/j.jslw.2026.101366" TargetMode="External"/><Relationship Id="rId13" Type="http://schemas.openxmlformats.org/officeDocument/2006/relationships/hyperlink" Target="https://doi.org/10.1007/s10649-026-10560-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