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每日SSCI文献简报｜2026-10-29</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2026-10-29 11:15:16（北京时间）</w:t>
            </w:r>
          </w:p>
        </w:tc>
      </w:tr>
      <w:tr>
        <w:tc>
          <w:tcPr>
            <w:tcW w:type="dxa" w:w="4997"/>
          </w:tcPr>
          <w:p>
            <w:r>
              <w:rPr>
                <w:b/>
              </w:rPr>
              <w:t>检索窗口</w:t>
            </w:r>
          </w:p>
        </w:tc>
        <w:tc>
          <w:tcPr>
            <w:tcW w:type="dxa" w:w="4997"/>
          </w:tcPr>
          <w:p>
            <w:r>
              <w:t>2023-10-30 — 2026-10-29</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今日文献共同聚焦AI/LLM如何重构教育研究方法与教学实践：从观察框架比较、儿童长时录音自动转写，到LLM提示设计与编程教学模型，均强调技术效用取决于教学法编排、人机协作与伦理治理，而非工具本身。</w:t>
      </w:r>
    </w:p>
    <w:p>
      <w:pPr>
        <w:pStyle w:val="Heading1"/>
      </w:pPr>
      <w:r>
        <w:t>目录</w:t>
      </w:r>
    </w:p>
    <w:p>
      <w:pPr>
        <w:pStyle w:val="ListNumber"/>
      </w:pPr>
      <w:r>
        <w:rPr>
          <w:b/>
        </w:rPr>
        <w:t>系统比较观察框架如何分解教学：NICE模型</w:t>
      </w:r>
      <w:r>
        <w:t>｜Studies In Educational Evaluation｜2026-10-27</w:t>
      </w:r>
    </w:p>
    <w:p>
      <w:pPr>
        <w:pStyle w:val="ListNumber"/>
      </w:pPr>
      <w:r>
        <w:rPr>
          <w:b/>
        </w:rPr>
        <w:t>教育中的人工智能：现代教学方法与发展机遇</w:t>
      </w:r>
      <w:r>
        <w:t>｜Zenodo (CERN European Organization for Nuclear Research)｜2026-10-27</w:t>
      </w:r>
    </w:p>
    <w:p>
      <w:pPr>
        <w:pStyle w:val="ListNumber"/>
      </w:pPr>
      <w:r>
        <w:rPr>
          <w:b/>
        </w:rPr>
        <w:t>实现真实环境儿童中心长时录音的自动转写</w:t>
      </w:r>
      <w:r>
        <w:t>｜Behavior Research Methods｜2026-10-27</w:t>
      </w:r>
    </w:p>
    <w:p>
      <w:pPr>
        <w:pStyle w:val="ListNumber"/>
      </w:pPr>
      <w:r>
        <w:rPr>
          <w:b/>
        </w:rPr>
        <w:t>推进B2B市场研究中的价值创造：面向大语言模型的人机协作框架</w:t>
      </w:r>
      <w:r>
        <w:t>｜Journal of Business &amp;amp; Industrial Marketing｜2026-10-29</w:t>
      </w:r>
    </w:p>
    <w:p>
      <w:pPr>
        <w:pStyle w:val="ListNumber"/>
      </w:pPr>
      <w:r>
        <w:rPr>
          <w:b/>
        </w:rPr>
        <w:t>大语言模型辅助的现代编程教学模型：LLM时代编程教学的一种视角</w:t>
      </w:r>
      <w:r>
        <w:t>｜Frontiers in Artificial Intelligence｜2026-10-28</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A systematic approach to comparing how observation frameworks decompose teaching: The NICE model / 系统比较观察框架如何分解教学：NICE模型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 systematic approach to comparing how observation frameworks decompose teaching: The NICE model / 系统比较观察框架如何分解教学：NICE模型</w:t>
            </w:r>
          </w:p>
        </w:tc>
      </w:tr>
      <w:tr>
        <w:tc>
          <w:tcPr>
            <w:tcW w:type="dxa" w:w="4997"/>
          </w:tcPr>
          <w:p>
            <w:r>
              <w:rPr>
                <w:b/>
              </w:rPr>
              <w:t>作者</w:t>
            </w:r>
          </w:p>
        </w:tc>
        <w:tc>
          <w:tcPr>
            <w:tcW w:type="dxa" w:w="4997"/>
          </w:tcPr>
          <w:p>
            <w:r>
              <w:t>Mark White, Florence Ligozat, Yoann Buyck, Xiangyuan Feng, Kirsti Klette, Ridwan Maulana</w:t>
            </w:r>
          </w:p>
        </w:tc>
      </w:tr>
      <w:tr>
        <w:tc>
          <w:tcPr>
            <w:tcW w:type="dxa" w:w="4997"/>
          </w:tcPr>
          <w:p>
            <w:r>
              <w:rPr>
                <w:b/>
              </w:rPr>
              <w:t>期刊及影响因子</w:t>
            </w:r>
          </w:p>
        </w:tc>
        <w:tc>
          <w:tcPr>
            <w:tcW w:type="dxa" w:w="4997"/>
          </w:tcPr>
          <w:p>
            <w:r>
              <w:t>SSCI分类：English, Interdisciplinary, Social Sciences；白名单未提供影响因子；白名单未提供JCR分区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w:t>
            </w:r>
          </w:p>
        </w:tc>
      </w:tr>
      <w:tr>
        <w:tc>
          <w:tcPr>
            <w:tcW w:type="dxa" w:w="4997"/>
          </w:tcPr>
          <w:p>
            <w:r>
              <w:rPr>
                <w:b/>
              </w:rPr>
              <w:t>卷期/DOI</w:t>
            </w:r>
          </w:p>
        </w:tc>
        <w:tc>
          <w:tcPr>
            <w:tcW w:type="dxa" w:w="4997"/>
          </w:tcPr>
          <w:p>
            <w:r>
              <w:t>卷期：元数据未提供；DOI：https://doi.org/10.1016/j.stueduc.2026.101697</w:t>
            </w:r>
          </w:p>
        </w:tc>
      </w:tr>
      <w:tr>
        <w:tc>
          <w:tcPr>
            <w:tcW w:type="dxa" w:w="4997"/>
          </w:tcPr>
          <w:p>
            <w:r>
              <w:rPr>
                <w:b/>
              </w:rPr>
              <w:t>在线发表时间</w:t>
            </w:r>
          </w:p>
        </w:tc>
        <w:tc>
          <w:tcPr>
            <w:tcW w:type="dxa" w:w="4997"/>
          </w:tcPr>
          <w:p>
            <w:r>
              <w:t>2026-10-27（元数据发表日期）</w:t>
            </w:r>
          </w:p>
        </w:tc>
      </w:tr>
      <w:tr>
        <w:tc>
          <w:tcPr>
            <w:tcW w:type="dxa" w:w="4997"/>
          </w:tcPr>
          <w:p>
            <w:r>
              <w:rPr>
                <w:b/>
              </w:rPr>
              <w:t>SSCI分类</w:t>
            </w:r>
          </w:p>
        </w:tc>
        <w:tc>
          <w:tcPr>
            <w:tcW w:type="dxa" w:w="4997"/>
          </w:tcPr>
          <w:p>
            <w:r>
              <w:t>English；Interdisciplinary；Social Sciences</w:t>
            </w:r>
          </w:p>
        </w:tc>
      </w:tr>
      <w:tr>
        <w:tc>
          <w:tcPr>
            <w:tcW w:type="dxa" w:w="4997"/>
          </w:tcPr>
          <w:p>
            <w:r>
              <w:rPr>
                <w:b/>
              </w:rPr>
              <w:t>论文链接</w:t>
            </w:r>
          </w:p>
        </w:tc>
        <w:tc>
          <w:tcPr>
            <w:tcW w:type="dxa" w:w="4997"/>
          </w:tcPr>
          <w:p>
            <w:hyperlink r:id="rId9">
              <w:r>
                <w:rPr>
                  <w:color w:val="0563C1"/>
                  <w:u w:val="single"/>
                </w:rPr>
                <w:t>https://doi.org/10.1016/j.stueduc.2026.101697</w:t>
              </w:r>
            </w:hyperlink>
          </w:p>
        </w:tc>
      </w:tr>
    </w:tbl>
    <w:p>
      <w:pPr>
        <w:pStyle w:val="Heading3"/>
      </w:pPr>
      <w:r>
        <w:t>研究摘要</w:t>
      </w:r>
    </w:p>
    <w:p>
      <w:r>
        <w:t>论文提出NICE（Noticing, Interpreting, and Combining Evidence）模型，用于系统比较不同课堂观察框架的条目：课堂事件被注意什么、如何解释、以及解释后如何聚合为总结编码或分数。作者用该模型比较PLATO、JAD-MTQ和ICALT，并借助北欧初中数学与语言艺术课例进行分析，发现三个框架在分解和理解教学实践上既有相似也有差异。</w:t>
      </w:r>
    </w:p>
    <w:p>
      <w:pPr>
        <w:pStyle w:val="Heading3"/>
      </w:pPr>
      <w:r>
        <w:t>研究主要内容</w:t>
      </w:r>
    </w:p>
    <w:p>
      <w:r>
        <w:t>论文针对观察性评估教学的兴趣增长与观察框架激增，提出NICE模型作为跨框架比较工具。NICE将比较分为三步：第一，框架注意或关注哪些课堂事件；第二，框架如何解释这些课堂事件；第三，解释后的课堂事件如何被聚合成总结编码或分数。论文用NICE比较PLATO、JAD-MTQ和ICALT三个观察框架的条目，并使用北欧初中数学和语言艺术课例作为比较情境。结果显示，三个框架在如何分解和理解教学实践上既有相似也有差异，NICE能够提供系统且细致的跨框架比较方式。</w:t>
      </w:r>
    </w:p>
    <w:p>
      <w:pPr>
        <w:pStyle w:val="Heading3"/>
      </w:pPr>
      <w:r>
        <w:t>研究论点</w:t>
      </w:r>
    </w:p>
    <w:p>
      <w:r>
        <w:t>论文的核心主张是：随着观察评估教学的兴趣增长和观察框架增多，需要一种系统方法比较不同框架；NICE通过注意、解释和组合证据三步，揭示不同框架如何分解教学，从而避免把不同框架的条目和分数简单视为等价。</w:t>
      </w:r>
    </w:p>
    <w:p>
      <w:pPr>
        <w:pStyle w:val="Heading3"/>
      </w:pPr>
      <w:r>
        <w:t>研究问题</w:t>
      </w:r>
    </w:p>
    <w:p>
      <w:r>
        <w:t>摘要未明确列出研究问题；可归纳为：如何用NICE模型系统比较不同课堂观察框架对教学的分解方式，以及PLATO、JAD-MTQ、ICALT在注意课堂事件、解释课堂事件和聚合证据三步上有何异同？</w:t>
      </w:r>
    </w:p>
    <w:p>
      <w:pPr>
        <w:pStyle w:val="Heading3"/>
      </w:pPr>
      <w:r>
        <w:t>研究方法</w:t>
      </w:r>
    </w:p>
    <w:p>
      <w:r>
        <w:t>研究类型：摘要未明确标注为定量、定性或混合研究；从摘要看属于观察框架的系统比较/方法学研究。样本或参与者：使用北欧初中（lower secondary）数学与语言艺术课堂课例，具体学校、教师、学生数量及抽样方式摘要未说明。数据来源：PLATO、JAD-MTQ、ICALT三个观察框架的条目，以及北欧初中数学和语言艺术课例。分析方法：提出NICE模型，并按三步比较框架条目：1）课堂事件被注意或关注什么；2）课堂事件如何被解释；3）解释后的事件如何聚合为总结编码或分数；具体统计或质性分析程序摘要未说明。</w:t>
      </w:r>
    </w:p>
    <w:p>
      <w:pPr>
        <w:pStyle w:val="Heading3"/>
      </w:pPr>
      <w:r>
        <w:t>主要发现</w:t>
      </w:r>
    </w:p>
    <w:p>
      <w:r>
        <w:t>['NICE模型能够对来自不同观察框架的条目进行系统且细致的比较，比较覆盖注意课堂事件、解释课堂事件、聚合解释后事件为总结编码或分数三个步骤。', 'PLATO、JAD-MTQ与ICALT在如何分解和理解教学实践上既存在相似之处，也存在差异。', '论文使用北欧初中数学和语言艺术课例开展比较，说明跨框架比较需同时考虑学科课例与框架的条目设计；具体差异细节摘要未展开。']</w:t>
      </w:r>
    </w:p>
    <w:p>
      <w:pPr>
        <w:pStyle w:val="Heading3"/>
      </w:pPr>
      <w:r>
        <w:t>对教师教育研究的启示</w:t>
      </w:r>
    </w:p>
    <w:p>
      <w:r>
        <w:t>['课堂观察框架不是可直接互换的测量工具；教师教育研究在使用PLATO、ICALT等工具评价教学或设计教师培训时，应说明框架关注哪些课堂事件、如何解释事件以及如何聚合为分数。', '研究设计可借鉴NICE的三步比较逻辑，开展跨框架、跨学科课例的比较研究，尤其要报告课例学段、学科、样本来源和数据收集程序。', '数据收集上，应将观察框架条目与具体课堂课例（如数学、语言艺术）匹配；分析方法上，可先用NICE拆解条目，再比较框架在注意、解释和聚合证据上的异同。', '对教师评价与教师专业发展，NICE有助于提升观察工具选择的透明度和结果解释的审慎性；但其在学前教育及AI教学应用中的适用性摘要未说明。']</w:t>
      </w:r>
    </w:p>
    <w:p>
      <w:pPr>
        <w:pStyle w:val="Heading3"/>
      </w:pPr>
      <w:r>
        <w:t>APA引用格式</w:t>
      </w:r>
    </w:p>
    <w:p>
      <w:r>
        <w:t>White, M., Ligozat, F., Buyck, Y., Feng, X., Klette, K., &amp; Maulana, R. (2026). A systematic approach to comparing how observation frameworks decompose teaching: The NICE model. Studies in Educational Evaluation. https://doi.org/10.1016/j.stueduc.2026.101697</w:t>
      </w:r>
    </w:p>
    <w:p>
      <w:r>
        <w:br w:type="page"/>
      </w:r>
    </w:p>
    <w:p>
      <w:pPr>
        <w:pStyle w:val="Heading2"/>
      </w:pPr>
      <w:r>
        <w:t>2. ARTIFICIAL INTELLIGENCE IN EDUCATION: MODERN TEACHING METHODS AND OPPORTUNITIES FOR DEVELOPMENT / 教育中的人工智能：现代教学方法与发展机遇</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IN EDUCATION: MODERN TEACHING METHODS AND OPPORTUNITIES FOR DEVELOPMENT / 教育中的人工智能：现代教学方法与发展机遇</w:t>
            </w:r>
          </w:p>
        </w:tc>
      </w:tr>
      <w:tr>
        <w:tc>
          <w:tcPr>
            <w:tcW w:type="dxa" w:w="4997"/>
          </w:tcPr>
          <w:p>
            <w:r>
              <w:rPr>
                <w:b/>
              </w:rPr>
              <w:t>作者</w:t>
            </w:r>
          </w:p>
        </w:tc>
        <w:tc>
          <w:tcPr>
            <w:tcW w:type="dxa" w:w="4997"/>
          </w:tcPr>
          <w:p>
            <w:r>
              <w:t>Aliashrafova, R.; Abdurahmanov, N.; Aghammadova, G.</w:t>
            </w:r>
          </w:p>
        </w:tc>
      </w:tr>
      <w:tr>
        <w:tc>
          <w:tcPr>
            <w:tcW w:type="dxa" w:w="4997"/>
          </w:tcPr>
          <w:p>
            <w:r>
              <w:rPr>
                <w:b/>
              </w:rPr>
              <w:t>期刊及影响因子</w:t>
            </w:r>
          </w:p>
        </w:tc>
        <w:tc>
          <w:tcPr>
            <w:tcW w:type="dxa" w:w="4997"/>
          </w:tcPr>
          <w:p>
            <w:r>
              <w:t>期刊/平台：Zenodo (CERN European Organization for Nuclear Research)；影响因子：白名单未提供；JCR分区：白名单未提供；元数据标注SSCI分类：Management。注：Zenodo为开放存储库。</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卷期：摘要未说明；DOI：https://doi.org/10.5281/zenodo.23697600</w:t>
            </w:r>
          </w:p>
        </w:tc>
      </w:tr>
      <w:tr>
        <w:tc>
          <w:tcPr>
            <w:tcW w:type="dxa" w:w="4997"/>
          </w:tcPr>
          <w:p>
            <w:r>
              <w:rPr>
                <w:b/>
              </w:rPr>
              <w:t>在线发表时间</w:t>
            </w:r>
          </w:p>
        </w:tc>
        <w:tc>
          <w:tcPr>
            <w:tcW w:type="dxa" w:w="4997"/>
          </w:tcPr>
          <w:p>
            <w:r>
              <w:t>2026-10-27</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https://doi.org/10.5281/zenodo.23697600</w:t>
              </w:r>
            </w:hyperlink>
          </w:p>
        </w:tc>
      </w:tr>
    </w:tbl>
    <w:p>
      <w:pPr>
        <w:pStyle w:val="Heading3"/>
      </w:pPr>
      <w:r>
        <w:t>研究摘要</w:t>
      </w:r>
    </w:p>
    <w:p>
      <w:r>
        <w:t>该文指出人工智能技术快速发展，需要重新审视教育内容与组织形式。文章综述AI在教育中的应用研究，并比较自适应学习、智能导师系统、生成式AI支持、学习分析和形成性评价等现代教学方法。摘要强调，AI的教学有效性更多取决于使用目的、教师角色及其与伦理框架的契合程度，而非技术本身。针对阿塞拜疆，文章评估语言资源、教师专业培训和制度支持等限制，并提出五项负责任实施AI的建议。</w:t>
      </w:r>
    </w:p>
    <w:p>
      <w:pPr>
        <w:pStyle w:val="Heading3"/>
      </w:pPr>
      <w:r>
        <w:t>研究主要内容</w:t>
      </w:r>
    </w:p>
    <w:p>
      <w:r>
        <w:t>论文围绕AI在教育中的现代教学方法展开文献综述与比较分析，重点讨论自适应学习、智能导师系统、生成式AI支持、学习分析和形成性评价等应用。文章同时分析AI教学效果的决定条件，包括使用目的、教师角色和伦理框架，并结合阿塞拜疆情境讨论语言资源、教师专业培训与制度支持等发展限制，最终提出负责任实施AI的建议。</w:t>
      </w:r>
    </w:p>
    <w:p>
      <w:pPr>
        <w:pStyle w:val="Heading3"/>
      </w:pPr>
      <w:r>
        <w:t>研究论点</w:t>
      </w:r>
    </w:p>
    <w:p>
      <w:r>
        <w:t>核心论点是：AI的教育教学效果不应主要归因于技术本身，而取决于其使用目的、教师角色以及是否与伦理框架相一致；对于阿塞拜疆而言，语言资源、教师专业培训和制度支持是推进AI教育应用的关键发展条件。</w:t>
      </w:r>
    </w:p>
    <w:p>
      <w:pPr>
        <w:pStyle w:val="Heading3"/>
      </w:pPr>
      <w:r>
        <w:t>研究问题</w:t>
      </w:r>
    </w:p>
    <w:p>
      <w:r>
        <w:t>摘要未明确列出研究问题。可辨识的关注点包括：AI支持下的现代教学方法有哪些；AI教学有效性取决于哪些条件；阿塞拜疆在语言资源、教师培训和制度支持方面面临哪些限制，以及如何负责任地实施AI。</w:t>
      </w:r>
    </w:p>
    <w:p>
      <w:pPr>
        <w:pStyle w:val="Heading3"/>
      </w:pPr>
      <w:r>
        <w:t>研究方法</w:t>
      </w:r>
    </w:p>
    <w:p>
      <w:r>
        <w:t>研究类型：文献综述与比较分析，属于非定量、非定性、非混合的原始实证研究；摘要未说明是否为系统综述。样本/参与者：无原始人类参与者；摘要未说明纳入文献数量、检索数据库或筛选标准。数据来源：国际研究文献及对现代教学方法的比较材料。分析方法：叙述性综述与比较分析；摘要未说明系统检索、纳入排除标准、编码方法或定量综合方法。</w:t>
      </w:r>
    </w:p>
    <w:p>
      <w:pPr>
        <w:pStyle w:val="Heading3"/>
      </w:pPr>
      <w:r>
        <w:t>主要发现</w:t>
      </w:r>
    </w:p>
    <w:p>
      <w:r>
        <w:t>1. 论文综述并比较了五类AI支持的教学方法：自适应学习、智能导师系统、生成式AI支持、学习分析和形成性评价。2. 摘要强调，AI的教学有效性较少取决于技术本身，更多取决于使用目的、教师角色及其与伦理框架的契合。3. 针对阿塞拜疆，语言资源限制、教师专业培训和制度支持被评估为关键发展方向，并据此提出五项负责任实施AI的建议。</w:t>
      </w:r>
    </w:p>
    <w:p>
      <w:pPr>
        <w:pStyle w:val="Heading3"/>
      </w:pPr>
      <w:r>
        <w:t>对教师教育研究的启示</w:t>
      </w:r>
    </w:p>
    <w:p>
      <w:r>
        <w:t>该综述对教师教育研究的启示包括：主题上应关注教师角色、AI使用目的与伦理框架，而非仅关注技术工具；研究设计上，摘要显示该文为综述/比较分析且缺少原始实证数据，后续可开展教师样本的定量、定性或混合研究，如准实验、调查研究、访谈、课堂观察和平台日志分析；数据收集与分析上，可测量教师AI/数字素养、培训需求、教学决策与形成性评价应用，并采用多水平模型、主题分析或设计研究评估教师培训效果；阿塞拜疆情境提示还需关注语言资源、教师专业发展和制度支持。</w:t>
      </w:r>
    </w:p>
    <w:p>
      <w:pPr>
        <w:pStyle w:val="Heading3"/>
      </w:pPr>
      <w:r>
        <w:t>APA引用格式</w:t>
      </w:r>
    </w:p>
    <w:p>
      <w:r>
        <w:t>Aliashrafova, R., Abdurahmanov, N., &amp; Aghammadova, G. (2026). Artificial intelligence in education: Modern teaching methods and opportunities for development. Zenodo. https://doi.org/10.5281/zenodo.23697600</w:t>
      </w:r>
    </w:p>
    <w:p>
      <w:r>
        <w:br w:type="page"/>
      </w:r>
    </w:p>
    <w:p>
      <w:pPr>
        <w:pStyle w:val="Heading2"/>
      </w:pPr>
      <w:r>
        <w:t>3. Enabling automatic transcription of child-centered audio recordings from real-world environments / 实现真实环境儿童中心长时录音的自动转写</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Enabling automatic transcription of child-centered audio recordings from real-world environments / 实现真实环境儿童中心长时录音的自动转写</w:t>
            </w:r>
          </w:p>
        </w:tc>
      </w:tr>
      <w:tr>
        <w:tc>
          <w:tcPr>
            <w:tcW w:type="dxa" w:w="4997"/>
          </w:tcPr>
          <w:p>
            <w:r>
              <w:rPr>
                <w:b/>
              </w:rPr>
              <w:t>作者</w:t>
            </w:r>
          </w:p>
        </w:tc>
        <w:tc>
          <w:tcPr>
            <w:tcW w:type="dxa" w:w="4997"/>
          </w:tcPr>
          <w:p>
            <w:r>
              <w:t>Daniil Kocharov, Azarias Galama, Okko Johannes Räsänen</w:t>
            </w:r>
          </w:p>
        </w:tc>
      </w:tr>
      <w:tr>
        <w:tc>
          <w:tcPr>
            <w:tcW w:type="dxa" w:w="4997"/>
          </w:tcPr>
          <w:p>
            <w:r>
              <w:rPr>
                <w:b/>
              </w:rPr>
              <w:t>期刊及影响因子</w:t>
            </w:r>
          </w:p>
        </w:tc>
        <w:tc>
          <w:tcPr>
            <w:tcW w:type="dxa" w:w="4997"/>
          </w:tcPr>
          <w:p>
            <w:r>
              <w:t>期刊：Behavior Research Methods；白名单未提供影响因子，白名单未提供 JCR 分区；SSCI 分类标注为 English, Experimental, Mathematical, Psychology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1554-3528</w:t>
            </w:r>
          </w:p>
        </w:tc>
      </w:tr>
      <w:tr>
        <w:tc>
          <w:tcPr>
            <w:tcW w:type="dxa" w:w="4997"/>
          </w:tcPr>
          <w:p>
            <w:r>
              <w:rPr>
                <w:b/>
              </w:rPr>
              <w:t>卷期/DOI</w:t>
            </w:r>
          </w:p>
        </w:tc>
        <w:tc>
          <w:tcPr>
            <w:tcW w:type="dxa" w:w="4997"/>
          </w:tcPr>
          <w:p>
            <w:r>
              <w:t>卷期未提供；DOI: https://doi.org/10.3758/s13428-026-03225-4</w:t>
            </w:r>
          </w:p>
        </w:tc>
      </w:tr>
      <w:tr>
        <w:tc>
          <w:tcPr>
            <w:tcW w:type="dxa" w:w="4997"/>
          </w:tcPr>
          <w:p>
            <w:r>
              <w:rPr>
                <w:b/>
              </w:rPr>
              <w:t>在线发表时间</w:t>
            </w:r>
          </w:p>
        </w:tc>
        <w:tc>
          <w:tcPr>
            <w:tcW w:type="dxa" w:w="4997"/>
          </w:tcPr>
          <w:p>
            <w:r>
              <w:t>2026-10-27（据元数据所载发表日期）</w:t>
            </w:r>
          </w:p>
        </w:tc>
      </w:tr>
      <w:tr>
        <w:tc>
          <w:tcPr>
            <w:tcW w:type="dxa" w:w="4997"/>
          </w:tcPr>
          <w:p>
            <w:r>
              <w:rPr>
                <w:b/>
              </w:rPr>
              <w:t>SSCI分类</w:t>
            </w:r>
          </w:p>
        </w:tc>
        <w:tc>
          <w:tcPr>
            <w:tcW w:type="dxa" w:w="4997"/>
          </w:tcPr>
          <w:p>
            <w:r>
              <w:t>English；Experimental；Mathematical；Psychology</w:t>
            </w:r>
          </w:p>
        </w:tc>
      </w:tr>
      <w:tr>
        <w:tc>
          <w:tcPr>
            <w:tcW w:type="dxa" w:w="4997"/>
          </w:tcPr>
          <w:p>
            <w:r>
              <w:rPr>
                <w:b/>
              </w:rPr>
              <w:t>论文链接</w:t>
            </w:r>
          </w:p>
        </w:tc>
        <w:tc>
          <w:tcPr>
            <w:tcW w:type="dxa" w:w="4997"/>
          </w:tcPr>
          <w:p>
            <w:hyperlink r:id="rId11">
              <w:r>
                <w:rPr>
                  <w:color w:val="0563C1"/>
                  <w:u w:val="single"/>
                </w:rPr>
                <w:t>https://doi.org/10.3758/s13428-026-03225-4</w:t>
              </w:r>
            </w:hyperlink>
          </w:p>
        </w:tc>
      </w:tr>
    </w:tbl>
    <w:p>
      <w:pPr>
        <w:pStyle w:val="Heading3"/>
      </w:pPr>
      <w:r>
        <w:t>研究摘要</w:t>
      </w:r>
    </w:p>
    <w:p>
      <w:r>
        <w:t>由儿童佩戴麦克风获得的长时音频（child-centered daylong recordings，儿童中心整日录音）已成为研究儿童语言经验及其对后续语言发展影响的标准方法。长时语音若能被转写，就可在多个语言层级上开展丰富分析；但典型长时语料的规模极大，完整人工标注不可行。与此同时，基于自动语音识别（ASR）的转写因真实环境音频噪声大、不受约束而面临严峻挑战。以往尝试假定 ASR 必须对每段长时录音整体处理。本文提出一种方法：在长时音频中自动检测那些可被现代 ASR 系统可靠转写的话语，从而对典型长时数据中相当比例的全部言语实现自动且较准确的转写。作者在四个英语长时语料上验证该方法，结果显示：在转写数据集中全部言语的 30% 时，词错误率（WER）中位数为 0%、均值为 16%；相比之下，不做任何筛选、转写全部言语时，WER 中位数为 52%、均值为 51%。作者还将自动转写得到的词对数频率与人工标注得到的词对数频率进行比较，发现全部被转写词的相关为 r = 0.94（Pearson），在自动转写中出现至少五次的词则为 r = 0.99。总体而言，该工作为对儿童中心长时音频开展日益细致的自动化语言分析提供了具体推进。</w:t>
      </w:r>
    </w:p>
    <w:p>
      <w:pPr>
        <w:pStyle w:val="Heading3"/>
      </w:pPr>
      <w:r>
        <w:t>研究主要内容</w:t>
      </w:r>
    </w:p>
    <w:p>
      <w:r>
        <w:t>论文属方法学/技术验证类研究，面向发展心理学与语言发展研究中的“儿童语言环境测量”环节。其问题背景是：儿童佩戴式麦克风的整日录音已成为测量儿童语言输入的主流手段，但人工转写在规模上不可承受，而直接对整段嘈杂真实环境音频跑 ASR 又会带来极高词错误率。作者提出的方案不是改进声学模型本身，而是改造处理流程：先自动判定长时音频中哪些话语“足够干净、能被现代 ASR 可靠转写”，只对这些话语进行转写，其余放弃。这样以覆盖率（约 30% 的言语）换取精度（WER 中位数 0%），并进一步检验这种“部分但高精度”的转写在多大程度上保留了可用于语言学分析的统计结构（词频分布）。论文的贡献被定位为通往儿童中心长时音频细节化自动语言分析的“具体一步”。需说明的是，该文主题为研究方法与语音技术，并非 AI 课堂教学应用或教师数字素养研究；其对教育研究的价值主要体现在“儿童语言经验/早期语言环境如何被大规模、低成本测量”这一数据收集方法层面。</w:t>
      </w:r>
    </w:p>
    <w:p>
      <w:pPr>
        <w:pStyle w:val="Heading3"/>
      </w:pPr>
      <w:r>
        <w:t>研究论点</w:t>
      </w:r>
    </w:p>
    <w:p>
      <w:r>
        <w:t>核心论点是：对真实环境下的儿童中心长时录音而言，“全量整段 ASR 转写”这一默认假设是不必要且有害的；更有效的策略是先做话语级可转写性筛选，再仅对高置信度子集转写。作者主张，牺牲覆盖率（约 30% 的言语）所换来的精度提升，足以支撑词频等统计层面的语言学分析，因而这一流程比追求全量覆盖更实用、更可行。</w:t>
      </w:r>
    </w:p>
    <w:p>
      <w:pPr>
        <w:pStyle w:val="Heading3"/>
      </w:pPr>
      <w:r>
        <w:t>研究问题</w:t>
      </w:r>
    </w:p>
    <w:p>
      <w:r>
        <w:t>（1）能否在儿童中心长时录音中自动检测出可被现代 ASR 系统可靠转写的话语，并据此实现高精度自动转写？（2）这种“筛选后转写”的策略在词错误率上相对“不筛选、全量转写”能带来多大改善？（3）由自动转写得到的词频统计与人工标注得到的词频统计是否一致，从而可否用于后续语言学量化分析？</w:t>
      </w:r>
    </w:p>
    <w:p>
      <w:pPr>
        <w:pStyle w:val="Heading3"/>
      </w:pPr>
      <w:r>
        <w:t>研究方法</w:t>
      </w:r>
    </w:p>
    <w:p>
      <w:r>
        <w:t>研究类型：定量研究，属计算方法开发与验证（computational/experimental validation），非干预实验、非混合方法。样本/参与者：四个英语长时儿童中心语料库（four English longform corpora），用于验证的儿童人数、年龄、录音时长与语料库名称摘要未说明。数据来源：儿童佩戴麦克风采集的真实环境整日长时音频，以及与之对应的人工转写（作为评测参照）。分析方法：构建“话语级可转写性自动检测 + ASR 转写”的流程；以词错误率（WER）为指标，比较“筛选后转写约 30% 言语”与“不筛选全量转写”两种条件下的中位数与均值 WER；并以 Pearson 相关比较自动转写与人工标注所得的词对数频率（分别针对全部被转写词、以及在自动转写中出现≥5 次的词）。具体的 ASR 系统型号、检测器的特征与阈值、显著性检验方式等细节，摘要未说明。</w:t>
      </w:r>
    </w:p>
    <w:p>
      <w:pPr>
        <w:pStyle w:val="Heading3"/>
      </w:pPr>
      <w:r>
        <w:t>主要发现</w:t>
      </w:r>
    </w:p>
    <w:p>
      <w:r>
        <w:t>1）筛选后转写在精度上大幅优于全量转写：当自动转写覆盖数据集中全部言语的约 30% 时，WER 中位数为 0%、均值为 16%；不做筛选而转写全部言语时，WER 中位数为 52%、均值 51%，即均值错误率下降约 35 个百分点、中位数由 52% 降至 0%。</w:t>
      </w:r>
    </w:p>
    <w:p>
      <w:r>
        <w:t>2）该策略在四个独立的英语长时语料上均得到验证，说明其并非依赖单一数据集的偶发结果（摘要未报告各语料的分项数值）。</w:t>
      </w:r>
    </w:p>
    <w:p>
      <w:r>
        <w:t>3）自动转写的词频统计与人工标注高度一致：全部被转写词的词对数频率相关为 r = 0.94（Pearson），出现至少五次的词相关达 r = 0.99，表明“部分高精度转写”仍可支撑词频层面的语言经验量化分析。</w:t>
      </w:r>
    </w:p>
    <w:p>
      <w:pPr>
        <w:pStyle w:val="Heading3"/>
      </w:pPr>
      <w:r>
        <w:t>对教师教育研究的启示</w:t>
      </w:r>
    </w:p>
    <w:p>
      <w:r>
        <w:t>1）主题定位提示：本文属“早期儿童语言环境测量”的方法学进展，与 AI 教学应用、教师数字素养/智能素养/数据素养、教师培训中的 AI 整合等主题并非同一议题；若用于前沿主题追踪，应将其归入“教育数据采集技术与测量方法”一类，而非教师素养类研究。</w:t>
      </w:r>
    </w:p>
    <w:p>
      <w:r>
        <w:t>2）研究设计借鉴：其“先筛选高置信度子集、再做自动化分析”的思路，可迁移到教师教育研究中的课堂录音/言语编码、师幼互动质量自动评估等场景——即以降低覆盖率换取标注与分析精度，并在论文中明确报告覆盖率与错误率两项指标。</w:t>
      </w:r>
    </w:p>
    <w:p>
      <w:r>
        <w:t>3）数据收集与分析借鉴：该文示范了一套可复用的验证范式——用人工转写为金标准计算 WER，再用词频相关（r）检验自动化产物在下游统计任务中的可用性；教师教育研究在引入自动语音转写、自动话语编码或大模型标注时，可采用同样的“双重验证”（单元级错误率 + 下游统计一致性）设计。</w:t>
      </w:r>
    </w:p>
    <w:p>
      <w:r>
        <w:t>4）局限与缺口：摘要未说明样本儿童特征、语料规模与语言（仅英语），跨语言、跨文化（含中文幼儿园情境）的可推广性尚待检验；对教师教育研究而言，若要测量幼师语言输入质量，需要额外结合教育情境编码框架。</w:t>
      </w:r>
    </w:p>
    <w:p>
      <w:pPr>
        <w:pStyle w:val="Heading3"/>
      </w:pPr>
      <w:r>
        <w:t>APA引用格式</w:t>
      </w:r>
    </w:p>
    <w:p>
      <w:r>
        <w:t>Kocharov, D., Galama, A., &amp; Räsänen, O. J. (2026). Enabling automatic transcription of child-centered audio recordings from real-world environments. Behavior Research Methods. https://doi.org/10.3758/s13428-026-03225-4</w:t>
      </w:r>
    </w:p>
    <w:p>
      <w:r>
        <w:br w:type="page"/>
      </w:r>
    </w:p>
    <w:p>
      <w:pPr>
        <w:pStyle w:val="Heading2"/>
      </w:pPr>
      <w:r>
        <w:t>4. Advancing value creation in B2B market research – a human–AI collaboration framework for large language model / 推进B2B市场研究中的价值创造：面向大语言模型的人机协作框架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Advancing value creation in B2B market research – a human–AI collaboration framework for large language model / 推进B2B市场研究中的价值创造：面向大语言模型的人机协作框架</w:t>
            </w:r>
          </w:p>
        </w:tc>
      </w:tr>
      <w:tr>
        <w:tc>
          <w:tcPr>
            <w:tcW w:type="dxa" w:w="4997"/>
          </w:tcPr>
          <w:p>
            <w:r>
              <w:rPr>
                <w:b/>
              </w:rPr>
              <w:t>作者</w:t>
            </w:r>
          </w:p>
        </w:tc>
        <w:tc>
          <w:tcPr>
            <w:tcW w:type="dxa" w:w="4997"/>
          </w:tcPr>
          <w:p>
            <w:r>
              <w:t>Anshul Saxena；Jayant Mahajan</w:t>
            </w:r>
          </w:p>
        </w:tc>
      </w:tr>
      <w:tr>
        <w:tc>
          <w:tcPr>
            <w:tcW w:type="dxa" w:w="4997"/>
          </w:tcPr>
          <w:p>
            <w:r>
              <w:rPr>
                <w:b/>
              </w:rPr>
              <w:t>期刊及影响因子</w:t>
            </w:r>
          </w:p>
        </w:tc>
        <w:tc>
          <w:tcPr>
            <w:tcW w:type="dxa" w:w="4997"/>
          </w:tcPr>
          <w:p>
            <w:r>
              <w:t>SSCI分类：Business, English；影响因子：白名单未提供；JCR分区：白名单未提供。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2052-1189</w:t>
            </w:r>
          </w:p>
        </w:tc>
      </w:tr>
      <w:tr>
        <w:tc>
          <w:tcPr>
            <w:tcW w:type="dxa" w:w="4997"/>
          </w:tcPr>
          <w:p>
            <w:r>
              <w:rPr>
                <w:b/>
              </w:rPr>
              <w:t>卷期/DOI</w:t>
            </w:r>
          </w:p>
        </w:tc>
        <w:tc>
          <w:tcPr>
            <w:tcW w:type="dxa" w:w="4997"/>
          </w:tcPr>
          <w:p>
            <w:r>
              <w:t>卷期：元数据未说明；DOI：10.1108/jbim-07-2025-0700</w:t>
            </w:r>
          </w:p>
        </w:tc>
      </w:tr>
      <w:tr>
        <w:tc>
          <w:tcPr>
            <w:tcW w:type="dxa" w:w="4997"/>
          </w:tcPr>
          <w:p>
            <w:r>
              <w:rPr>
                <w:b/>
              </w:rPr>
              <w:t>在线发表时间</w:t>
            </w:r>
          </w:p>
        </w:tc>
        <w:tc>
          <w:tcPr>
            <w:tcW w:type="dxa" w:w="4997"/>
          </w:tcPr>
          <w:p>
            <w:r>
              <w:t>2026-10-29（元数据标为发表日期；是否在线优先发表：摘要未说明）</w:t>
            </w:r>
          </w:p>
        </w:tc>
      </w:tr>
      <w:tr>
        <w:tc>
          <w:tcPr>
            <w:tcW w:type="dxa" w:w="4997"/>
          </w:tcPr>
          <w:p>
            <w:r>
              <w:rPr>
                <w:b/>
              </w:rPr>
              <w:t>SSCI分类</w:t>
            </w:r>
          </w:p>
        </w:tc>
        <w:tc>
          <w:tcPr>
            <w:tcW w:type="dxa" w:w="4997"/>
          </w:tcPr>
          <w:p>
            <w:r>
              <w:t>Business；English</w:t>
            </w:r>
          </w:p>
        </w:tc>
      </w:tr>
      <w:tr>
        <w:tc>
          <w:tcPr>
            <w:tcW w:type="dxa" w:w="4997"/>
          </w:tcPr>
          <w:p>
            <w:r>
              <w:rPr>
                <w:b/>
              </w:rPr>
              <w:t>论文链接</w:t>
            </w:r>
          </w:p>
        </w:tc>
        <w:tc>
          <w:tcPr>
            <w:tcW w:type="dxa" w:w="4997"/>
          </w:tcPr>
          <w:p>
            <w:hyperlink r:id="rId12">
              <w:r>
                <w:rPr>
                  <w:color w:val="0563C1"/>
                  <w:u w:val="single"/>
                </w:rPr>
                <w:t>https://doi.org/10.1108/jbim-07-2025-0700</w:t>
              </w:r>
            </w:hyperlink>
          </w:p>
        </w:tc>
      </w:tr>
    </w:tbl>
    <w:p>
      <w:pPr>
        <w:pStyle w:val="Heading3"/>
      </w:pPr>
      <w:r>
        <w:t>研究摘要</w:t>
      </w:r>
    </w:p>
    <w:p>
      <w:r>
        <w:t>目的：考察提示词设计如何影响大语言模型生成的B2B市场研究输出质量，并提出一种将LLM生成草稿转化为决策就绪市场情报产品的切换点治理机制。方法：采用探索性试点评估，比较ChatGPT、Gemini和Perplexity AI三个面向市场的LLM工具；在3个基准B2B市场研究任务和3类提示（基础、情境增强、角色特定）下共生成81个输出，并对角色特定基准子集27个输出进行自动化指标评估和盲评人工评分。发现：角色特定提示在本试点中呈现最强描述性得分；Gemini观察表现最强；ChatGPT输出相关但更长、更不易读；Perplexity简洁可读但与参考简报及决策要求对齐较弱；人工评分呈相似描述性模式；跨运行语义稳定性与更高决策就绪评分方向一致。局限：研究为小样本探索性试点，任务集较小，任务层ANOVA每工具仅3个观测，结论需扩展验证。</w:t>
      </w:r>
    </w:p>
    <w:p>
      <w:pPr>
        <w:pStyle w:val="Heading3"/>
      </w:pPr>
      <w:r>
        <w:t>研究主要内容</w:t>
      </w:r>
    </w:p>
    <w:p>
      <w:r>
        <w:t>论文聚焦LLM在B2B市场研究中的价值创造，将LLM输出视为候选价值主张而非完成的知识产品。实证部分为探索性试点：以ChatGPT、Gemini、Perplexity AI为对象，在3个基准B2B市场研究任务与3种提示类型下生成81个输出，并对角色特定子集27个输出结合自动化指标与盲评人工评分进行比较。论文还提出切换点矩阵，将自动化置信信号与人工判断映射为接受、判断、复核/重做、重写四类升级行动，用于治理LLM草稿进入管理决策的流程。</w:t>
      </w:r>
    </w:p>
    <w:p>
      <w:pPr>
        <w:pStyle w:val="Heading3"/>
      </w:pPr>
      <w:r>
        <w:t>研究论点</w:t>
      </w:r>
    </w:p>
    <w:p>
      <w:r>
        <w:t>核心论点是：提示词设计会影响LLM生成的B2B市场研究输出质量，组织需要以切换点治理机制将LLM生成草稿转化为可决策的市场情报产品；跨运行语义稳定性和人工判断可作为配置决策权与升级规则的依据。</w:t>
      </w:r>
    </w:p>
    <w:p>
      <w:pPr>
        <w:pStyle w:val="Heading3"/>
      </w:pPr>
      <w:r>
        <w:t>研究问题</w:t>
      </w:r>
    </w:p>
    <w:p>
      <w:r>
        <w:t>RQ1：提示词设计如何影响LLM生成的B2B市场研究输出质量？RQ2：如何设计一种切换点治理机制，将LLM生成草稿转化为决策就绪的市场情报产品？</w:t>
      </w:r>
    </w:p>
    <w:p>
      <w:pPr>
        <w:pStyle w:val="Heading3"/>
      </w:pPr>
      <w:r>
        <w:t>研究方法</w:t>
      </w:r>
    </w:p>
    <w:p>
      <w:r>
        <w:t>研究类型：探索性试点评估，混合方法取向（自动化指标评估+盲评人工评分）；摘要未说明是否开展正式定性访谈或确证性统计检验。样本/参与者：比较ChatGPT、Gemini、Perplexity AI三个面向市场的LLM工具；在3个基准B2B市场研究任务×3种提示类型（基础、情境增强、角色特定）下共生成81个输出；对角色特定基准子集27个输出进行评估；人工评分者人数、背景、抽样方式及评分者间信度摘要未说明。数据来源：LLM生成文本输出及人工评分。分析方法：自动化指标包括余弦相似度相关性、ROUGE-F1参考重叠、跨运行语义稳定性、延迟、token长度、Flesch Reading Ease可读性；人工评分维度包括相关性、完整性、事实性、指令遵循、洞察力；报告描述性比较、单因素方差分析和非参数检验，作为探索性任务层检验，而非模型优越性的确证证据；因每工具仅3个观测而受限。</w:t>
      </w:r>
    </w:p>
    <w:p>
      <w:pPr>
        <w:pStyle w:val="Heading3"/>
      </w:pPr>
      <w:r>
        <w:t>主要发现</w:t>
      </w:r>
    </w:p>
    <w:p>
      <w:r>
        <w:t>1）在本试点中，角色特定提示获得最强描述性得分；在基准子集中，Gemini呈现最强观察表现，平均相关性、参考重叠和语义稳定性更高且延迟更低。2）ChatGPT生成相关输出但倾向于更长、更不易读；Perplexity生成简洁可读的摘要，但与参考简报及面向决策要求的对齐较弱。3）人工评分呈相似描述性模式；跨运行语义稳定性与更高决策就绪评分方向一致，初步支持P1；切换点矩阵将自动化置信信号与人工判断映射为接受、判断、复核/重做、重写四类升级行动。研究为小样本探索性试点，任务集小且每工具仅3个观测，需扩展验证。</w:t>
      </w:r>
    </w:p>
    <w:p>
      <w:pPr>
        <w:pStyle w:val="Heading3"/>
      </w:pPr>
      <w:r>
        <w:t>对教师教育研究的启示</w:t>
      </w:r>
    </w:p>
    <w:p>
      <w:r>
        <w:t>该文不属于学前教育或基础教育阶段的AI教学应用、教师数字素养/智能素养/数据素养或教师培训AI整合研究，主题为B2B市场研究，因此不能直接为上述教师教育主题提供实证结论。方法层面的启示是：1）可将提示词设计作为教师教育AI干预的可操作变量，比较基础、情境增强、角色特定提示对备课、评价反馈、学情分析等任务输出质量的影响；2）采用多工具、多任务基准与“自动化指标+盲评人工评分”的混合评估，关注相关性、完整性、事实性、指令遵循、洞察力及跨运行稳定性；3）将切换点/升级治理思路引入教师培训，明确AI生成内容的接受、人工判断、复核重做与重写规则，防范貌似可信但证据薄弱的建议进入教学决策；4）该研究仅为小样本探索性试点，迁移到学前教育/基础教育需扩大任务库、增加教师评分者、检验评分者信度与真实教学情境效度。</w:t>
      </w:r>
    </w:p>
    <w:p>
      <w:pPr>
        <w:pStyle w:val="Heading3"/>
      </w:pPr>
      <w:r>
        <w:t>APA引用格式</w:t>
      </w:r>
    </w:p>
    <w:p>
      <w:r>
        <w:t>Saxena, A., &amp; Mahajan, J. (2026). Advancing value creation in B2B market research – a human–AI collaboration framework for large language model. Journal of Business &amp; Industrial Marketing. https://doi.org/10.1108/jbim-07-2025-0700</w:t>
      </w:r>
    </w:p>
    <w:p>
      <w:r>
        <w:br w:type="page"/>
      </w:r>
    </w:p>
    <w:p>
      <w:pPr>
        <w:pStyle w:val="Heading2"/>
      </w:pPr>
      <w:r>
        <w:t>5. Large language model-assisted modern programming pedagogy model: a perspective on teaching programming in the era of LLMs / 大语言模型辅助的现代编程教学模型：LLM时代编程教学的一种视角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Large language model-assisted modern programming pedagogy model: a perspective on teaching programming in the era of LLMs / 大语言模型辅助的现代编程教学模型：LLM时代编程教学的一种视角</w:t>
            </w:r>
          </w:p>
        </w:tc>
      </w:tr>
      <w:tr>
        <w:tc>
          <w:tcPr>
            <w:tcW w:type="dxa" w:w="4997"/>
          </w:tcPr>
          <w:p>
            <w:r>
              <w:rPr>
                <w:b/>
              </w:rPr>
              <w:t>作者</w:t>
            </w:r>
          </w:p>
        </w:tc>
        <w:tc>
          <w:tcPr>
            <w:tcW w:type="dxa" w:w="4997"/>
          </w:tcPr>
          <w:p>
            <w:r>
              <w:t>Rex Bringula, Fredrik Heintz</w:t>
            </w:r>
          </w:p>
        </w:tc>
      </w:tr>
      <w:tr>
        <w:tc>
          <w:tcPr>
            <w:tcW w:type="dxa" w:w="4997"/>
          </w:tcPr>
          <w:p>
            <w:r>
              <w:rPr>
                <w:b/>
              </w:rPr>
              <w:t>期刊及影响因子</w:t>
            </w:r>
          </w:p>
        </w:tc>
        <w:tc>
          <w:tcPr>
            <w:tcW w:type="dxa" w:w="4997"/>
          </w:tcPr>
          <w:p>
            <w:r>
              <w:t>期刊：Frontiers in Artificial Intelligence；SSCI分类：Multidisciplinary, Psychology；影响因子与JCR分区：白名单未提供影响因子／白名单未提供JCR分区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卷期与页码：摘要及元数据未说明；DOI：10.3389/frai.2026.1945247</w:t>
            </w:r>
          </w:p>
        </w:tc>
      </w:tr>
      <w:tr>
        <w:tc>
          <w:tcPr>
            <w:tcW w:type="dxa" w:w="4997"/>
          </w:tcPr>
          <w:p>
            <w:r>
              <w:rPr>
                <w:b/>
              </w:rPr>
              <w:t>在线发表时间</w:t>
            </w:r>
          </w:p>
        </w:tc>
        <w:tc>
          <w:tcPr>
            <w:tcW w:type="dxa" w:w="4997"/>
          </w:tcPr>
          <w:p>
            <w:r>
              <w:t>2026-10-28</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https://doi.org/10.3389/frai.2026.1945247</w:t>
              </w:r>
            </w:hyperlink>
          </w:p>
        </w:tc>
      </w:tr>
    </w:tbl>
    <w:p>
      <w:pPr>
        <w:pStyle w:val="Heading3"/>
      </w:pPr>
      <w:r>
        <w:t>研究摘要</w:t>
      </w:r>
    </w:p>
    <w:p>
      <w:r>
        <w:t>该文为视角类（perspective）论文，指出大语言模型（LLMs）在编程教育中具有双重性：既可作为学习助手，也带来教学与伦理层面的风险。已有研究多提出教学、评价与伦理使用方面的指南和建议；该文认为文献仍缺少为编程教学法提供哲学基础的理论框架，因此提出“大语言模型辅助的现代编程教学模型”（LLM-Assisted Modern Programming Pedagogy, LAMPP）。该模型包含四条设计原则，覆盖教学、课程设计、学习投入与评价等教学法核心要素，并将伦理作为贯穿各要素的附加维度；同时提出若干可能缓解“不当或过度依赖LLM所导致的学习损失”的机制，并呼吁未来研究检验这些机制的有效性。文章强调，关键问题不在于LLM工具本身，而在于如何在编程教育中对这些技术进行教学法层面的编排。</w:t>
      </w:r>
    </w:p>
    <w:p>
      <w:pPr>
        <w:pStyle w:val="Heading3"/>
      </w:pPr>
      <w:r>
        <w:t>研究主要内容</w:t>
      </w:r>
    </w:p>
    <w:p>
      <w:r>
        <w:t>文章首先梳理LLM在编程教育中的双重作用（学习支持与教学／伦理风险），并指出既有研究以指南、建议为主，缺乏理论化、系统化的教学法框架。随后提出LAMPP模型：以教学（teaching）、课程设计（lesson design）、学习投入（engagement）、评价（assessment）四个核心成分组织为四条设计原则，并将伦理作为横跨所有成分的额外维度。模型进一步提出若干机制，用以缓解因不当或过度依赖LLM而产生的学习损失。最后，作者讨论该模型对教育者、研究者与政策制定者在政策、课程结构、课程产出、评价实践与伦理规范方面的参考价值，并呼吁未来实证检验。</w:t>
      </w:r>
    </w:p>
    <w:p>
      <w:pPr>
        <w:pStyle w:val="Heading3"/>
      </w:pPr>
      <w:r>
        <w:t>研究论点</w:t>
      </w:r>
    </w:p>
    <w:p>
      <w:r>
        <w:t>核心论点是：LLM进入编程教育的关键不在于工具本身，而在于对其进行的“教学法编排”（pedagogical orchestration）。作者论证，现有关于LLM教学、评价与伦理使用的建议虽具价值，但缺乏理论依据与哲学基础，难以系统指导LLM与编程教学法的整合；因此需要构建一个理论支撑的框架（LAMPP），以四条设计原则加伦理维度来系统组织教学、课程设计、学习投入与评价，并通过具体机制抑制过度依赖LLM导致的学习损失。</w:t>
      </w:r>
    </w:p>
    <w:p>
      <w:pPr>
        <w:pStyle w:val="Heading3"/>
      </w:pPr>
      <w:r>
        <w:t>研究问题</w:t>
      </w:r>
    </w:p>
    <w:p>
      <w:r>
        <w:t>摘要未以问句形式明确陈述研究问题。其明确的问题指向是：现有文献缺少为编程教学法提供哲学基础的理论框架，如何构建一个理论支撑的框架以系统指导LLM融入编程教学。</w:t>
      </w:r>
    </w:p>
    <w:p>
      <w:pPr>
        <w:pStyle w:val="Heading3"/>
      </w:pPr>
      <w:r>
        <w:t>研究方法</w:t>
      </w:r>
    </w:p>
    <w:p>
      <w:r>
        <w:t>研究类型：理论／概念性视角论文（perspective paper），非定量、非定性、非混合方法的实证研究。样本或参与者：无，摘要未说明任何样本。数据来源：无一手实证数据，属基于既有文献与理论论证的概念建构；文献检索与筛选策略摘要未说明。分析方法：概念建模与理论论证，提出LAMPP模型、四条设计原则及伦理维度，并提出待检验的机制。缺失说明：无研究工具、无数据收集程序、无统计或质性分析过程，摘要亦未说明任何验证性程序。</w:t>
      </w:r>
    </w:p>
    <w:p>
      <w:pPr>
        <w:pStyle w:val="Heading3"/>
      </w:pPr>
      <w:r>
        <w:t>主要发现</w:t>
      </w:r>
    </w:p>
    <w:p>
      <w:r>
        <w:t>1. 提出LAMPP模型，以四条设计原则对应教学法四个核心成分——教学、课程设计、学习投入、评价，并将伦理作为贯穿全部成分的附加维度，形成一个理论支撑的整合框架。2. 模型提出若干具体机制，旨在缓解与“不当或过度依赖LLM”相关的潜在学习损失，但作者明确指出这些机制的有效性尚待未来研究检验（即本文未提供效果证据）。3. 明确该框架的应用取向：可为教育者、研究者与政策制定者在政策制定、课程结构、课程产出、评价实践与伦理指南等方面提供依据；并提出“不是关于LLM工具本身，而是关于这些技术在编程教育中的教学法编排”这一核心主张。</w:t>
      </w:r>
    </w:p>
    <w:p>
      <w:pPr>
        <w:pStyle w:val="Heading3"/>
      </w:pPr>
      <w:r>
        <w:t>对教师教育研究的启示</w:t>
      </w:r>
    </w:p>
    <w:p>
      <w:r>
        <w:t>1）主题前沿性：该文把“教师如何在课程层面编排AI”而非“AI工具功能”作为核心议题，可提示教师教育研究关注AI融入教学的教学法编排能力、评价设计与伦理规范三类目标的整合，而非单一工具培训。2）研究设计启示：由于本文仅为概念框架、明确提出“未来研究应检验这些机制的有效性”，教师教育研究者可将其作为假设来源，采用准实验／设计研究／量表开发与验证等路径检验机制效果；摘要未提供任何实证效度证据，引用时须明确其概念性质。3）数据收集与分析启示：若跟进实证研究，可考虑收集课堂观察记录、师生与LLM的交互日志、学习结果测评、伦理知觉与依赖程度问卷等数据；本文未涉及这些方法，属基于其研究缺口的合理延伸，而非摘要内容。4）学段适配需谨慎：摘要未说明研究面向的教育阶段（未指明是否涉及学前教育、小学或初中），亦未提供K-12场景的样本或数据；向基础教育、学前教育迁移时应视为待验证议题。5）对教师数字素养／智能素养研究的提示：本文强调伦理维度贯穿教学全过程，可作为教师AI素养框架中“伦理与评价”维度的理论参照，但其适用性仍需在本土学段情境中检验。</w:t>
      </w:r>
    </w:p>
    <w:p>
      <w:pPr>
        <w:pStyle w:val="Heading3"/>
      </w:pPr>
      <w:r>
        <w:t>APA引用格式</w:t>
      </w:r>
    </w:p>
    <w:p>
      <w:r>
        <w:t>Bringula, R., &amp; Heintz, F. (2026). Large language model-assisted modern programming pedagogy model: A perspective on teaching programming in the era of LLMs. Frontiers in Artificial Intelligence. https://doi.org/10.3389/frai.2026.1945247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98.29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stueduc.2026.101697" TargetMode="External"/><Relationship Id="rId10" Type="http://schemas.openxmlformats.org/officeDocument/2006/relationships/hyperlink" Target="https://doi.org/10.5281/zenodo.23697600" TargetMode="External"/><Relationship Id="rId11" Type="http://schemas.openxmlformats.org/officeDocument/2006/relationships/hyperlink" Target="https://doi.org/10.3758/s13428-026-03225-4" TargetMode="External"/><Relationship Id="rId12" Type="http://schemas.openxmlformats.org/officeDocument/2006/relationships/hyperlink" Target="https://doi.org/10.1108/jbim-07-2025-0700" TargetMode="External"/><Relationship Id="rId13" Type="http://schemas.openxmlformats.org/officeDocument/2006/relationships/hyperlink" Target="https://doi.org/10.3389/frai.2026.19452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