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1F5496"/>
          <w:sz w:val="44"/>
        </w:rPr>
        <w:t>每日SSCI文献简报｜2026-10-23</w:t>
      </w:r>
    </w:p>
    <w:p>
      <w:pPr>
        <w:jc w:val="center"/>
      </w:pPr>
      <w:r>
        <w:rPr>
          <w:color w:val="596882"/>
          <w:sz w:val="22"/>
        </w:rPr>
        <w:t>学前与基础教育 · AI教学应用 · 教师数字/智能/数据素养 · 教师教育</w:t>
      </w:r>
    </w:p>
    <w:p>
      <w:pPr>
        <w:ind w:left="230" w:right="230"/>
      </w:pPr>
      <w:r>
        <w:rPr>
          <w:i/>
          <w:color w:val="596882"/>
        </w:rPr>
        <w:t>本期采用混合推荐策略：2篇近三年内最新候选文献 + 3篇近三年内AI教学相关度最高文献；已排除历史重复推荐。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</w:tcPr>
          <w:p>
            <w:r>
              <w:rPr>
                <w:b/>
              </w:rPr>
              <w:t>生成时间</w:t>
            </w:r>
          </w:p>
        </w:tc>
        <w:tc>
          <w:tcPr>
            <w:tcW w:type="dxa" w:w="4997"/>
          </w:tcPr>
          <w:p>
            <w:r>
              <w:t>2026-10-23 10:20:07（北京时间）</w:t>
            </w:r>
          </w:p>
        </w:tc>
      </w:tr>
      <w:tr>
        <w:tc>
          <w:tcPr>
            <w:tcW w:type="dxa" w:w="4997"/>
          </w:tcPr>
          <w:p>
            <w:r>
              <w:rPr>
                <w:b/>
              </w:rPr>
              <w:t>检索窗口</w:t>
            </w:r>
          </w:p>
        </w:tc>
        <w:tc>
          <w:tcPr>
            <w:tcW w:type="dxa" w:w="4997"/>
          </w:tcPr>
          <w:p>
            <w:r>
              <w:t>2023-10-24 — 2026-10-23</w:t>
            </w:r>
          </w:p>
        </w:tc>
      </w:tr>
      <w:tr>
        <w:tc>
          <w:tcPr>
            <w:tcW w:type="dxa" w:w="4997"/>
          </w:tcPr>
          <w:p>
            <w:r>
              <w:rPr>
                <w:b/>
              </w:rPr>
              <w:t>检索与筛选</w:t>
            </w:r>
          </w:p>
        </w:tc>
        <w:tc>
          <w:tcPr>
            <w:tcW w:type="dxa" w:w="4997"/>
          </w:tcPr>
          <w:p>
            <w:r>
              <w:t>检索 750 篇；筛选 5 篇；AI成功 5 篇</w:t>
            </w:r>
          </w:p>
        </w:tc>
      </w:tr>
      <w:tr>
        <w:tc>
          <w:tcPr>
            <w:tcW w:type="dxa" w:w="4997"/>
          </w:tcPr>
          <w:p>
            <w:r>
              <w:rPr>
                <w:b/>
              </w:rPr>
              <w:t>本地文件</w:t>
            </w:r>
          </w:p>
        </w:tc>
        <w:tc>
          <w:tcPr>
            <w:tcW w:type="dxa" w:w="4997"/>
          </w:tcPr>
          <w:p>
            <w:r>
              <w:t>Markdown 与 Word 文档已保存至 docs/ 目录</w:t>
            </w:r>
          </w:p>
        </w:tc>
      </w:tr>
    </w:tbl>
    <w:p/>
    <w:p>
      <w:pPr>
        <w:pStyle w:val="Heading1"/>
      </w:pPr>
      <w:r>
        <w:t>一、今日研究亮点总结</w:t>
      </w:r>
    </w:p>
    <w:p>
      <w:pPr>
        <w:ind w:left="230" w:right="230"/>
      </w:pPr>
      <w:r>
        <w:rPr>
          <w:i/>
          <w:color w:val="596882"/>
        </w:rPr>
        <w:t>今日文献聚焦教师AI-TPACK、AI素养与课堂整合，方法涵盖量表开发、纵向案例、设计本位和民族志；趋势从能力测量转向真实课堂、伦理情境与专业发展，并关注基础设施约束下的数字公平。</w:t>
      </w:r>
    </w:p>
    <w:p>
      <w:pPr>
        <w:pStyle w:val="Heading1"/>
      </w:pPr>
      <w:r>
        <w:t>目录</w:t>
      </w:r>
    </w:p>
    <w:p>
      <w:pPr>
        <w:pStyle w:val="ListNumber"/>
      </w:pPr>
      <w:r>
        <w:rPr>
          <w:b/>
        </w:rPr>
        <w:t>数字世界中的教师：深化教师AI-TPACK、AI素养与AI接受水平之间的关系</w:t>
      </w:r>
      <w:r>
        <w:t>｜European Journal of Education｜2026-10-21</w:t>
      </w:r>
    </w:p>
    <w:p>
      <w:pPr>
        <w:pStyle w:val="ListNumber"/>
      </w:pPr>
      <w:r>
        <w:rPr>
          <w:b/>
        </w:rPr>
        <w:t>培养职前教师在CLIL中整合ChatGPT的TPACK：一项真实课堂情境下的纵向研究</w:t>
      </w:r>
      <w:r>
        <w:t>｜Computer Assisted Language Learning｜2026-10-21</w:t>
      </w:r>
    </w:p>
    <w:p>
      <w:pPr>
        <w:pStyle w:val="ListNumber"/>
      </w:pPr>
      <w:r>
        <w:rPr>
          <w:b/>
        </w:rPr>
        <w:t>K-12教师需要何种AI素养？基于教师工作场景的框架构建及量表开发与验证</w:t>
      </w:r>
      <w:r>
        <w:t>｜Educational Technology Research and Development｜2026-10-21</w:t>
      </w:r>
    </w:p>
    <w:p>
      <w:pPr>
        <w:pStyle w:val="ListNumber"/>
      </w:pPr>
      <w:r>
        <w:rPr>
          <w:b/>
        </w:rPr>
        <w:t>面向K-12的数据科学：一项设计本位研究</w:t>
      </w:r>
      <w:r>
        <w:t>｜Educational Technology Research and Development｜2026-10-21</w:t>
      </w:r>
    </w:p>
    <w:p>
      <w:pPr>
        <w:pStyle w:val="ListNumber"/>
      </w:pPr>
      <w:r>
        <w:rPr>
          <w:b/>
        </w:rPr>
        <w:t>数字化与教育转型：对加纳城市中学课堂的民族志研究</w:t>
      </w:r>
      <w:r>
        <w:t>｜Zenodo (CERN European Organization for Nuclear Research)｜2026-10-23</w:t>
      </w:r>
    </w:p>
    <w:p>
      <w:pPr>
        <w:sectPr>
          <w:pgSz w:w="12240" w:h="15840"/>
          <w:pgMar w:top="1037" w:right="1123" w:bottom="1037" w:left="1123" w:header="720" w:footer="720" w:gutter="0"/>
          <w:cols w:space="720"/>
          <w:docGrid w:linePitch="360"/>
        </w:sectPr>
      </w:pPr>
    </w:p>
    <w:p>
      <w:pPr>
        <w:pStyle w:val="Heading1"/>
      </w:pPr>
      <w:r>
        <w:t>二、文献摘要</w:t>
      </w:r>
    </w:p>
    <w:p>
      <w:pPr>
        <w:pStyle w:val="Heading2"/>
      </w:pPr>
      <w:r>
        <w:t>1. Being a Teacher in a Digital World: Deepening the Relationships Among Teachers' AI ‐ TPACK , AI Literacy, and AI Acceptance Levels / 数字世界中的教师：深化教师AI-TPACK、AI素养与AI接受水平之间的关系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</w:tcPr>
          <w:p>
            <w:r>
              <w:rPr>
                <w:b/>
              </w:rPr>
              <w:t>标题</w:t>
            </w:r>
          </w:p>
        </w:tc>
        <w:tc>
          <w:tcPr>
            <w:tcW w:type="dxa" w:w="4997"/>
          </w:tcPr>
          <w:p>
            <w:r>
              <w:t>Being a Teacher in a Digital World: Deepening the Relationships Among Teachers' AI ‐ TPACK , AI Literacy, and AI Acceptance Levels / 数字世界中的教师：深化教师AI-TPACK、AI素养与AI接受水平之间的关系</w:t>
            </w:r>
          </w:p>
        </w:tc>
      </w:tr>
      <w:tr>
        <w:tc>
          <w:tcPr>
            <w:tcW w:type="dxa" w:w="4997"/>
          </w:tcPr>
          <w:p>
            <w:r>
              <w:rPr>
                <w:b/>
              </w:rPr>
              <w:t>作者</w:t>
            </w:r>
          </w:p>
        </w:tc>
        <w:tc>
          <w:tcPr>
            <w:tcW w:type="dxa" w:w="4997"/>
          </w:tcPr>
          <w:p>
            <w:r>
              <w:t>Fulya Ünsal、Osman Kayhan、Recep Çakır、Özgen Korkmaz</w:t>
            </w:r>
          </w:p>
        </w:tc>
      </w:tr>
      <w:tr>
        <w:tc>
          <w:tcPr>
            <w:tcW w:type="dxa" w:w="4997"/>
          </w:tcPr>
          <w:p>
            <w:r>
              <w:rPr>
                <w:b/>
              </w:rPr>
              <w:t>期刊及影响因子</w:t>
            </w:r>
          </w:p>
        </w:tc>
        <w:tc>
          <w:tcPr>
            <w:tcW w:type="dxa" w:w="4997"/>
          </w:tcPr>
          <w:p>
            <w:r>
              <w:t>European Journal of Education（SSCI：Education &amp; Educational Research, English）；白名单未提供影响因子与JCR分区。</w:t>
            </w:r>
          </w:p>
        </w:tc>
      </w:tr>
      <w:tr>
        <w:tc>
          <w:tcPr>
            <w:tcW w:type="dxa" w:w="4997"/>
          </w:tcPr>
          <w:p>
            <w:r>
              <w:rPr>
                <w:b/>
              </w:rPr>
              <w:t>JIF/影响因子</w:t>
            </w:r>
          </w:p>
        </w:tc>
        <w:tc>
          <w:tcPr>
            <w:tcW w:type="dxa" w:w="4997"/>
          </w:tcPr>
          <w:p>
            <w:r>
              <w:t>白名单未提供</w:t>
            </w:r>
          </w:p>
        </w:tc>
      </w:tr>
      <w:tr>
        <w:tc>
          <w:tcPr>
            <w:tcW w:type="dxa" w:w="4997"/>
          </w:tcPr>
          <w:p>
            <w:r>
              <w:rPr>
                <w:b/>
              </w:rPr>
              <w:t>JCR分区</w:t>
            </w:r>
          </w:p>
        </w:tc>
        <w:tc>
          <w:tcPr>
            <w:tcW w:type="dxa" w:w="4997"/>
          </w:tcPr>
          <w:p>
            <w:r>
              <w:t>白名单未提供</w:t>
            </w:r>
          </w:p>
        </w:tc>
      </w:tr>
      <w:tr>
        <w:tc>
          <w:tcPr>
            <w:tcW w:type="dxa" w:w="4997"/>
          </w:tcPr>
          <w:p>
            <w:r>
              <w:rPr>
                <w:b/>
              </w:rPr>
              <w:t>CiteScore</w:t>
            </w:r>
          </w:p>
        </w:tc>
        <w:tc>
          <w:tcPr>
            <w:tcW w:type="dxa" w:w="4997"/>
          </w:tcPr>
          <w:p>
            <w:r>
              <w:t>白名单未提供</w:t>
            </w:r>
          </w:p>
        </w:tc>
      </w:tr>
      <w:tr>
        <w:tc>
          <w:tcPr>
            <w:tcW w:type="dxa" w:w="4997"/>
          </w:tcPr>
          <w:p>
            <w:r>
              <w:rPr>
                <w:b/>
              </w:rPr>
              <w:t>出版社</w:t>
            </w:r>
          </w:p>
        </w:tc>
        <w:tc>
          <w:tcPr>
            <w:tcW w:type="dxa" w:w="4997"/>
          </w:tcPr>
          <w:p>
            <w:r>
              <w:t>1465-3435</w:t>
            </w:r>
          </w:p>
        </w:tc>
      </w:tr>
      <w:tr>
        <w:tc>
          <w:tcPr>
            <w:tcW w:type="dxa" w:w="4997"/>
          </w:tcPr>
          <w:p>
            <w:r>
              <w:rPr>
                <w:b/>
              </w:rPr>
              <w:t>卷期/DOI</w:t>
            </w:r>
          </w:p>
        </w:tc>
        <w:tc>
          <w:tcPr>
            <w:tcW w:type="dxa" w:w="4997"/>
          </w:tcPr>
          <w:p>
            <w:r>
              <w:t>卷期：摘要/元数据未说明；DOI：https://doi.org/10.1111/ejed.70912</w:t>
            </w:r>
          </w:p>
        </w:tc>
      </w:tr>
      <w:tr>
        <w:tc>
          <w:tcPr>
            <w:tcW w:type="dxa" w:w="4997"/>
          </w:tcPr>
          <w:p>
            <w:r>
              <w:rPr>
                <w:b/>
              </w:rPr>
              <w:t>在线发表时间</w:t>
            </w:r>
          </w:p>
        </w:tc>
        <w:tc>
          <w:tcPr>
            <w:tcW w:type="dxa" w:w="4997"/>
          </w:tcPr>
          <w:p>
            <w:r>
              <w:t>2026-10-21（元数据发表日期）</w:t>
            </w:r>
          </w:p>
        </w:tc>
      </w:tr>
      <w:tr>
        <w:tc>
          <w:tcPr>
            <w:tcW w:type="dxa" w:w="4997"/>
          </w:tcPr>
          <w:p>
            <w:r>
              <w:rPr>
                <w:b/>
              </w:rPr>
              <w:t>SSCI分类</w:t>
            </w:r>
          </w:p>
        </w:tc>
        <w:tc>
          <w:tcPr>
            <w:tcW w:type="dxa" w:w="4997"/>
          </w:tcPr>
          <w:p>
            <w:r>
              <w:t>Education &amp; Educational Research；English</w:t>
            </w:r>
          </w:p>
        </w:tc>
      </w:tr>
      <w:tr>
        <w:tc>
          <w:tcPr>
            <w:tcW w:type="dxa" w:w="4997"/>
          </w:tcPr>
          <w:p>
            <w:r>
              <w:rPr>
                <w:b/>
              </w:rPr>
              <w:t>论文链接</w:t>
            </w:r>
          </w:p>
        </w:tc>
        <w:tc>
          <w:tcPr>
            <w:tcW w:type="dxa" w:w="4997"/>
          </w:tcPr>
          <w:p>
            <w:hyperlink r:id="rId9">
              <w:r>
                <w:rPr>
                  <w:color w:val="0563C1"/>
                  <w:u w:val="single"/>
                </w:rPr>
                <w:t>https://doi.org/10.1111/ejed.70912</w:t>
              </w:r>
            </w:hyperlink>
          </w:p>
        </w:tc>
      </w:tr>
    </w:tbl>
    <w:p>
      <w:pPr>
        <w:pStyle w:val="Heading3"/>
      </w:pPr>
      <w:r>
        <w:t>研究摘要</w:t>
      </w:r>
    </w:p>
    <w:p>
      <w:r>
        <w:t>本研究旨在确定教师的AI-TPACK、AI素养和AI接受度水平，并考察三者之间的关系。研究采用定量相关设计，样本为2024—2025学年土耳其306名教师。结果显示，教师AI素养和AI接受度与AI-TPACK水平强相关；基于教师数字参与度的差异显著，参与度越高，AI相关能力水平越高。研究强调AI相关能力的相互关联，建议教师教育与专业发展采用整合式路径。</w:t>
      </w:r>
    </w:p>
    <w:p>
      <w:pPr>
        <w:pStyle w:val="Heading3"/>
      </w:pPr>
      <w:r>
        <w:t>研究主要内容</w:t>
      </w:r>
    </w:p>
    <w:p>
      <w:r>
        <w:t>该研究以土耳其2024—2025学年306名教师为样本，采用定量相关设计，考察教师AI-TPACK、AI素养和AI接受度水平及其关系。摘要未说明教师所教学段，无法确认是否聚焦学前教育或基础教育；也未说明具体数据收集工具、抽样方式和统计分析方法。研究发现AI素养与AI接受度和AI-TPACK强关联，数字参与度较高者AI相关能力更高。</w:t>
      </w:r>
    </w:p>
    <w:p>
      <w:pPr>
        <w:pStyle w:val="Heading3"/>
      </w:pPr>
      <w:r>
        <w:t>研究论点</w:t>
      </w:r>
    </w:p>
    <w:p>
      <w:r>
        <w:t>论文的核心论证是：教师的AI素养和AI接受度与其AI-TPACK水平强相关，AI相关能力具有相互关联性，因此教师教育和专业发展项目应采取更整合的方式培养AI相关能力，而非孤立地提升某一项能力。</w:t>
      </w:r>
    </w:p>
    <w:p>
      <w:pPr>
        <w:pStyle w:val="Heading3"/>
      </w:pPr>
      <w:r>
        <w:t>研究问题</w:t>
      </w:r>
    </w:p>
    <w:p>
      <w:r>
        <w:t>摘要明确的研究目的/问题为：确定教师AI-TPACK、AI素养与AI接受度水平，并检验三者之间的关系；关于数字参与度差异是否作为正式研究问题，摘要未明确说明。</w:t>
      </w:r>
    </w:p>
    <w:p>
      <w:pPr>
        <w:pStyle w:val="Heading3"/>
      </w:pPr>
      <w:r>
        <w:t>研究方法</w:t>
      </w:r>
    </w:p>
    <w:p>
      <w:r>
        <w:t>研究类型：定量相关研究。样本/参与者：2024—2025学年土耳其306名教师；教师所教学段摘要未说明。数据来源：教师样本的定量数据；具体数据收集工具、抽样与施测程序摘要未说明。分析方法：摘要未说明具体统计方法；研究报告了变量间关联及基于数字参与度的差异结果。</w:t>
      </w:r>
    </w:p>
    <w:p>
      <w:pPr>
        <w:pStyle w:val="Heading3"/>
      </w:pPr>
      <w:r>
        <w:t>主要发现</w:t>
      </w:r>
    </w:p>
    <w:p>
      <w:r>
        <w:t>1. 教师AI素养与AI接受度均与AI-TPACK水平呈强关联。2. 基于教师数字参与度的差异显著，数字参与度越高，AI相关能力水平越高。3. 结果支持AI相关能力具有相互关联性，提示AI素养与AI接受度可能是支持AI-TPACK发展的相关因素。</w:t>
      </w:r>
    </w:p>
    <w:p>
      <w:pPr>
        <w:pStyle w:val="Heading3"/>
      </w:pPr>
      <w:r>
        <w:t>对教师教育研究的启示</w:t>
      </w:r>
    </w:p>
    <w:p>
      <w:r>
        <w:t>对教师教育研究的启示：1）前沿主题上，可将AI-TPACK、AI素养、AI接受度作为整合框架，考察其关系而非孤立培训。2）研究设计上，可采用定量相关/调查设计并扩大样本，但需明确学段与抽样；本文306名教师样本提供参考。3）数据收集与分析上，摘要未报告具体量表、信效度与统计模型，后续研究应透明报告工具来源、抽样策略及相关/回归/差异检验方法。4）教师培训上，专业发展项目宜整合AI素养、接受度与TPACK，以提升教师数字世界中的教学能力。</w:t>
      </w:r>
    </w:p>
    <w:p>
      <w:pPr>
        <w:pStyle w:val="Heading3"/>
      </w:pPr>
      <w:r>
        <w:t>APA引用格式</w:t>
      </w:r>
    </w:p>
    <w:p>
      <w:r>
        <w:t>Ünsal, F., Kayhan, O., Çakır, R., &amp; Korkmaz, Ö. (2026). Being a teacher in a digital world: Deepening the relationships among teachers’ AI-TPACK, AI literacy, and AI acceptance levels. European Journal of Education. https://doi.org/10.1111/ejed.70912</w:t>
      </w:r>
    </w:p>
    <w:p>
      <w:r>
        <w:br w:type="page"/>
      </w:r>
    </w:p>
    <w:p>
      <w:pPr>
        <w:pStyle w:val="Heading2"/>
      </w:pPr>
      <w:r>
        <w:t>2. Developing preservice teachers’ TPACK for ChatGPT integration in CLIL: a longitudinal study in authentic classroom settings / 培养职前教师在CLIL中整合ChatGPT的TPACK：一项真实课堂情境下的纵向研究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</w:tcPr>
          <w:p>
            <w:r>
              <w:rPr>
                <w:b/>
              </w:rPr>
              <w:t>标题</w:t>
            </w:r>
          </w:p>
        </w:tc>
        <w:tc>
          <w:tcPr>
            <w:tcW w:type="dxa" w:w="4997"/>
          </w:tcPr>
          <w:p>
            <w:r>
              <w:t>Developing preservice teachers’ TPACK for ChatGPT integration in CLIL: a longitudinal study in authentic classroom settings / 培养职前教师在CLIL中整合ChatGPT的TPACK：一项真实课堂情境下的纵向研究</w:t>
            </w:r>
          </w:p>
        </w:tc>
      </w:tr>
      <w:tr>
        <w:tc>
          <w:tcPr>
            <w:tcW w:type="dxa" w:w="4997"/>
          </w:tcPr>
          <w:p>
            <w:r>
              <w:rPr>
                <w:b/>
              </w:rPr>
              <w:t>作者</w:t>
            </w:r>
          </w:p>
        </w:tc>
        <w:tc>
          <w:tcPr>
            <w:tcW w:type="dxa" w:w="4997"/>
          </w:tcPr>
          <w:p>
            <w:r>
              <w:t>Yi-ju Ariel Wu</w:t>
            </w:r>
          </w:p>
        </w:tc>
      </w:tr>
      <w:tr>
        <w:tc>
          <w:tcPr>
            <w:tcW w:type="dxa" w:w="4997"/>
          </w:tcPr>
          <w:p>
            <w:r>
              <w:rPr>
                <w:b/>
              </w:rPr>
              <w:t>期刊及影响因子</w:t>
            </w:r>
          </w:p>
        </w:tc>
        <w:tc>
          <w:tcPr>
            <w:tcW w:type="dxa" w:w="4997"/>
          </w:tcPr>
          <w:p>
            <w:r>
              <w:t>期刊：Computer Assisted Language Learning；SSCI分类：Education &amp; Educational Research, English, Linguistics；影响因子/分区：白名单未提供影响因子 / 白名单未提供JCR分区。</w:t>
            </w:r>
          </w:p>
        </w:tc>
      </w:tr>
      <w:tr>
        <w:tc>
          <w:tcPr>
            <w:tcW w:type="dxa" w:w="4997"/>
          </w:tcPr>
          <w:p>
            <w:r>
              <w:rPr>
                <w:b/>
              </w:rPr>
              <w:t>JIF/影响因子</w:t>
            </w:r>
          </w:p>
        </w:tc>
        <w:tc>
          <w:tcPr>
            <w:tcW w:type="dxa" w:w="4997"/>
          </w:tcPr>
          <w:p>
            <w:r>
              <w:t>白名单未提供</w:t>
            </w:r>
          </w:p>
        </w:tc>
      </w:tr>
      <w:tr>
        <w:tc>
          <w:tcPr>
            <w:tcW w:type="dxa" w:w="4997"/>
          </w:tcPr>
          <w:p>
            <w:r>
              <w:rPr>
                <w:b/>
              </w:rPr>
              <w:t>JCR分区</w:t>
            </w:r>
          </w:p>
        </w:tc>
        <w:tc>
          <w:tcPr>
            <w:tcW w:type="dxa" w:w="4997"/>
          </w:tcPr>
          <w:p>
            <w:r>
              <w:t>白名单未提供</w:t>
            </w:r>
          </w:p>
        </w:tc>
      </w:tr>
      <w:tr>
        <w:tc>
          <w:tcPr>
            <w:tcW w:type="dxa" w:w="4997"/>
          </w:tcPr>
          <w:p>
            <w:r>
              <w:rPr>
                <w:b/>
              </w:rPr>
              <w:t>CiteScore</w:t>
            </w:r>
          </w:p>
        </w:tc>
        <w:tc>
          <w:tcPr>
            <w:tcW w:type="dxa" w:w="4997"/>
          </w:tcPr>
          <w:p>
            <w:r>
              <w:t>白名单未提供</w:t>
            </w:r>
          </w:p>
        </w:tc>
      </w:tr>
      <w:tr>
        <w:tc>
          <w:tcPr>
            <w:tcW w:type="dxa" w:w="4997"/>
          </w:tcPr>
          <w:p>
            <w:r>
              <w:rPr>
                <w:b/>
              </w:rPr>
              <w:t>出版社</w:t>
            </w:r>
          </w:p>
        </w:tc>
        <w:tc>
          <w:tcPr>
            <w:tcW w:type="dxa" w:w="4997"/>
          </w:tcPr>
          <w:p>
            <w:r>
              <w:t>ROUTLEDGE JOURNALS, TAYLOR &amp; FRANCIS LTD</w:t>
            </w:r>
          </w:p>
        </w:tc>
      </w:tr>
      <w:tr>
        <w:tc>
          <w:tcPr>
            <w:tcW w:type="dxa" w:w="4997"/>
          </w:tcPr>
          <w:p>
            <w:r>
              <w:rPr>
                <w:b/>
              </w:rPr>
              <w:t>卷期/DOI</w:t>
            </w:r>
          </w:p>
        </w:tc>
        <w:tc>
          <w:tcPr>
            <w:tcW w:type="dxa" w:w="4997"/>
          </w:tcPr>
          <w:p>
            <w:r>
              <w:t>卷期未提供；DOI: https://doi.org/10.1080/09588221.2026.2742458</w:t>
            </w:r>
          </w:p>
        </w:tc>
      </w:tr>
      <w:tr>
        <w:tc>
          <w:tcPr>
            <w:tcW w:type="dxa" w:w="4997"/>
          </w:tcPr>
          <w:p>
            <w:r>
              <w:rPr>
                <w:b/>
              </w:rPr>
              <w:t>在线发表时间</w:t>
            </w:r>
          </w:p>
        </w:tc>
        <w:tc>
          <w:tcPr>
            <w:tcW w:type="dxa" w:w="4997"/>
          </w:tcPr>
          <w:p>
            <w:r>
              <w:t>2026-10-21</w:t>
            </w:r>
          </w:p>
        </w:tc>
      </w:tr>
      <w:tr>
        <w:tc>
          <w:tcPr>
            <w:tcW w:type="dxa" w:w="4997"/>
          </w:tcPr>
          <w:p>
            <w:r>
              <w:rPr>
                <w:b/>
              </w:rPr>
              <w:t>SSCI分类</w:t>
            </w:r>
          </w:p>
        </w:tc>
        <w:tc>
          <w:tcPr>
            <w:tcW w:type="dxa" w:w="4997"/>
          </w:tcPr>
          <w:p>
            <w:r>
              <w:t>Education &amp; Educational Research；English；Linguistics</w:t>
            </w:r>
          </w:p>
        </w:tc>
      </w:tr>
      <w:tr>
        <w:tc>
          <w:tcPr>
            <w:tcW w:type="dxa" w:w="4997"/>
          </w:tcPr>
          <w:p>
            <w:r>
              <w:rPr>
                <w:b/>
              </w:rPr>
              <w:t>论文链接</w:t>
            </w:r>
          </w:p>
        </w:tc>
        <w:tc>
          <w:tcPr>
            <w:tcW w:type="dxa" w:w="4997"/>
          </w:tcPr>
          <w:p>
            <w:hyperlink r:id="rId10">
              <w:r>
                <w:rPr>
                  <w:color w:val="0563C1"/>
                  <w:u w:val="single"/>
                </w:rPr>
                <w:t>https://doi.org/10.1080/09588221.2026.2742458</w:t>
              </w:r>
            </w:hyperlink>
          </w:p>
        </w:tc>
      </w:tr>
    </w:tbl>
    <w:p>
      <w:pPr>
        <w:pStyle w:val="Heading3"/>
      </w:pPr>
      <w:r>
        <w:t>研究摘要</w:t>
      </w:r>
    </w:p>
    <w:p>
      <w:r>
        <w:t>本研究考察一个为期18周的循环式教师教育项目如何支持台湾地区CLIL职前教师发展TPACK，以便将ChatGPT整合到真实小学课堂。研究基于Mishra等TPACK框架，采用多方法案例研究，48名职前教师参与三轮迭代教学循环；这些循环聚焦两类用途：一是用ChatGPT支持备课，二是促进学生在CLIL任务完成与探究中直接使用ChatGPT。数据来源包括教案、ChatGPT互动日志、反思日志、学生作品和课堂观察。摘要报告职前教师的ChatGPT整合呈现从低阶任务到高阶任务、从单向导师式使用到协作伙伴式参与、从文本学习经验到多模态学习经验的发展轨迹；TPACK分析显示技术教学知识TPK较突出，但情境知识XK（尤其伦理、社会文化和制度考量）发展有限。</w:t>
      </w:r>
    </w:p>
    <w:p>
      <w:pPr>
        <w:pStyle w:val="Heading3"/>
      </w:pPr>
      <w:r>
        <w:t>研究主要内容</w:t>
      </w:r>
    </w:p>
    <w:p>
      <w:r>
        <w:t>论文聚焦真实小学课堂中CLIL职前教师将ChatGPT整合于教学与学习任务的TPACK发展。项目持续18周，包含三轮迭代教学循环：第一类活动让职前教师用ChatGPT进行备课等教学支持，第二类活动让学生直接使用ChatGPT完成CLIL任务与探究，属于学习支持。研究采用多方法案例研究，收集教案、ChatGPT互动日志、反思日志、学生作品与课堂观察等多源数据，并基于TPACK框架分析职前教师整合ChatGPT的知识发展。摘要指出，整合层次由低阶任务向高阶任务推进，使用方式由单向导师式转向协作伙伴式，学习经验由文本为主转向多模态；TPK受到较强关注，而XK发展不足。</w:t>
      </w:r>
    </w:p>
    <w:p>
      <w:pPr>
        <w:pStyle w:val="Heading3"/>
      </w:pPr>
      <w:r>
        <w:t>研究论点</w:t>
      </w:r>
    </w:p>
    <w:p>
      <w:r>
        <w:t>论文的核心论点是：结构化、纵向且嵌入真实课堂的教师教育项目能够支持职前教师将ChatGPT有意义地整合进CLIL教学，并推动其TPACK沿任务复杂度、人机互动方式和表征模态发生发展；但仅有技术教学知识TPK的增长并不充分，教师教育还需显性强化伦理、社会文化与制度等情境知识XK。</w:t>
      </w:r>
    </w:p>
    <w:p>
      <w:pPr>
        <w:pStyle w:val="Heading3"/>
      </w:pPr>
      <w:r>
        <w:t>研究问题</w:t>
      </w:r>
    </w:p>
    <w:p>
      <w:r>
        <w:t>摘要未明确列出研究问题；研究目的可概括为：考察18周循环式教师教育项目如何支持台湾CLIL职前教师在真实小学课堂中发展整合ChatGPT的TPACK，并分析其整合方式与TPACK发展特征。</w:t>
      </w:r>
    </w:p>
    <w:p>
      <w:pPr>
        <w:pStyle w:val="Heading3"/>
      </w:pPr>
      <w:r>
        <w:t>研究方法</w:t>
      </w:r>
    </w:p>
    <w:p>
      <w:r>
        <w:t>研究类型：多方法案例研究（multi-method case study），兼有纵向设计。参与者：48名台湾CLIL职前教师，参与18周、三轮迭代教学循环。数据来源：教案、ChatGPT互动日志、反思日志、学生作品、课堂观察。分析方法：摘要仅说明基于Mishra等TPACK框架进行TPACK分析，未明确交代具体编码或统计程序；关键词含grounded theory，但摘要未说明扎根理论的具体使用方式。摘要未说明是否使用半结构化访谈；尽管关键词含semi-structured interview，摘要所列数据来源未包含访谈。</w:t>
      </w:r>
    </w:p>
    <w:p>
      <w:pPr>
        <w:pStyle w:val="Heading3"/>
      </w:pPr>
      <w:r>
        <w:t>主要发现</w:t>
      </w:r>
    </w:p>
    <w:p>
      <w:r>
        <w:t>1. ChatGPT整合呈现清晰发展轨迹：从低阶任务走向高阶任务，从单向导师式使用转向协作伙伴式参与，从文本为主的学习经验转向多模态学习经验。2. TPACK分析显示职前教师较强强调技术教学知识TPK，并日益有信心利用ChatGPT的生成性与社会性可供性支持CLIL教学。3. 情境知识XK发展有限，尤其在伦理、社会文化和制度考量方面仍显不足。</w:t>
      </w:r>
    </w:p>
    <w:p>
      <w:pPr>
        <w:pStyle w:val="Heading3"/>
      </w:pPr>
      <w:r>
        <w:t>对教师教育研究的启示</w:t>
      </w:r>
    </w:p>
    <w:p>
      <w:r>
        <w:t>对教师教育研究的启示：其一，前沿主题上应关注生成式AI与TPACK、CLIL及真实课堂整合的交叉，尤其要把伦理、社会文化和制度情境纳入教师智能素养培养。其二，研究设计上可采用纵向、多方法案例研究，追踪职前教师在多轮教学循环中的知识发展轨迹。其三，数据收集可整合教案、平台互动日志、反思日志、学生作品和课堂观察等多源过程性证据，以捕捉人机互动的任务层级与模态变化。其四，分析方法上摘要对具体程序说明不足，后续研究应明确编码、追踪与个案比较策略；若使用扎根理论或访谈，需在设计中清楚交代。</w:t>
      </w:r>
    </w:p>
    <w:p>
      <w:pPr>
        <w:pStyle w:val="Heading3"/>
      </w:pPr>
      <w:r>
        <w:t>APA引用格式</w:t>
      </w:r>
    </w:p>
    <w:p>
      <w:r>
        <w:t>Wu, Y.-j. A. (2026). Developing preservice teachers’ TPACK for ChatGPT integration in CLIL: A longitudinal study in authentic classroom settings. Computer Assisted Language Learning. Advance online publication. https://doi.org/10.1080/09588221.2026.2742458</w:t>
      </w:r>
    </w:p>
    <w:p>
      <w:r>
        <w:br w:type="page"/>
      </w:r>
    </w:p>
    <w:p>
      <w:pPr>
        <w:pStyle w:val="Heading2"/>
      </w:pPr>
      <w:r>
        <w:t>3. What AI competency do K-12 teachers need? Framework construction based on teachers' work scenarios and the development and validation of a scale / K-12教师需要何种AI素养？基于教师工作场景的框架构建及量表开发与验证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</w:tcPr>
          <w:p>
            <w:r>
              <w:rPr>
                <w:b/>
              </w:rPr>
              <w:t>标题</w:t>
            </w:r>
          </w:p>
        </w:tc>
        <w:tc>
          <w:tcPr>
            <w:tcW w:type="dxa" w:w="4997"/>
          </w:tcPr>
          <w:p>
            <w:r>
              <w:t>What AI competency do K-12 teachers need? Framework construction based on teachers' work scenarios and the development and validation of a scale / K-12教师需要何种AI素养？基于教师工作场景的框架构建及量表开发与验证</w:t>
            </w:r>
          </w:p>
        </w:tc>
      </w:tr>
      <w:tr>
        <w:tc>
          <w:tcPr>
            <w:tcW w:type="dxa" w:w="4997"/>
          </w:tcPr>
          <w:p>
            <w:r>
              <w:rPr>
                <w:b/>
              </w:rPr>
              <w:t>作者</w:t>
            </w:r>
          </w:p>
        </w:tc>
        <w:tc>
          <w:tcPr>
            <w:tcW w:type="dxa" w:w="4997"/>
          </w:tcPr>
          <w:p>
            <w:r>
              <w:t>Gaoyu Chen, Xiaoyi Zhou, Hang Lu, Linggang Mou, Mohamed Oubibi, Yueliang Zhou</w:t>
            </w:r>
          </w:p>
        </w:tc>
      </w:tr>
      <w:tr>
        <w:tc>
          <w:tcPr>
            <w:tcW w:type="dxa" w:w="4997"/>
          </w:tcPr>
          <w:p>
            <w:r>
              <w:rPr>
                <w:b/>
              </w:rPr>
              <w:t>期刊及影响因子</w:t>
            </w:r>
          </w:p>
        </w:tc>
        <w:tc>
          <w:tcPr>
            <w:tcW w:type="dxa" w:w="4997"/>
          </w:tcPr>
          <w:p>
            <w:r>
              <w:t>白名单未提供影响因子 / 白名单未提供JCR分区</w:t>
            </w:r>
          </w:p>
        </w:tc>
      </w:tr>
      <w:tr>
        <w:tc>
          <w:tcPr>
            <w:tcW w:type="dxa" w:w="4997"/>
          </w:tcPr>
          <w:p>
            <w:r>
              <w:rPr>
                <w:b/>
              </w:rPr>
              <w:t>JIF/影响因子</w:t>
            </w:r>
          </w:p>
        </w:tc>
        <w:tc>
          <w:tcPr>
            <w:tcW w:type="dxa" w:w="4997"/>
          </w:tcPr>
          <w:p>
            <w:r>
              <w:t>白名单未提供</w:t>
            </w:r>
          </w:p>
        </w:tc>
      </w:tr>
      <w:tr>
        <w:tc>
          <w:tcPr>
            <w:tcW w:type="dxa" w:w="4997"/>
          </w:tcPr>
          <w:p>
            <w:r>
              <w:rPr>
                <w:b/>
              </w:rPr>
              <w:t>JCR分区</w:t>
            </w:r>
          </w:p>
        </w:tc>
        <w:tc>
          <w:tcPr>
            <w:tcW w:type="dxa" w:w="4997"/>
          </w:tcPr>
          <w:p>
            <w:r>
              <w:t>白名单未提供</w:t>
            </w:r>
          </w:p>
        </w:tc>
      </w:tr>
      <w:tr>
        <w:tc>
          <w:tcPr>
            <w:tcW w:type="dxa" w:w="4997"/>
          </w:tcPr>
          <w:p>
            <w:r>
              <w:rPr>
                <w:b/>
              </w:rPr>
              <w:t>CiteScore</w:t>
            </w:r>
          </w:p>
        </w:tc>
        <w:tc>
          <w:tcPr>
            <w:tcW w:type="dxa" w:w="4997"/>
          </w:tcPr>
          <w:p>
            <w:r>
              <w:t>白名单未提供</w:t>
            </w:r>
          </w:p>
        </w:tc>
      </w:tr>
      <w:tr>
        <w:tc>
          <w:tcPr>
            <w:tcW w:type="dxa" w:w="4997"/>
          </w:tcPr>
          <w:p>
            <w:r>
              <w:rPr>
                <w:b/>
              </w:rPr>
              <w:t>出版社</w:t>
            </w:r>
          </w:p>
        </w:tc>
        <w:tc>
          <w:tcPr>
            <w:tcW w:type="dxa" w:w="4997"/>
          </w:tcPr>
          <w:p>
            <w:r>
              <w:t>1556-6501</w:t>
            </w:r>
          </w:p>
        </w:tc>
      </w:tr>
      <w:tr>
        <w:tc>
          <w:tcPr>
            <w:tcW w:type="dxa" w:w="4997"/>
          </w:tcPr>
          <w:p>
            <w:r>
              <w:rPr>
                <w:b/>
              </w:rPr>
              <w:t>卷期/DOI</w:t>
            </w:r>
          </w:p>
        </w:tc>
        <w:tc>
          <w:tcPr>
            <w:tcW w:type="dxa" w:w="4997"/>
          </w:tcPr>
          <w:p>
            <w:r>
              <w:t>卷期未说明；DOI: https://doi.org/10.1007/s11423-026-10741-9</w:t>
            </w:r>
          </w:p>
        </w:tc>
      </w:tr>
      <w:tr>
        <w:tc>
          <w:tcPr>
            <w:tcW w:type="dxa" w:w="4997"/>
          </w:tcPr>
          <w:p>
            <w:r>
              <w:rPr>
                <w:b/>
              </w:rPr>
              <w:t>在线发表时间</w:t>
            </w:r>
          </w:p>
        </w:tc>
        <w:tc>
          <w:tcPr>
            <w:tcW w:type="dxa" w:w="4997"/>
          </w:tcPr>
          <w:p>
            <w:r>
              <w:t>2026-10-21</w:t>
            </w:r>
          </w:p>
        </w:tc>
      </w:tr>
      <w:tr>
        <w:tc>
          <w:tcPr>
            <w:tcW w:type="dxa" w:w="4997"/>
          </w:tcPr>
          <w:p>
            <w:r>
              <w:rPr>
                <w:b/>
              </w:rPr>
              <w:t>SSCI分类</w:t>
            </w:r>
          </w:p>
        </w:tc>
        <w:tc>
          <w:tcPr>
            <w:tcW w:type="dxa" w:w="4997"/>
          </w:tcPr>
          <w:p>
            <w:r>
              <w:t>Education &amp; Educational Research；English</w:t>
            </w:r>
          </w:p>
        </w:tc>
      </w:tr>
      <w:tr>
        <w:tc>
          <w:tcPr>
            <w:tcW w:type="dxa" w:w="4997"/>
          </w:tcPr>
          <w:p>
            <w:r>
              <w:rPr>
                <w:b/>
              </w:rPr>
              <w:t>论文链接</w:t>
            </w:r>
          </w:p>
        </w:tc>
        <w:tc>
          <w:tcPr>
            <w:tcW w:type="dxa" w:w="4997"/>
          </w:tcPr>
          <w:p>
            <w:hyperlink r:id="rId11">
              <w:r>
                <w:rPr>
                  <w:color w:val="0563C1"/>
                  <w:u w:val="single"/>
                </w:rPr>
                <w:t>https://doi.org/10.1007/s11423-026-10741-9</w:t>
              </w:r>
            </w:hyperlink>
          </w:p>
        </w:tc>
      </w:tr>
    </w:tbl>
    <w:p>
      <w:pPr>
        <w:pStyle w:val="Heading3"/>
      </w:pPr>
      <w:r>
        <w:t>研究摘要</w:t>
      </w:r>
    </w:p>
    <w:p>
      <w:r>
        <w:t>英文摘要未提供，无法形成基于摘要的中文摘要。依据题目仅能确认：研究围绕K-12教师所需AI素养，尝试基于教师工作场景构建框架，并开发与验证相应量表；具体研究背景、样本、方法、结果与结论摘要未说明。</w:t>
      </w:r>
    </w:p>
    <w:p>
      <w:pPr>
        <w:pStyle w:val="Heading3"/>
      </w:pPr>
      <w:r>
        <w:t>研究主要内容</w:t>
      </w:r>
    </w:p>
    <w:p>
      <w:r>
        <w:t>题目显示，论文聚焦K-12教师AI素养，内容包括基于教师工作场景构建AI素养框架，以及开发并验证测量该框架的量表。由于摘要未提供，论文的具体理论框架、维度构成、样本来源、数据收集过程、量表题项、信效度检验结果和结论均无法判断。</w:t>
      </w:r>
    </w:p>
    <w:p>
      <w:pPr>
        <w:pStyle w:val="Heading3"/>
      </w:pPr>
      <w:r>
        <w:t>研究论点</w:t>
      </w:r>
    </w:p>
    <w:p>
      <w:r>
        <w:t>摘要未提供，无法判断论文的核心论点或理论主张；题目仅显示研究试图回答K-12教师需要何种AI素养，并通过场景化框架构建与量表开发验证来推进该问题。</w:t>
      </w:r>
    </w:p>
    <w:p>
      <w:pPr>
        <w:pStyle w:val="Heading3"/>
      </w:pPr>
      <w:r>
        <w:t>研究问题</w:t>
      </w:r>
    </w:p>
    <w:p>
      <w:r>
        <w:t>题目显示的核心问题包括：K-12教师需要具备哪些AI素养？如何基于教师工作场景构建该素养框架？如何开发并验证测量该框架的量表？具体研究问题摘要未说明。</w:t>
      </w:r>
    </w:p>
    <w:p>
      <w:pPr>
        <w:pStyle w:val="Heading3"/>
      </w:pPr>
      <w:r>
        <w:t>研究方法</w:t>
      </w:r>
    </w:p>
    <w:p>
      <w:r>
        <w:t>研究类型：摘要未说明；题目提示包含框架构建与量表开发/验证，但不能据此判定为定量、定性或混合研究。样本或参与者：摘要未说明。数据来源：摘要未说明。分析方法：摘要未说明；量表开发与验证可能涉及因素分析、信效度检验等，但本文是否采用及具体程序摘要未说明，不能作为本文事实。</w:t>
      </w:r>
    </w:p>
    <w:p>
      <w:pPr>
        <w:pStyle w:val="Heading3"/>
      </w:pPr>
      <w:r>
        <w:t>主要发现</w:t>
      </w:r>
    </w:p>
    <w:p>
      <w:r>
        <w:t>['摘要未提供，无法确认具体研究结果，如AI素养维度、量表结构、信效度指标等。', '题目显示研究提出面向K-12教师的AI素养框架，并以教师工作场景作为框架构建基础；框架具体维度与内容摘要未说明。', '题目显示研究开发并验证测量量表；量表题项、样本、验证结果与适用边界摘要未说明。']</w:t>
      </w:r>
    </w:p>
    <w:p>
      <w:pPr>
        <w:pStyle w:val="Heading3"/>
      </w:pPr>
      <w:r>
        <w:t>对教师教育研究的启示</w:t>
      </w:r>
    </w:p>
    <w:p>
      <w:r>
        <w:t>仅基于题目与元数据可见：第一，前沿主题上，K-12教师AI素养可尝试场景化操作化，将教师工作场景与专业发展需求连接起来；第二，研究设计上，可关注“框架构建—量表开发—验证”的证据链，但需阅读全文确认其研究类型、抽样方式、数据来源和分析程序；第三，数据收集与分析上，摘要缺失，无法判断其如何收集教师场景数据、如何检验量表信效度，后续简报应补充全文信息，避免仅凭题目推断。</w:t>
      </w:r>
    </w:p>
    <w:p>
      <w:pPr>
        <w:pStyle w:val="Heading3"/>
      </w:pPr>
      <w:r>
        <w:t>APA引用格式</w:t>
      </w:r>
    </w:p>
    <w:p>
      <w:r>
        <w:t>Chen, G., Zhou, X., Lu, H., Mou, L., Oubibi, M., &amp; Zhou, Y. (2026). What AI competency do K-12 teachers need? Framework construction based on teachers' work scenarios and the development and validation of a scale. Educational Technology Research and Development. https://doi.org/10.1007/s11423-026-10741-9</w:t>
      </w:r>
    </w:p>
    <w:p>
      <w:r>
        <w:br w:type="page"/>
      </w:r>
    </w:p>
    <w:p>
      <w:pPr>
        <w:pStyle w:val="Heading2"/>
      </w:pPr>
      <w:r>
        <w:t>4. Data science for K-12: A design-based research study / 面向K-12的数据科学：一项设计本位研究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</w:tcPr>
          <w:p>
            <w:r>
              <w:rPr>
                <w:b/>
              </w:rPr>
              <w:t>标题</w:t>
            </w:r>
          </w:p>
        </w:tc>
        <w:tc>
          <w:tcPr>
            <w:tcW w:type="dxa" w:w="4997"/>
          </w:tcPr>
          <w:p>
            <w:r>
              <w:t>Data science for K-12: A design-based research study / 面向K-12的数据科学：一项设计本位研究</w:t>
            </w:r>
          </w:p>
        </w:tc>
      </w:tr>
      <w:tr>
        <w:tc>
          <w:tcPr>
            <w:tcW w:type="dxa" w:w="4997"/>
          </w:tcPr>
          <w:p>
            <w:r>
              <w:rPr>
                <w:b/>
              </w:rPr>
              <w:t>作者</w:t>
            </w:r>
          </w:p>
        </w:tc>
        <w:tc>
          <w:tcPr>
            <w:tcW w:type="dxa" w:w="4997"/>
          </w:tcPr>
          <w:p>
            <w:r>
              <w:t>Andrew A. Tawfik, Luiz Barboza, Andrew McGregor Olney, Yeonji Jung</w:t>
            </w:r>
          </w:p>
        </w:tc>
      </w:tr>
      <w:tr>
        <w:tc>
          <w:tcPr>
            <w:tcW w:type="dxa" w:w="4997"/>
          </w:tcPr>
          <w:p>
            <w:r>
              <w:rPr>
                <w:b/>
              </w:rPr>
              <w:t>期刊及影响因子</w:t>
            </w:r>
          </w:p>
        </w:tc>
        <w:tc>
          <w:tcPr>
            <w:tcW w:type="dxa" w:w="4997"/>
          </w:tcPr>
          <w:p>
            <w:r>
              <w:t>Educational Technology Research and Development；SSCI Education &amp; Educational Research, English；白名单未提供影响因子与JCR分区。</w:t>
            </w:r>
          </w:p>
        </w:tc>
      </w:tr>
      <w:tr>
        <w:tc>
          <w:tcPr>
            <w:tcW w:type="dxa" w:w="4997"/>
          </w:tcPr>
          <w:p>
            <w:r>
              <w:rPr>
                <w:b/>
              </w:rPr>
              <w:t>JIF/影响因子</w:t>
            </w:r>
          </w:p>
        </w:tc>
        <w:tc>
          <w:tcPr>
            <w:tcW w:type="dxa" w:w="4997"/>
          </w:tcPr>
          <w:p>
            <w:r>
              <w:t>白名单未提供</w:t>
            </w:r>
          </w:p>
        </w:tc>
      </w:tr>
      <w:tr>
        <w:tc>
          <w:tcPr>
            <w:tcW w:type="dxa" w:w="4997"/>
          </w:tcPr>
          <w:p>
            <w:r>
              <w:rPr>
                <w:b/>
              </w:rPr>
              <w:t>JCR分区</w:t>
            </w:r>
          </w:p>
        </w:tc>
        <w:tc>
          <w:tcPr>
            <w:tcW w:type="dxa" w:w="4997"/>
          </w:tcPr>
          <w:p>
            <w:r>
              <w:t>白名单未提供</w:t>
            </w:r>
          </w:p>
        </w:tc>
      </w:tr>
      <w:tr>
        <w:tc>
          <w:tcPr>
            <w:tcW w:type="dxa" w:w="4997"/>
          </w:tcPr>
          <w:p>
            <w:r>
              <w:rPr>
                <w:b/>
              </w:rPr>
              <w:t>CiteScore</w:t>
            </w:r>
          </w:p>
        </w:tc>
        <w:tc>
          <w:tcPr>
            <w:tcW w:type="dxa" w:w="4997"/>
          </w:tcPr>
          <w:p>
            <w:r>
              <w:t>白名单未提供</w:t>
            </w:r>
          </w:p>
        </w:tc>
      </w:tr>
      <w:tr>
        <w:tc>
          <w:tcPr>
            <w:tcW w:type="dxa" w:w="4997"/>
          </w:tcPr>
          <w:p>
            <w:r>
              <w:rPr>
                <w:b/>
              </w:rPr>
              <w:t>出版社</w:t>
            </w:r>
          </w:p>
        </w:tc>
        <w:tc>
          <w:tcPr>
            <w:tcW w:type="dxa" w:w="4997"/>
          </w:tcPr>
          <w:p>
            <w:r>
              <w:t>1556-6501</w:t>
            </w:r>
          </w:p>
        </w:tc>
      </w:tr>
      <w:tr>
        <w:tc>
          <w:tcPr>
            <w:tcW w:type="dxa" w:w="4997"/>
          </w:tcPr>
          <w:p>
            <w:r>
              <w:rPr>
                <w:b/>
              </w:rPr>
              <w:t>卷期/DOI</w:t>
            </w:r>
          </w:p>
        </w:tc>
        <w:tc>
          <w:tcPr>
            <w:tcW w:type="dxa" w:w="4997"/>
          </w:tcPr>
          <w:p>
            <w:r>
              <w:t>卷期：元数据未提供；DOI：https://doi.org/10.1007/s11423-026-10735-7</w:t>
            </w:r>
          </w:p>
        </w:tc>
      </w:tr>
      <w:tr>
        <w:tc>
          <w:tcPr>
            <w:tcW w:type="dxa" w:w="4997"/>
          </w:tcPr>
          <w:p>
            <w:r>
              <w:rPr>
                <w:b/>
              </w:rPr>
              <w:t>在线发表时间</w:t>
            </w:r>
          </w:p>
        </w:tc>
        <w:tc>
          <w:tcPr>
            <w:tcW w:type="dxa" w:w="4997"/>
          </w:tcPr>
          <w:p>
            <w:r>
              <w:t>2026-10-21</w:t>
            </w:r>
          </w:p>
        </w:tc>
      </w:tr>
      <w:tr>
        <w:tc>
          <w:tcPr>
            <w:tcW w:type="dxa" w:w="4997"/>
          </w:tcPr>
          <w:p>
            <w:r>
              <w:rPr>
                <w:b/>
              </w:rPr>
              <w:t>SSCI分类</w:t>
            </w:r>
          </w:p>
        </w:tc>
        <w:tc>
          <w:tcPr>
            <w:tcW w:type="dxa" w:w="4997"/>
          </w:tcPr>
          <w:p>
            <w:r>
              <w:t>Education &amp; Educational Research；English</w:t>
            </w:r>
          </w:p>
        </w:tc>
      </w:tr>
      <w:tr>
        <w:tc>
          <w:tcPr>
            <w:tcW w:type="dxa" w:w="4997"/>
          </w:tcPr>
          <w:p>
            <w:r>
              <w:rPr>
                <w:b/>
              </w:rPr>
              <w:t>论文链接</w:t>
            </w:r>
          </w:p>
        </w:tc>
        <w:tc>
          <w:tcPr>
            <w:tcW w:type="dxa" w:w="4997"/>
          </w:tcPr>
          <w:p>
            <w:hyperlink r:id="rId12">
              <w:r>
                <w:rPr>
                  <w:color w:val="0563C1"/>
                  <w:u w:val="single"/>
                </w:rPr>
                <w:t>https://doi.org/10.1007/s11423-026-10735-7</w:t>
              </w:r>
            </w:hyperlink>
          </w:p>
        </w:tc>
      </w:tr>
    </w:tbl>
    <w:p>
      <w:pPr>
        <w:pStyle w:val="Heading3"/>
      </w:pPr>
      <w:r>
        <w:t>研究摘要</w:t>
      </w:r>
    </w:p>
    <w:p>
      <w:r>
        <w:t>数据科学融合计算机科学、统计学与机器学习。迄今许多数据科学教学发生在研究生项目或自主课程中，K-12教育者与学习者接触正式数据科学教育的机会较少。尽管已有在大学前教育阶段引入数据科学的尝试，但支持在职教师数据科学教学的学习设计策略研究仍不足。本研究采用设计本位研究（DBR）开发可获取、有吸引力的开放获取学习资源，以降低各教育阶段数据科学教学障碍。基于K-12数据科学缺口，研究识别五项设计要素：（a）修订数据科学内容范围；（b）互动学习的设计标准化；（c）面向案例学习重构数据科学；（d）以人工智能促进数据个性化；（e）通过目标导向学习开展数据科学编程。项目还通过教师专业发展引入课程，提供初中和高中阶段数据科学的重要洞见与挑战，并讨论对学习设计、开放教育资源、数据科学标准等的启示。</w:t>
      </w:r>
    </w:p>
    <w:p>
      <w:pPr>
        <w:pStyle w:val="Heading3"/>
      </w:pPr>
      <w:r>
        <w:t>研究主要内容</w:t>
      </w:r>
    </w:p>
    <w:p>
      <w:r>
        <w:t>论文关注K-12阶段正式数据科学教育机会不足的问题，尤其是面向在职教师的学习设计研究缺乏。研究采用设计本位研究（DBR），开发开放获取学习资源，并提炼五项设计要素：内容范围修订、互动学习设计标准化、案例化重构、AI支持数据个性化、目标导向的编程学习。课程通过教师专业发展实施，报告初中和高中阶段数据科学的洞见与挑战，并讨论学习设计、开放教育资源与数据科学标准等启示。</w:t>
      </w:r>
    </w:p>
    <w:p>
      <w:pPr>
        <w:pStyle w:val="Heading3"/>
      </w:pPr>
      <w:r>
        <w:t>研究论点</w:t>
      </w:r>
    </w:p>
    <w:p>
      <w:r>
        <w:t>论文主张：K-12数据科学教育机会有限，且面向在职教师的学习设计策略研究不足；因此应以DBR迭代开发可获取、有吸引力的开放获取资源，系统提炼内容范围、互动标准化、案例化、AI个性化与目标化编程等设计要素，并通过教师专业发展理解中学阶段实施的洞见与挑战。</w:t>
      </w:r>
    </w:p>
    <w:p>
      <w:pPr>
        <w:pStyle w:val="Heading3"/>
      </w:pPr>
      <w:r>
        <w:t>研究问题</w:t>
      </w:r>
    </w:p>
    <w:p>
      <w:r>
        <w:t>摘要未明确列出研究问题。根据摘要，研究可概括为：如何通过设计本位研究开发可获取、有吸引力的开放获取学习资源，识别支持K-12在职教师数据科学教学的学习设计要素，并降低数据科学教学障碍？</w:t>
      </w:r>
    </w:p>
    <w:p>
      <w:pPr>
        <w:pStyle w:val="Heading3"/>
      </w:pPr>
      <w:r>
        <w:t>研究方法</w:t>
      </w:r>
    </w:p>
    <w:p>
      <w:r>
        <w:t>研究类型：设计本位研究（DBR），属于迭代式设计/开发研究；摘要未明确标注为定量、定性或混合方法。参与者：涉及在职教师，并通过教师专业发展引入课程，指向初中和高中阶段；具体样本量、学校/地区、招募方式摘要未说明。数据来源：摘要仅提及DBR开发过程及教师专业发展中的洞见与挑战，未说明具体数据来源（如访谈、观察、问卷、作品等）。分析方法：摘要未说明。</w:t>
      </w:r>
    </w:p>
    <w:p>
      <w:pPr>
        <w:pStyle w:val="Heading3"/>
      </w:pPr>
      <w:r>
        <w:t>主要发现</w:t>
      </w:r>
    </w:p>
    <w:p>
      <w:r>
        <w:t>1）DBR识别五项设计要素：修订数据科学内容范围、互动学习设计标准化、面向案例学习重构数据科学、以AI促进数据个性化、通过目标导向学习开展数据科学编程。2）项目通过教师专业发展引入课程，提供了初中和高中阶段数据科学实施的重要洞见与挑战。3）研究开发开放获取学习资源以降低数据科学教学障碍，并讨论了对学习设计、开放教育资源、数据科学标准等的启示。</w:t>
      </w:r>
    </w:p>
    <w:p>
      <w:pPr>
        <w:pStyle w:val="Heading3"/>
      </w:pPr>
      <w:r>
        <w:t>对教师教育研究的启示</w:t>
      </w:r>
    </w:p>
    <w:p>
      <w:r>
        <w:t>对教师教育研究的启示：一是可关注在职教师数据科学教学设计与开放教育资源开发，尤其是AI支持数据个性化、案例化学习和目标导向编程等前沿主题；二是DBR适合课程/资源迭代开发与教师专业发展协同研究，但后续研究应明确参与者、迭代轮次、实施情境与样本信息；三是数据收集可在教师专业发展中结合设计过程记录、教师反馈、实施挑战与学生表现等，分析方法需透明报告；摘要未说明具体数据来源与分析方法，提示该领域研究需增强方法学透明度与可复现性。</w:t>
      </w:r>
    </w:p>
    <w:p>
      <w:pPr>
        <w:pStyle w:val="Heading3"/>
      </w:pPr>
      <w:r>
        <w:t>APA引用格式</w:t>
      </w:r>
    </w:p>
    <w:p>
      <w:r>
        <w:t>Tawfik, A. A., Barboza, L., Olney, A. M., &amp; Jung, Y. (2026, October 21). Data science for K-12: A design-based research study. Educational Technology Research and Development. https://doi.org/10.1007/s11423-026-10735-7</w:t>
      </w:r>
    </w:p>
    <w:p>
      <w:r>
        <w:br w:type="page"/>
      </w:r>
    </w:p>
    <w:p>
      <w:pPr>
        <w:pStyle w:val="Heading2"/>
      </w:pPr>
      <w:r>
        <w:t>5. Digitalisation and Educational Transformation: An Ethnographic Study of Urban Ghanaian Classrooms / 数字化与教育转型：对加纳城市中学课堂的民族志研究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</w:tcPr>
          <w:p>
            <w:r>
              <w:rPr>
                <w:b/>
              </w:rPr>
              <w:t>标题</w:t>
            </w:r>
          </w:p>
        </w:tc>
        <w:tc>
          <w:tcPr>
            <w:tcW w:type="dxa" w:w="4997"/>
          </w:tcPr>
          <w:p>
            <w:r>
              <w:t>Digitalisation and Educational Transformation: An Ethnographic Study of Urban Ghanaian Classrooms / 数字化与教育转型：对加纳城市中学课堂的民族志研究</w:t>
            </w:r>
          </w:p>
        </w:tc>
      </w:tr>
      <w:tr>
        <w:tc>
          <w:tcPr>
            <w:tcW w:type="dxa" w:w="4997"/>
          </w:tcPr>
          <w:p>
            <w:r>
              <w:rPr>
                <w:b/>
              </w:rPr>
              <w:t>作者</w:t>
            </w:r>
          </w:p>
        </w:tc>
        <w:tc>
          <w:tcPr>
            <w:tcW w:type="dxa" w:w="4997"/>
          </w:tcPr>
          <w:p>
            <w:r>
              <w:t>Kwame Asante, Ama Serwaa Mensah</w:t>
            </w:r>
          </w:p>
        </w:tc>
      </w:tr>
      <w:tr>
        <w:tc>
          <w:tcPr>
            <w:tcW w:type="dxa" w:w="4997"/>
          </w:tcPr>
          <w:p>
            <w:r>
              <w:rPr>
                <w:b/>
              </w:rPr>
              <w:t>期刊及影响因子</w:t>
            </w:r>
          </w:p>
        </w:tc>
        <w:tc>
          <w:tcPr>
            <w:tcW w:type="dxa" w:w="4997"/>
          </w:tcPr>
          <w:p>
            <w:r>
              <w:t>元数据标注SSCI分类：Management；白名单未提供影响因子/JCR分区。期刊/平台：Zenodo (CERN European Organization for Nuclear Research)。</w:t>
            </w:r>
          </w:p>
        </w:tc>
      </w:tr>
      <w:tr>
        <w:tc>
          <w:tcPr>
            <w:tcW w:type="dxa" w:w="4997"/>
          </w:tcPr>
          <w:p>
            <w:r>
              <w:rPr>
                <w:b/>
              </w:rPr>
              <w:t>JIF/影响因子</w:t>
            </w:r>
          </w:p>
        </w:tc>
        <w:tc>
          <w:tcPr>
            <w:tcW w:type="dxa" w:w="4997"/>
          </w:tcPr>
          <w:p>
            <w:r>
              <w:t>白名单未提供</w:t>
            </w:r>
          </w:p>
        </w:tc>
      </w:tr>
      <w:tr>
        <w:tc>
          <w:tcPr>
            <w:tcW w:type="dxa" w:w="4997"/>
          </w:tcPr>
          <w:p>
            <w:r>
              <w:rPr>
                <w:b/>
              </w:rPr>
              <w:t>JCR分区</w:t>
            </w:r>
          </w:p>
        </w:tc>
        <w:tc>
          <w:tcPr>
            <w:tcW w:type="dxa" w:w="4997"/>
          </w:tcPr>
          <w:p>
            <w:r>
              <w:t>白名单未提供</w:t>
            </w:r>
          </w:p>
        </w:tc>
      </w:tr>
      <w:tr>
        <w:tc>
          <w:tcPr>
            <w:tcW w:type="dxa" w:w="4997"/>
          </w:tcPr>
          <w:p>
            <w:r>
              <w:rPr>
                <w:b/>
              </w:rPr>
              <w:t>CiteScore</w:t>
            </w:r>
          </w:p>
        </w:tc>
        <w:tc>
          <w:tcPr>
            <w:tcW w:type="dxa" w:w="4997"/>
          </w:tcPr>
          <w:p>
            <w:r>
              <w:t>白名单未提供</w:t>
            </w:r>
          </w:p>
        </w:tc>
      </w:tr>
      <w:tr>
        <w:tc>
          <w:tcPr>
            <w:tcW w:type="dxa" w:w="4997"/>
          </w:tcPr>
          <w:p>
            <w:r>
              <w:rPr>
                <w:b/>
              </w:rPr>
              <w:t>出版社</w:t>
            </w:r>
          </w:p>
        </w:tc>
        <w:tc>
          <w:tcPr>
            <w:tcW w:type="dxa" w:w="4997"/>
          </w:tcPr>
          <w:p>
            <w:r>
              <w:t>SAGE PUBLICATIONS LTD</w:t>
            </w:r>
          </w:p>
        </w:tc>
      </w:tr>
      <w:tr>
        <w:tc>
          <w:tcPr>
            <w:tcW w:type="dxa" w:w="4997"/>
          </w:tcPr>
          <w:p>
            <w:r>
              <w:rPr>
                <w:b/>
              </w:rPr>
              <w:t>卷期/DOI</w:t>
            </w:r>
          </w:p>
        </w:tc>
        <w:tc>
          <w:tcPr>
            <w:tcW w:type="dxa" w:w="4997"/>
          </w:tcPr>
          <w:p>
            <w:r>
              <w:t>卷期未说明；DOI: https://doi.org/10.5281/zenodo.18388795</w:t>
            </w:r>
          </w:p>
        </w:tc>
      </w:tr>
      <w:tr>
        <w:tc>
          <w:tcPr>
            <w:tcW w:type="dxa" w:w="4997"/>
          </w:tcPr>
          <w:p>
            <w:r>
              <w:rPr>
                <w:b/>
              </w:rPr>
              <w:t>在线发表时间</w:t>
            </w:r>
          </w:p>
        </w:tc>
        <w:tc>
          <w:tcPr>
            <w:tcW w:type="dxa" w:w="4997"/>
          </w:tcPr>
          <w:p>
            <w:r>
              <w:t>2026-10-23</w:t>
            </w:r>
          </w:p>
        </w:tc>
      </w:tr>
      <w:tr>
        <w:tc>
          <w:tcPr>
            <w:tcW w:type="dxa" w:w="4997"/>
          </w:tcPr>
          <w:p>
            <w:r>
              <w:rPr>
                <w:b/>
              </w:rPr>
              <w:t>SSCI分类</w:t>
            </w:r>
          </w:p>
        </w:tc>
        <w:tc>
          <w:tcPr>
            <w:tcW w:type="dxa" w:w="4997"/>
          </w:tcPr>
          <w:p>
            <w:r>
              <w:t>Management</w:t>
            </w:r>
          </w:p>
        </w:tc>
      </w:tr>
      <w:tr>
        <w:tc>
          <w:tcPr>
            <w:tcW w:type="dxa" w:w="4997"/>
          </w:tcPr>
          <w:p>
            <w:r>
              <w:rPr>
                <w:b/>
              </w:rPr>
              <w:t>论文链接</w:t>
            </w:r>
          </w:p>
        </w:tc>
        <w:tc>
          <w:tcPr>
            <w:tcW w:type="dxa" w:w="4997"/>
          </w:tcPr>
          <w:p>
            <w:hyperlink r:id="rId13">
              <w:r>
                <w:rPr>
                  <w:color w:val="0563C1"/>
                  <w:u w:val="single"/>
                </w:rPr>
                <w:t>https://doi.org/10.5281/zenodo.18388795</w:t>
              </w:r>
            </w:hyperlink>
          </w:p>
        </w:tc>
      </w:tr>
    </w:tbl>
    <w:p>
      <w:pPr>
        <w:pStyle w:val="Heading3"/>
      </w:pPr>
      <w:r>
        <w:t>研究摘要</w:t>
      </w:r>
    </w:p>
    <w:p>
      <w:r>
        <w:t>该研究采用民族志方法，考察加纳城市中学数字技术的实施情况，批判性分析国家ICT政策目标与课堂现实之间的落差。研究于2023—2025年在阿克拉和库马西三所学校开展持续参与观察，并对教师和学生进行深度访谈，分析数字工具在基础设施与教学法受限情境中如何被采纳、调适和抵制。研究发现一种“数字实用主义”：2021—2025年ICT教育政策增加了硬件供给，但技术整合仍较表层；教育者创造性改造智能手机、投影仪等基础技术，却主要强化既有以教师为中心的方法，而非促进学生主导的变革性学习。持续挑战包括电力不稳定、教育者数字素养不均以及课程侧重高风险考试。研究认为，若不解决基础设施与教学法约束，数字化可能加剧而非缓解教育不平等；其贡献在于提供以非洲为中心、强调本地能动性与情境现实的 grounded 视角，并主张将技术与持续专业发展和课程改革相结合的共创策略。</w:t>
      </w:r>
    </w:p>
    <w:p>
      <w:pPr>
        <w:pStyle w:val="Heading3"/>
      </w:pPr>
      <w:r>
        <w:t>研究主要内容</w:t>
      </w:r>
    </w:p>
    <w:p>
      <w:r>
        <w:t>论文以加纳阿克拉与库马西三所城市中学为田野，关注国家ICT教育政策与课堂实践之间的分歧。研究考察数字工具在资源受限的教育情境中如何被采用、改造与抵制，并提出“数字实用主义”概念，描述教师如何在电力不稳、数字素养不均和考试导向课程等约束下，对智能手机、投影仪等基础技术进行创造性再用途化。论文强调，硬件供给增加并不等于教学变革；技术使用更多服务于既有教师中心教学法，而非学生主导的变革性学习。研究还从非洲本土视角出发，主张超越 imported technological solutionism，重视本地行动者的能动性与情境现实。</w:t>
      </w:r>
    </w:p>
    <w:p>
      <w:pPr>
        <w:pStyle w:val="Heading3"/>
      </w:pPr>
      <w:r>
        <w:t>研究论点</w:t>
      </w:r>
    </w:p>
    <w:p>
      <w:r>
        <w:t>核心论点是：数字化的教育转型不能仅靠硬件投入和技术移植；若不解决基础设施、教师数字素养与课程考试导向等基础性约束，数字化可能扩大而非缩小教育不平等。有意义的整合需要与持续专业发展和课程改革协同的共创策略，并应以本地能动性和情境现实为中心。</w:t>
      </w:r>
    </w:p>
    <w:p>
      <w:pPr>
        <w:pStyle w:val="Heading3"/>
      </w:pPr>
      <w:r>
        <w:t>研究问题</w:t>
      </w:r>
    </w:p>
    <w:p>
      <w:r>
        <w:t>摘要未明确列出研究问题；从摘要可归纳，研究关注国家ICT政策目标与加纳城市中学课堂现实之间为何及如何出现分歧，数字工具在基础设施与教学法受限情境中如何被采纳、调适和抵制，以及这对教育公平与教学变革意味着什么。</w:t>
      </w:r>
    </w:p>
    <w:p>
      <w:pPr>
        <w:pStyle w:val="Heading3"/>
      </w:pPr>
      <w:r>
        <w:t>研究方法</w:t>
      </w:r>
    </w:p>
    <w:p>
      <w:r>
        <w:t>研究类型：定性研究，采用民族志设计。参与者：阿克拉和库马西三所城市中学的教师与学生；具体样本量摘要未说明。数据来源：2023—2025年持续参与观察，以及对教师和学生的深度访谈。分析方法：摘要未说明具体分析方法（如编码、主题分析等均未提及）。</w:t>
      </w:r>
    </w:p>
    <w:p>
      <w:pPr>
        <w:pStyle w:val="Heading3"/>
      </w:pPr>
      <w:r>
        <w:t>主要发现</w:t>
      </w:r>
    </w:p>
    <w:p>
      <w:r>
        <w:t>1. 政策增加硬件供给但技术整合仍较表层，呈现“数字实用主义”：教育者创造性改造智能手机、投影仪等基础技术，却主要强化既有以教师为中心的方法，而非支持学生主导的变革性学习。2. 持续挑战包括电力供应不稳定、教育者数字素养不均，以及课程强调高风险考试准备，这些因素共同限制技术整合深度。3. 研究认为，若不解决基础设施与教学法约束，数字化可能加剧而非缓解教育不平等；需要将技术与持续专业发展、课程改革相结合的共创策略。</w:t>
      </w:r>
    </w:p>
    <w:p>
      <w:pPr>
        <w:pStyle w:val="Heading3"/>
      </w:pPr>
      <w:r>
        <w:t>对教师教育研究的启示</w:t>
      </w:r>
    </w:p>
    <w:p>
      <w:r>
        <w:t>对教师教育研究的启示：第一，前沿主题上应超越设备配置，关注教师数字素养/智能素养、教师能动性、技术再用途化及批判性技术观，并考察教师培训与课程改革、持续专业发展的协同。第二，研究设计上，长期民族志和持续参与观察适合捕捉政策—实践落差及课堂技术使用过程，但后续研究需明确抽样策略、样本量与分析程序。第三，数据收集上可借鉴教师与学生深度访谈结合课堂观察，并补充政策文本与学校层面资料以增强三角互证。第四，分析方法上，该摘要未报告具体分析框架与编码/主题分析过程，教师教育研究应明确分析步骤以提升可复现性。</w:t>
      </w:r>
    </w:p>
    <w:p>
      <w:pPr>
        <w:pStyle w:val="Heading3"/>
      </w:pPr>
      <w:r>
        <w:t>APA引用格式</w:t>
      </w:r>
    </w:p>
    <w:p>
      <w:r>
        <w:t>Asante, K., &amp; Mensah, A. S. (2026). Digitalisation and educational transformation: An ethnographic study of urban Ghanaian classrooms. Zenodo. https://doi.org/10.5281/zenodo.18388795</w:t>
      </w:r>
    </w:p>
    <w:p>
      <w:pPr>
        <w:pStyle w:val="Heading1"/>
      </w:pPr>
      <w:r>
        <w:t>运行统计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</w:tcPr>
          <w:p>
            <w:r>
              <w:rPr>
                <w:b/>
              </w:rPr>
              <w:t>检索数量</w:t>
            </w:r>
          </w:p>
        </w:tc>
        <w:tc>
          <w:tcPr>
            <w:tcW w:type="dxa" w:w="4997"/>
          </w:tcPr>
          <w:p>
            <w:r>
              <w:t>750</w:t>
            </w:r>
          </w:p>
        </w:tc>
      </w:tr>
      <w:tr>
        <w:tc>
          <w:tcPr>
            <w:tcW w:type="dxa" w:w="4997"/>
          </w:tcPr>
          <w:p>
            <w:r>
              <w:rPr>
                <w:b/>
              </w:rPr>
              <w:t>筛选数量</w:t>
            </w:r>
          </w:p>
        </w:tc>
        <w:tc>
          <w:tcPr>
            <w:tcW w:type="dxa" w:w="4997"/>
          </w:tcPr>
          <w:p>
            <w:r>
              <w:t>5</w:t>
            </w:r>
          </w:p>
        </w:tc>
      </w:tr>
      <w:tr>
        <w:tc>
          <w:tcPr>
            <w:tcW w:type="dxa" w:w="4997"/>
          </w:tcPr>
          <w:p>
            <w:r>
              <w:rPr>
                <w:b/>
              </w:rPr>
              <w:t>AI成功数量</w:t>
            </w:r>
          </w:p>
        </w:tc>
        <w:tc>
          <w:tcPr>
            <w:tcW w:type="dxa" w:w="4997"/>
          </w:tcPr>
          <w:p>
            <w:r>
              <w:t>5</w:t>
            </w:r>
          </w:p>
        </w:tc>
      </w:tr>
      <w:tr>
        <w:tc>
          <w:tcPr>
            <w:tcW w:type="dxa" w:w="4997"/>
          </w:tcPr>
          <w:p>
            <w:r>
              <w:rPr>
                <w:b/>
              </w:rPr>
              <w:t>失败数量</w:t>
            </w:r>
          </w:p>
        </w:tc>
        <w:tc>
          <w:tcPr>
            <w:tcW w:type="dxa" w:w="4997"/>
          </w:tcPr>
          <w:p>
            <w:r>
              <w:t>0</w:t>
            </w:r>
          </w:p>
        </w:tc>
      </w:tr>
      <w:tr>
        <w:tc>
          <w:tcPr>
            <w:tcW w:type="dxa" w:w="4997"/>
          </w:tcPr>
          <w:p>
            <w:r>
              <w:rPr>
                <w:b/>
              </w:rPr>
              <w:t>API耗时</w:t>
            </w:r>
          </w:p>
        </w:tc>
        <w:tc>
          <w:tcPr>
            <w:tcW w:type="dxa" w:w="4997"/>
          </w:tcPr>
          <w:p>
            <w:r>
              <w:t>103.54 秒</w:t>
            </w:r>
          </w:p>
        </w:tc>
      </w:tr>
    </w:tbl>
    <w:sectPr w:rsidR="00FC693F" w:rsidRPr="0006063C" w:rsidSect="00034616">
      <w:pgSz w:w="12240" w:h="15840"/>
      <w:pgMar w:top="1037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2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5496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F5D9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7497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F5496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doi.org/10.1111/ejed.70912" TargetMode="External"/><Relationship Id="rId10" Type="http://schemas.openxmlformats.org/officeDocument/2006/relationships/hyperlink" Target="https://doi.org/10.1080/09588221.2026.2742458" TargetMode="External"/><Relationship Id="rId11" Type="http://schemas.openxmlformats.org/officeDocument/2006/relationships/hyperlink" Target="https://doi.org/10.1007/s11423-026-10741-9" TargetMode="External"/><Relationship Id="rId12" Type="http://schemas.openxmlformats.org/officeDocument/2006/relationships/hyperlink" Target="https://doi.org/10.1007/s11423-026-10735-7" TargetMode="External"/><Relationship Id="rId13" Type="http://schemas.openxmlformats.org/officeDocument/2006/relationships/hyperlink" Target="https://doi.org/10.5281/zenodo.1838879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