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每日SSCI文献简报｜2026-10-05</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2026-10-05 10:46:53（北京时间）</w:t>
            </w:r>
          </w:p>
        </w:tc>
      </w:tr>
      <w:tr>
        <w:tc>
          <w:tcPr>
            <w:tcW w:type="dxa" w:w="4997"/>
          </w:tcPr>
          <w:p>
            <w:r>
              <w:rPr>
                <w:b/>
              </w:rPr>
              <w:t>检索窗口</w:t>
            </w:r>
          </w:p>
        </w:tc>
        <w:tc>
          <w:tcPr>
            <w:tcW w:type="dxa" w:w="4997"/>
          </w:tcPr>
          <w:p>
            <w:r>
              <w:t>2023-10-06 — 2026-10-05</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融入语言与商科教育，关注其学习伙伴效用、局限与学习者感知。趋势从工具效率转向人机协同：AI做表层反馈，教师育高阶思维，强调批判性AI素养与伦理责任，尤贴近汉语作为外语和大学英语写作情境。</w:t>
      </w:r>
    </w:p>
    <w:p>
      <w:pPr>
        <w:pStyle w:val="Heading1"/>
      </w:pPr>
      <w:r>
        <w:t>目录</w:t>
      </w:r>
    </w:p>
    <w:p>
      <w:pPr>
        <w:pStyle w:val="ListNumber"/>
      </w:pPr>
      <w:r>
        <w:rPr>
          <w:b/>
        </w:rPr>
        <w:t>生成式人工智能在汉语作为外语学习中的作用：来自爱尔兰大学生的视角</w:t>
      </w:r>
      <w:r>
        <w:t>｜Journal of China Computer-Assisted Language Learning｜2026-10-05</w:t>
      </w:r>
    </w:p>
    <w:p>
      <w:pPr>
        <w:pStyle w:val="ListNumber"/>
      </w:pPr>
      <w:r>
        <w:rPr>
          <w:b/>
        </w:rPr>
        <w:t>“你能听到我吗，ChatGPT？”：课外EFL口语练习中的互动模式、挑战与学习者感知</w:t>
      </w:r>
      <w:r>
        <w:t>｜Journal of China Computer-Assisted Language Learning｜2026-10-05</w:t>
      </w:r>
    </w:p>
    <w:p>
      <w:pPr>
        <w:pStyle w:val="ListNumber"/>
      </w:pPr>
      <w:r>
        <w:rPr>
          <w:b/>
        </w:rPr>
        <w:t>什么必须仍由人类承担？面向2030年重新思考商业教育——商业物理AI实验室集体文章</w:t>
      </w:r>
      <w:r>
        <w:t>｜Zenodo (CERN European Organization for Nuclear Research)｜2026-10-03</w:t>
      </w:r>
    </w:p>
    <w:p>
      <w:pPr>
        <w:pStyle w:val="ListNumber"/>
      </w:pPr>
      <w:r>
        <w:rPr>
          <w:b/>
        </w:rPr>
        <w:t>什么必须保持为人类？为2030重新思考商科教育：商业物理AI实验室的集体文章</w:t>
      </w:r>
      <w:r>
        <w:t>｜Zenodo (CERN European Organization for Nuclear Research)｜2026-10-03</w:t>
      </w:r>
    </w:p>
    <w:p>
      <w:pPr>
        <w:pStyle w:val="ListNumber"/>
      </w:pPr>
      <w:r>
        <w:rPr>
          <w:b/>
        </w:rPr>
        <w:t>人工智能反馈在大学英语写作评估中的应用</w:t>
      </w:r>
      <w:r>
        <w:t>｜Studies in English Language Teaching｜2026-10-04</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The role of GenAI in learning Chinese as a foreign language: perspectives from university students in Ireland / 生成式人工智能在汉语作为外语学习中的作用：来自爱尔兰大学生的视角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role of GenAI in learning Chinese as a foreign language: perspectives from university students in Ireland / 生成式人工智能在汉语作为外语学习中的作用：来自爱尔兰大学生的视角</w:t>
            </w:r>
          </w:p>
        </w:tc>
      </w:tr>
      <w:tr>
        <w:tc>
          <w:tcPr>
            <w:tcW w:type="dxa" w:w="4997"/>
          </w:tcPr>
          <w:p>
            <w:r>
              <w:rPr>
                <w:b/>
              </w:rPr>
              <w:t>作者</w:t>
            </w:r>
          </w:p>
        </w:tc>
        <w:tc>
          <w:tcPr>
            <w:tcW w:type="dxa" w:w="4997"/>
          </w:tcPr>
          <w:p>
            <w:r>
              <w:t>Weiming Liu, Françoise Blin</w:t>
            </w:r>
          </w:p>
        </w:tc>
      </w:tr>
      <w:tr>
        <w:tc>
          <w:tcPr>
            <w:tcW w:type="dxa" w:w="4997"/>
          </w:tcPr>
          <w:p>
            <w:r>
              <w:rPr>
                <w:b/>
              </w:rPr>
              <w:t>期刊及影响因子</w:t>
            </w:r>
          </w:p>
        </w:tc>
        <w:tc>
          <w:tcPr>
            <w:tcW w:type="dxa" w:w="4997"/>
          </w:tcPr>
          <w:p>
            <w:r>
              <w:t>期刊：Journal of China Computer-Assisted Language Learning；SSCI分类：Education &amp; Educational Research, Linguistics；白名单未提供影响因子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卷期缺失；DOI: 10.1515/jccall-2026-0001</w:t>
            </w:r>
          </w:p>
        </w:tc>
      </w:tr>
      <w:tr>
        <w:tc>
          <w:tcPr>
            <w:tcW w:type="dxa" w:w="4997"/>
          </w:tcPr>
          <w:p>
            <w:r>
              <w:rPr>
                <w:b/>
              </w:rPr>
              <w:t>在线发表时间</w:t>
            </w:r>
          </w:p>
        </w:tc>
        <w:tc>
          <w:tcPr>
            <w:tcW w:type="dxa" w:w="4997"/>
          </w:tcPr>
          <w:p>
            <w:r>
              <w:t>2026-10-05</w:t>
            </w:r>
          </w:p>
        </w:tc>
      </w:tr>
      <w:tr>
        <w:tc>
          <w:tcPr>
            <w:tcW w:type="dxa" w:w="4997"/>
          </w:tcPr>
          <w:p>
            <w:r>
              <w:rPr>
                <w:b/>
              </w:rPr>
              <w:t>SSCI分类</w:t>
            </w:r>
          </w:p>
        </w:tc>
        <w:tc>
          <w:tcPr>
            <w:tcW w:type="dxa" w:w="4997"/>
          </w:tcPr>
          <w:p>
            <w:r>
              <w:t>Education &amp; Educational Research；Linguistics</w:t>
            </w:r>
          </w:p>
        </w:tc>
      </w:tr>
      <w:tr>
        <w:tc>
          <w:tcPr>
            <w:tcW w:type="dxa" w:w="4997"/>
          </w:tcPr>
          <w:p>
            <w:r>
              <w:rPr>
                <w:b/>
              </w:rPr>
              <w:t>论文链接</w:t>
            </w:r>
          </w:p>
        </w:tc>
        <w:tc>
          <w:tcPr>
            <w:tcW w:type="dxa" w:w="4997"/>
          </w:tcPr>
          <w:p>
            <w:hyperlink r:id="rId9">
              <w:r>
                <w:rPr>
                  <w:color w:val="0563C1"/>
                  <w:u w:val="single"/>
                </w:rPr>
                <w:t>https://doi.org/10.1515/jccall-2026-0001</w:t>
              </w:r>
            </w:hyperlink>
          </w:p>
        </w:tc>
      </w:tr>
    </w:tbl>
    <w:p>
      <w:pPr>
        <w:pStyle w:val="Heading3"/>
      </w:pPr>
      <w:r>
        <w:t>研究摘要</w:t>
      </w:r>
    </w:p>
    <w:p>
      <w:r>
        <w:t>生成式人工智能正在重塑语言教育，并持续影响学习者获取、生产和评价知识的方式。然而，其在爱尔兰汉语作为外语学习中的应用仍有限且研究不足。本研究调查爱尔兰大学生如何使用GenAI工具支持其CFL学习。作为一项小规模探索性研究，研究于2025年5月至6月向爱尔兰五所大学发放匿名在线问卷，获得来自四个年级学生的19份有效回答。定量数据展示了GenAI使用分布；对开放式回答的主题分析则揭示了学习者体验、取向与伦理观点。研究发现初步提出三类学习者画像：务实使用者、批判使用者和原则性非使用者。总体上，GenAI呈现为一种有条件的“学习伙伴”，既提供教学益处，也带来挑战。研究通过提供来自代表性不足情境的实证证据，有助于CFL课程设计、语言教师教育和政策制定，以促进高等教育中负责任地使用GenAI。</w:t>
      </w:r>
    </w:p>
    <w:p>
      <w:pPr>
        <w:pStyle w:val="Heading3"/>
      </w:pPr>
      <w:r>
        <w:t>研究主要内容</w:t>
      </w:r>
    </w:p>
    <w:p>
      <w:r>
        <w:t>论文聚焦爱尔兰高等教育情境中大学生使用生成式人工智能支持汉语作为外语学习的问题。研究指出GenAI正在改变语言教育中知识获取、生产与评价方式，但其在爱尔兰CFL学习中的具体应用仍未被充分探讨。研究采用小规模探索性设计，于2025年5月至6月通过匿名在线问卷在五所爱尔兰大学收集数据，最终获得四个年级学生的19份有效回答。数据包括定量部分和开放式回答：定量数据用于呈现GenAI使用分布，开放式回答通过主题分析呈现学习者体验、取向与伦理观点。研究识别出务实使用者、批判使用者和原则性非使用者三类初步学习者画像，并将GenAI概括为一种有条件的“学习伙伴”。需要注意的是，该研究对象为大学生，不属于学前教育或基础教育阶段，但其关于AI语言学习应用、学习者伦理取向和混合方法探索设计的内容，可为AI教学应用与教师教育研究提供方法参考。</w:t>
      </w:r>
    </w:p>
    <w:p>
      <w:pPr>
        <w:pStyle w:val="Heading3"/>
      </w:pPr>
      <w:r>
        <w:t>研究论点</w:t>
      </w:r>
    </w:p>
    <w:p>
      <w:r>
        <w:t>核心论证：在爱尔兰CFL高等教育情境中，大学生对GenAI的使用并非单一同质，而是呈现分化且受条件影响的模式；GenAI可作为有条件的“学习伙伴”，同时带来教学益处与挑战。因此，CFL课程设计、语言教师教育和政策制定需要关注学习者的差异化使用画像、体验、取向与伦理视角，以推动负责任地整合GenAI。</w:t>
      </w:r>
    </w:p>
    <w:p>
      <w:pPr>
        <w:pStyle w:val="Heading3"/>
      </w:pPr>
      <w:r>
        <w:t>研究问题</w:t>
      </w:r>
    </w:p>
    <w:p>
      <w:r>
        <w:t>摘要未明确以“研究问题”形式列出正式问题；其研究目的为：调查爱尔兰大学生如何接触和使用生成式人工智能工具来支持其汉语作为外语学习。</w:t>
      </w:r>
    </w:p>
    <w:p>
      <w:pPr>
        <w:pStyle w:val="Heading3"/>
      </w:pPr>
      <w:r>
        <w:t>研究方法</w:t>
      </w:r>
    </w:p>
    <w:p>
      <w:r>
        <w:t>研究类型：小规模探索性研究；摘要同时提及定量数据与开放式回答的主题分析，可判断为混合方法取向，但具体混合设计类型摘要未说明。样本/参与者：来自爱尔兰五所大学、四个年级的学生，共获得19份有效匿名在线问卷回答；抽样方式、参与者人口学信息、汉语水平等摘要未说明。数据来源：2025年5月至6月通过匿名在线问卷收集的定量数据和开放式回答。分析方法：定量数据用于展示GenAI使用分布；开放式回答采用主题分析。问卷工具、量表来源、信效度检验、具体统计分析方法、伦理审批程序等摘要未说明。</w:t>
      </w:r>
    </w:p>
    <w:p>
      <w:pPr>
        <w:pStyle w:val="Heading3"/>
      </w:pPr>
      <w:r>
        <w:t>主要发现</w:t>
      </w:r>
    </w:p>
    <w:p>
      <w:r>
        <w:t>1. 定量数据展示了GenAI在爱尔兰大学生CFL学习中的使用分布，但具体使用比例、频率、工具类型等摘要未说明。2. 对开放式回答的主题分析初步识别出三类学习者画像：务实使用者、批判使用者和原则性非使用者，反映学习者在体验、取向与伦理观点上的差异。3. 总体上，GenAI被视为一种有条件的“学习伙伴”，既带来教学益处，也伴随挑战；研究据此强调在高等教育中负责任使用GenAI，并为CFL课程设计、语言教师教育和政策制定提供实证依据。</w:t>
      </w:r>
    </w:p>
    <w:p>
      <w:pPr>
        <w:pStyle w:val="Heading3"/>
      </w:pPr>
      <w:r>
        <w:t>对教师教育研究的启示</w:t>
      </w:r>
    </w:p>
    <w:p>
      <w:r>
        <w:t>对教师教育研究的启示：该研究属于高等教育CFL情境，不直接覆盖学前教育或基础教育，但其小规模探索性混合方法设计、匿名在线问卷与开放题主题分析路径，可为AI教学应用、教师数字素养/智能素养/数据素养、教师教育与教师培训中的AI整合研究提供方法参考。其三类学习者画像提示教师教育研究应关注学习者或教师对GenAI的差异化使用取向、伦理视角与条件性接纳，而非假定同质化采用。若迁移到学前与基础教育，未来研究需明确抽样、样本特征、问卷或访谈工具的信效度、统计与质性分析程序及伦理审批；摘要未说明教师教育干预效果，因此相关启示应谨慎推断。</w:t>
      </w:r>
    </w:p>
    <w:p>
      <w:pPr>
        <w:pStyle w:val="Heading3"/>
      </w:pPr>
      <w:r>
        <w:t>APA引用格式</w:t>
      </w:r>
    </w:p>
    <w:p>
      <w:r>
        <w:t>Liu, W., &amp; Blin, F. (2026). The role of GenAI in learning Chinese as a foreign language: Perspectives from university students in Ireland. Journal of China Computer-Assisted Language Learning. Advance online publication. https://doi.org/10.1515/jccall-2026-0001</w:t>
      </w:r>
    </w:p>
    <w:p>
      <w:r>
        <w:br w:type="page"/>
      </w:r>
    </w:p>
    <w:p>
      <w:pPr>
        <w:pStyle w:val="Heading2"/>
      </w:pPr>
      <w:r>
        <w:t>2. “Can you hear me, ChatGPT?”: interaction patterns, challenges, and learner perceptions in out-of-class EFL speaking practice / “你能听到我吗，ChatGPT？”：课外EFL口语练习中的互动模式、挑战与学习者感知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“Can you hear me, ChatGPT?”: interaction patterns, challenges, and learner perceptions in out-of-class EFL speaking practice / “你能听到我吗，ChatGPT？”：课外EFL口语练习中的互动模式、挑战与学习者感知</w:t>
            </w:r>
          </w:p>
        </w:tc>
      </w:tr>
      <w:tr>
        <w:tc>
          <w:tcPr>
            <w:tcW w:type="dxa" w:w="4997"/>
          </w:tcPr>
          <w:p>
            <w:r>
              <w:rPr>
                <w:b/>
              </w:rPr>
              <w:t>作者</w:t>
            </w:r>
          </w:p>
        </w:tc>
        <w:tc>
          <w:tcPr>
            <w:tcW w:type="dxa" w:w="4997"/>
          </w:tcPr>
          <w:p>
            <w:r>
              <w:t>Wenzheng Huang, Hao Zhou</w:t>
            </w:r>
          </w:p>
        </w:tc>
      </w:tr>
      <w:tr>
        <w:tc>
          <w:tcPr>
            <w:tcW w:type="dxa" w:w="4997"/>
          </w:tcPr>
          <w:p>
            <w:r>
              <w:rPr>
                <w:b/>
              </w:rPr>
              <w:t>期刊及影响因子</w:t>
            </w:r>
          </w:p>
        </w:tc>
        <w:tc>
          <w:tcPr>
            <w:tcW w:type="dxa" w:w="4997"/>
          </w:tcPr>
          <w:p>
            <w:r>
              <w:t>期刊：Journal of China Computer-Assisted Language Learning；SSCI分类：Education &amp; Educational Research, Linguistics；影响因子/JCR分区：白名单未提供影响因子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卷期：摘要未说明；DOI：10.1515/jccall-2026-0011</w:t>
            </w:r>
          </w:p>
        </w:tc>
      </w:tr>
      <w:tr>
        <w:tc>
          <w:tcPr>
            <w:tcW w:type="dxa" w:w="4997"/>
          </w:tcPr>
          <w:p>
            <w:r>
              <w:rPr>
                <w:b/>
              </w:rPr>
              <w:t>在线发表时间</w:t>
            </w:r>
          </w:p>
        </w:tc>
        <w:tc>
          <w:tcPr>
            <w:tcW w:type="dxa" w:w="4997"/>
          </w:tcPr>
          <w:p>
            <w:r>
              <w:t>2026-10-05</w:t>
            </w:r>
          </w:p>
        </w:tc>
      </w:tr>
      <w:tr>
        <w:tc>
          <w:tcPr>
            <w:tcW w:type="dxa" w:w="4997"/>
          </w:tcPr>
          <w:p>
            <w:r>
              <w:rPr>
                <w:b/>
              </w:rPr>
              <w:t>SSCI分类</w:t>
            </w:r>
          </w:p>
        </w:tc>
        <w:tc>
          <w:tcPr>
            <w:tcW w:type="dxa" w:w="4997"/>
          </w:tcPr>
          <w:p>
            <w:r>
              <w:t>Education &amp; Educational Research；Linguistics</w:t>
            </w:r>
          </w:p>
        </w:tc>
      </w:tr>
      <w:tr>
        <w:tc>
          <w:tcPr>
            <w:tcW w:type="dxa" w:w="4997"/>
          </w:tcPr>
          <w:p>
            <w:r>
              <w:rPr>
                <w:b/>
              </w:rPr>
              <w:t>论文链接</w:t>
            </w:r>
          </w:p>
        </w:tc>
        <w:tc>
          <w:tcPr>
            <w:tcW w:type="dxa" w:w="4997"/>
          </w:tcPr>
          <w:p>
            <w:hyperlink r:id="rId10">
              <w:r>
                <w:rPr>
                  <w:color w:val="0563C1"/>
                  <w:u w:val="single"/>
                </w:rPr>
                <w:t>https://doi.org/10.1515/jccall-2026-0011</w:t>
              </w:r>
            </w:hyperlink>
          </w:p>
        </w:tc>
      </w:tr>
    </w:tbl>
    <w:p>
      <w:pPr>
        <w:pStyle w:val="Heading3"/>
      </w:pPr>
      <w:r>
        <w:t>研究摘要</w:t>
      </w:r>
    </w:p>
    <w:p>
      <w:r>
        <w:t>该研究探讨生成式AI语音交互能力扩展背景下，EFL学习者将ChatGPT作为课外语言伙伴的互动模式，以及互动模式与学习者感知在15周内的演变。研究在日本某大学进行，30名EFL学生通过智能手机围绕6个指定话题与ChatGPT对话。数据包括对话录音、转写文本和前后测问卷。内容分析显示，学生主要采用回应式策略，较少主动引导对话或提问；任务设计影响互动模式。随着时间推移，对话长度和主动输出增加，表明互动参与度与对AI中介口语练习的熟悉度提升。但反复出现的技术问题，尤其是中断，常破坏会话流畅性并导致脱离，开放式问卷也反映这一点。研究结论强调GenAI可补充而非替代人际互动，教育者需建立应对技术限制、支架学习者自主性并培养批判性AI素养的框架。</w:t>
      </w:r>
    </w:p>
    <w:p>
      <w:pPr>
        <w:pStyle w:val="Heading3"/>
      </w:pPr>
      <w:r>
        <w:t>研究主要内容</w:t>
      </w:r>
    </w:p>
    <w:p>
      <w:r>
        <w:t>论文关注GenAI语音交互在课外外语口语练习中的应用，以ChatGPT作为语言伙伴。研究采用15周纵向设计，在日本大学招募30名EFL学生，让其用智能手机围绕6个指定话题与ChatGPT对话。数据来源包括对话录音、转写文本和前后测调查（含开放式题项）。分析采用内容分析，并观察互动模式与学习者感知随时间的变化。结果发现学生互动以回应ChatGPT问题为主，主动引导或提问较少；任务设计会影响互动模式；随时间推移对话更长、主动输出更多。技术中断等问题会破坏会话流并导致脱离。研究因此主张避免技术乐观主义，强调AI补充而非取代人际互动，并需培养批判性AI素养。该研究样本为大学EFL学习者，不直接覆盖学前教育或基础教育阶段。</w:t>
      </w:r>
    </w:p>
    <w:p>
      <w:pPr>
        <w:pStyle w:val="Heading3"/>
      </w:pPr>
      <w:r>
        <w:t>研究论点</w:t>
      </w:r>
    </w:p>
    <w:p>
      <w:r>
        <w:t>核心论点是：GenAI语音交互为课外口语练习提供有价值机会，但其技术限制与互动局限表明技术本身不会自动转化学习；AI应补充而非替代人际互动，教育者需设计应对技术约束、支架自主性并培养批判性AI素养的教学框架。</w:t>
      </w:r>
    </w:p>
    <w:p>
      <w:pPr>
        <w:pStyle w:val="Heading3"/>
      </w:pPr>
      <w:r>
        <w:t>研究问题</w:t>
      </w:r>
    </w:p>
    <w:p>
      <w:r>
        <w:t>摘要显示研究问题为：1）EFL学习者将ChatGPT作为课外语言伙伴时呈现何种互动模式？2）这些互动模式与学习者感知在15周内如何演变？摘要还提到任务设计影响互动模式，但未将其列为独立研究问题。</w:t>
      </w:r>
    </w:p>
    <w:p>
      <w:pPr>
        <w:pStyle w:val="Heading3"/>
      </w:pPr>
      <w:r>
        <w:t>研究方法</w:t>
      </w:r>
    </w:p>
    <w:p>
      <w:r>
        <w:t>研究类型：摘要未明确标注定量、定性或混合方法；从设计看为15周纵向追踪，结合对话内容分析与前后测问卷，具有混合方法取向。参与者：日本某大学30名EFL学生。数据来源：智能手机上与ChatGPT围绕6个指定话题的对话录音、转写文本、前测和后测问卷（含开放式回答）。分析方法：内容分析；摘要提及随时间比较对话长度和主动输出，但未说明具体量化统计方法、抽样策略、信效度检验、伦理程序或访谈等补充数据。</w:t>
      </w:r>
    </w:p>
    <w:p>
      <w:pPr>
        <w:pStyle w:val="Heading3"/>
      </w:pPr>
      <w:r>
        <w:t>主要发现</w:t>
      </w:r>
    </w:p>
    <w:p>
      <w:r>
        <w:t>1）互动模式：学生主要依赖回应式策略，多回应ChatGPT的提问，较少主动引导对话或提问；任务设计也会影响互动模式。2）时间演变：在15周内，对话长度和主动输出增加，显示互动参与度提高、对AI中介口语练习更熟悉。3）挑战与感知：反复出现的技术问题，尤其是中断，常破坏会话流程并导致脱离，开放式问卷也反映了这一点；研究据此指出GenAI可补充而非替代人际互动。</w:t>
      </w:r>
    </w:p>
    <w:p>
      <w:pPr>
        <w:pStyle w:val="Heading3"/>
      </w:pPr>
      <w:r>
        <w:t>对教师教育研究的启示</w:t>
      </w:r>
    </w:p>
    <w:p>
      <w:r>
        <w:t>1）前沿主题：教师教育可关注GenAI语音交互、课外语言练习、学习者自主性、任务设计、技术中断与批判性AI素养。2）研究设计：该文提供15周纵向追踪、真实任务中多源数据（录音、转写、前后测问卷）的示例，适合研究AI整合中的互动模式与感知变化。3）数据收集与分析：内容分析与开放式问卷结合可捕捉互动过程与主观体验；未来在学前教育/基础教育可增加课堂观察、教师日志、学生访谈、多模态学习分析和准实验设计，并检验技术故障应对与教师支架策略。4）实践启示：教师培训应培养设计AI口语任务、支架学习者自主性、处理技术限制、引导学生批判性使用AI及理解人机互动边界的能力；但该研究为大学EFL情境，向基础教育推广需谨慎。</w:t>
      </w:r>
    </w:p>
    <w:p>
      <w:pPr>
        <w:pStyle w:val="Heading3"/>
      </w:pPr>
      <w:r>
        <w:t>APA引用格式</w:t>
      </w:r>
    </w:p>
    <w:p>
      <w:r>
        <w:t>Huang, W., &amp; Zhou, H. (2026). “Can you hear me, ChatGPT?”: Interaction patterns, challenges, and learner perceptions in out-of-class EFL speaking practice. Journal of China Computer-Assisted Language Learning. https://doi.org/10.1515/jccall-2026-0011</w:t>
      </w:r>
    </w:p>
    <w:p>
      <w:r>
        <w:br w:type="page"/>
      </w:r>
    </w:p>
    <w:p>
      <w:pPr>
        <w:pStyle w:val="Heading2"/>
      </w:pPr>
      <w:r>
        <w:t>3. What Must Remain Human? Rethinking Business Education for 2030: A Collective Article by the Business Physics AI Lab / 什么必须仍由人类承担？面向2030年重新思考商业教育——商业物理AI实验室集体文章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What Must Remain Human? Rethinking Business Education for 2030: A Collective Article by the Business Physics AI Lab / 什么必须仍由人类承担？面向2030年重新思考商业教育——商业物理AI实验室集体文章</w:t>
            </w:r>
          </w:p>
        </w:tc>
      </w:tr>
      <w:tr>
        <w:tc>
          <w:tcPr>
            <w:tcW w:type="dxa" w:w="4997"/>
          </w:tcPr>
          <w:p>
            <w:r>
              <w:rPr>
                <w:b/>
              </w:rPr>
              <w:t>作者</w:t>
            </w:r>
          </w:p>
        </w:tc>
        <w:tc>
          <w:tcPr>
            <w:tcW w:type="dxa" w:w="4997"/>
          </w:tcPr>
          <w:p>
            <w:r>
              <w:t>Thomas Hormaza Dow, Vinay Kumar, Sébastien Favre, Ann Lockquell, Banafsheh Peyrovian, Ahmed MS Hegazy, Martin Berezaga, Viviane Paul</w:t>
            </w:r>
          </w:p>
        </w:tc>
      </w:tr>
      <w:tr>
        <w:tc>
          <w:tcPr>
            <w:tcW w:type="dxa" w:w="4997"/>
          </w:tcPr>
          <w:p>
            <w:r>
              <w:rPr>
                <w:b/>
              </w:rPr>
              <w:t>期刊及影响因子</w:t>
            </w:r>
          </w:p>
        </w:tc>
        <w:tc>
          <w:tcPr>
            <w:tcW w:type="dxa" w:w="4997"/>
          </w:tcPr>
          <w:p>
            <w:r>
              <w:t>期刊/平台：Zenodo (CERN European Organization for Nuclear Research)；SSCI分类：Management；影响因子/分区：白名单未提供影响因子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 https://doi.org/10.5281/zenodo.23123641</w:t>
            </w:r>
          </w:p>
        </w:tc>
      </w:tr>
      <w:tr>
        <w:tc>
          <w:tcPr>
            <w:tcW w:type="dxa" w:w="4997"/>
          </w:tcPr>
          <w:p>
            <w:r>
              <w:rPr>
                <w:b/>
              </w:rPr>
              <w:t>在线发表时间</w:t>
            </w:r>
          </w:p>
        </w:tc>
        <w:tc>
          <w:tcPr>
            <w:tcW w:type="dxa" w:w="4997"/>
          </w:tcPr>
          <w:p>
            <w:r>
              <w:t>2026-10-03</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https://doi.org/10.5281/zenodo.23123641</w:t>
              </w:r>
            </w:hyperlink>
          </w:p>
        </w:tc>
      </w:tr>
    </w:tbl>
    <w:p>
      <w:pPr>
        <w:pStyle w:val="Heading3"/>
      </w:pPr>
      <w:r>
        <w:t>研究摘要</w:t>
      </w:r>
    </w:p>
    <w:p>
      <w:r>
        <w:t>该文为商业教育领域的集体概念性文章，关注生成式与代理式AI能快速产出市场分析、预测和客户演示后，商科学生真正理解什么的问题。文章询问商业教育到2030年必须有意培养哪些人类能力，使AI扩展专业能力，同时判断、能动性和责任仍由人承担。Business Physics AI Simulation Lab的16名成员从各自领域作答，2个AI代理也作答，共形成18个视角。作者综合这些视角，识别六项能力、十种反复模式，并提出“Safety of Learning by Design”原则、四层人类责任（Must Perform, Must Understand, Must Verify, Must Own）及REACT框架，最终给出十条商业项目建议。该文聚焦商业教育/商学院，不涉及学前教育或基础教育，也未报告定量或定性实证数据。</w:t>
      </w:r>
    </w:p>
    <w:p>
      <w:pPr>
        <w:pStyle w:val="Heading3"/>
      </w:pPr>
      <w:r>
        <w:t>研究主要内容</w:t>
      </w:r>
    </w:p>
    <w:p>
      <w:r>
        <w:t>文章从商业教育出发，指出生成式和代理式AI已能在数分钟内生成市场分析、预测和客户演示，因而精致的AI产出难以反映商科学生真正理解了什么。Business Physics AI Simulation Lab的16名成员结合代理式AI、AI可靠性、市场研究、分析、领导力、公共关系、项目管理、网络安全、营销自动化等领域作答，2个AI代理也参与回应，共18个视角。综合后，文章识别六项2030年商业教育应培养的人类能力：问责与监督；独立思考与问题框定；证据、验证与批判性评估；人类沟通与关系；专业能动性与韧性；AI与技术素养。文章还归纳十种反复模式，强调基础先于委托、监督与风险成比例。基于此，文章提出“Safety of Learning by Design”原则和四层人类责任（Must Perform, Must Understand, Must Verify, Must Own），并应用REACT框架（Reason, Evidence, Accountability, Constraints, Trade-offs）作为学生决策习惯，最后给出十条商业项目建议，包括同时评估判断力与产出、把资源意识纳入AI判断。文章不涉及学前教育或基础教育，也未提供实证效果数据。</w:t>
      </w:r>
    </w:p>
    <w:p>
      <w:pPr>
        <w:pStyle w:val="Heading3"/>
      </w:pPr>
      <w:r>
        <w:t>研究论点</w:t>
      </w:r>
    </w:p>
    <w:p>
      <w:r>
        <w:t>核心论点是：生成式与代理式AI能快速产出看似专业的商业文本，但光鲜输出不能证明学生的理解，因此商业教育到2030年不应只教AI工具使用，而应有意识地培养问责与监督、独立思考、证据验证、人类沟通、专业能动性、AI与技术素养等人类能力。文章主张通过“Safety of Learning by Design”、四层人类责任和REACT框架，使AI扩展专业能力，同时将判断、能动性和责任保留在人身上，最终实现人类—AI互补。</w:t>
      </w:r>
    </w:p>
    <w:p>
      <w:pPr>
        <w:pStyle w:val="Heading3"/>
      </w:pPr>
      <w:r>
        <w:t>研究问题</w:t>
      </w:r>
    </w:p>
    <w:p>
      <w:r>
        <w:t>商业教育到2030年必须有意培养哪些人类能力，才能使AI扩展专业能力，同时让判断、能动性和责任仍由人承担？</w:t>
      </w:r>
    </w:p>
    <w:p>
      <w:pPr>
        <w:pStyle w:val="Heading3"/>
      </w:pPr>
      <w:r>
        <w:t>研究方法</w:t>
      </w:r>
    </w:p>
    <w:p>
      <w:r>
        <w:t>研究类型：概念性文章/集体观点综合，非定量、定性或混合方法的实证研究。参与者/样本：Business Physics AI Simulation Lab的16名成员，其领域包括代理式AI、AI可靠性、市场研究、分析、领导力、公共关系、项目管理、网络安全、营销自动化；另有2个AI代理回应，共18个视角。数据来源：18个视角/贡献文本。分析方法：对十八个视角进行综合（synthesis），归纳出六项能力和十种反复模式，并提出原则、责任层级与框架。摘要未说明招募方式、抽样策略、系统编码流程、编码信效度、分析软件、成员背景统计等。教育阶段：商业教育/商学院，非学前教育或基础教育；摘要未说明具体学生年级或教师样本。</w:t>
      </w:r>
    </w:p>
    <w:p>
      <w:pPr>
        <w:pStyle w:val="Heading3"/>
      </w:pPr>
      <w:r>
        <w:t>主要发现</w:t>
      </w:r>
    </w:p>
    <w:p>
      <w:r>
        <w:t>1. 综合18个视角识别出2030商业教育应有意培养的六项人类能力：问责与监督；独立思考与问题框定；证据、验证与批判性评估；人类沟通与关系；专业能动性与韧性；AI与技术素养。这些能力均以领域知识和实际工作体验为基础。2. 十种模式反复出现，尤其强调基础必须先于委托、监督应与风险成比例；文章据此提出“Safety of Learning by Design”原则，以及四层人类责任（Must Perform, Must Understand, Must Verify, Must Own）来决定AI如何进入学习活动，并用REACT框架（Reason, Evidence, Accountability, Constraints, Trade-offs）培养学生决策习惯。3. 文章给出十条商业项目建议，包括在评估产出时同时评估判断力、将资源意识纳入AI判断；其核心目标是实现人类—AI互补，让AI扩展专业能力，而判断、能动性和责任保留在人身上。</w:t>
      </w:r>
    </w:p>
    <w:p>
      <w:pPr>
        <w:pStyle w:val="Heading3"/>
      </w:pPr>
      <w:r>
        <w:t>对教师教育研究的启示</w:t>
      </w:r>
    </w:p>
    <w:p>
      <w:r>
        <w:t>该文不直接针对教师教育、学前教育或基础教育，研究对象是商业教育/商学院项目，因此对用户所列主题的匹配度有限。若迁移到教师教育研究，可关注：AI进入学习活动时需先明确哪些能力必须由人保留、哪些可委托，并采用与风险成比例的责任分层（Must Perform, Must Understand, Must Verify, Must Own）；“Safety of Learning by Design”可作为设计AI教学应用的原则，REACT可转化为教师/师范生判断AI输出的决策习惯。但该文为概念综合而非实证研究，缺少教师样本、课堂数据、前后测或编码信效度，后续教师AI素养/智能素养/数据素养研究应补充定量、定性或混合方法的实证设计，如教师问卷、访谈、课堂观察和AI使用日志分析。</w:t>
      </w:r>
    </w:p>
    <w:p>
      <w:pPr>
        <w:pStyle w:val="Heading3"/>
      </w:pPr>
      <w:r>
        <w:t>APA引用格式</w:t>
      </w:r>
    </w:p>
    <w:p>
      <w:r>
        <w:t>Hormaza Dow, T., Kumar, V., Favre, S., Lockquell, A., Peyrovian, B., Hegazy, A. M. S., Berezaga, M., &amp; Paul, V. (2026). What must remain human? Rethinking business education for 2030: A collective article by the Business Physics AI Lab. Zenodo. https://doi.org/10.5281/zenodo.23123641</w:t>
      </w:r>
    </w:p>
    <w:p>
      <w:r>
        <w:br w:type="page"/>
      </w:r>
    </w:p>
    <w:p>
      <w:pPr>
        <w:pStyle w:val="Heading2"/>
      </w:pPr>
      <w:r>
        <w:t>4. What Must Remain Human? Rethinking Business Education for 2030: A Collective Article by the Business Physics AI Lab / 什么必须保持为人类？为2030重新思考商科教育：商业物理AI实验室的集体文章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What Must Remain Human? Rethinking Business Education for 2030: A Collective Article by the Business Physics AI Lab / 什么必须保持为人类？为2030重新思考商科教育：商业物理AI实验室的集体文章</w:t>
            </w:r>
          </w:p>
        </w:tc>
      </w:tr>
      <w:tr>
        <w:tc>
          <w:tcPr>
            <w:tcW w:type="dxa" w:w="4997"/>
          </w:tcPr>
          <w:p>
            <w:r>
              <w:rPr>
                <w:b/>
              </w:rPr>
              <w:t>作者</w:t>
            </w:r>
          </w:p>
        </w:tc>
        <w:tc>
          <w:tcPr>
            <w:tcW w:type="dxa" w:w="4997"/>
          </w:tcPr>
          <w:p>
            <w:r>
              <w:t>Thomas Hormaza Dow, Vinay Kumar, Sébastien Favre, Ann Lockquell, Banafsheh Peyrovian, Ahmed MS Hegazy, Martin Berezaga, Viviane Paul</w:t>
            </w:r>
          </w:p>
        </w:tc>
      </w:tr>
      <w:tr>
        <w:tc>
          <w:tcPr>
            <w:tcW w:type="dxa" w:w="4997"/>
          </w:tcPr>
          <w:p>
            <w:r>
              <w:rPr>
                <w:b/>
              </w:rPr>
              <w:t>期刊及影响因子</w:t>
            </w:r>
          </w:p>
        </w:tc>
        <w:tc>
          <w:tcPr>
            <w:tcW w:type="dxa" w:w="4997"/>
          </w:tcPr>
          <w:p>
            <w:r>
              <w:t>期刊：Zenodo (CERN European Organization for Nuclear Research)；SSCI分类：Management；影响因子/分区：白名单未提供影响因子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卷期未说明；DOI：https://doi.org/10.5281/zenodo.23123642</w:t>
            </w:r>
          </w:p>
        </w:tc>
      </w:tr>
      <w:tr>
        <w:tc>
          <w:tcPr>
            <w:tcW w:type="dxa" w:w="4997"/>
          </w:tcPr>
          <w:p>
            <w:r>
              <w:rPr>
                <w:b/>
              </w:rPr>
              <w:t>在线发表时间</w:t>
            </w:r>
          </w:p>
        </w:tc>
        <w:tc>
          <w:tcPr>
            <w:tcW w:type="dxa" w:w="4997"/>
          </w:tcPr>
          <w:p>
            <w:r>
              <w:t>2026-10-03</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https://doi.org/10.5281/zenodo.23123642</w:t>
              </w:r>
            </w:hyperlink>
          </w:p>
        </w:tc>
      </w:tr>
    </w:tbl>
    <w:p>
      <w:pPr>
        <w:pStyle w:val="Heading3"/>
      </w:pPr>
      <w:r>
        <w:t>研究摘要</w:t>
      </w:r>
    </w:p>
    <w:p>
      <w:r>
        <w:t>生成式与智能体AI可在数分钟内生成市场分析、预测和客户演示，因此精美流畅的输出难以揭示商科学生真正理解了什么。这篇概念性文章询问：到2030年，商科教育必须有意培养哪些人类能力，才能使AI扩展专业胜任力，同时让判断、能动性和责任仍由人承担。Business Physics AI Simulation Lab的16名成员从各自领域作答，领域包括智能体AI、AI可靠性、市场研究、分析、领导力、公共关系、项目管理和营销自动化等；2个AI代理也作出回应。对18个视角的综合识别出六项能力：问责与监督；独立思考与问题框定；证据、验证与批判性评估；人类沟通与关系；专业能动性与韧性；AI与技术素养。六项均以领域知识和实际工作经验为基础。文章归纳出十个反复出现的模式，提出“设计保障学习安全”原则、四层人类责任（Must Perform、Must Understand、Must Verify、Must Own）和REACT决策习惯，并给出十条商科项目建议，主张目标是人类-AI互补。</w:t>
      </w:r>
    </w:p>
    <w:p>
      <w:pPr>
        <w:pStyle w:val="Heading3"/>
      </w:pPr>
      <w:r>
        <w:t>研究主要内容</w:t>
      </w:r>
    </w:p>
    <w:p>
      <w:r>
        <w:t>这是一篇面向2030年商科教育的概念性集体文章，研究对象为商科教育/高等教育与职业场景，并非学前教育或基础教育阶段。文章指出，生成式与智能体AI能迅速产出市场分析、预测和客户演示，但精美成果不能证明学生真正理解。文章综合18个视角，识别六项人类能力，归纳十个反复模式，提出“设计保障学习安全”原则、四层人类责任和REACT框架，并给出十条商科项目建议，主张人类-AI互补。</w:t>
      </w:r>
    </w:p>
    <w:p>
      <w:pPr>
        <w:pStyle w:val="Heading3"/>
      </w:pPr>
      <w:r>
        <w:t>研究论点</w:t>
      </w:r>
    </w:p>
    <w:p>
      <w:r>
        <w:t>核心论点是：AI可扩展专业胜任力，但判断、能动性和责任必须保留在人身上；商科教育到2030应有意培养问责与监督、独立思考、证据验证、沟通关系、专业能动性与韧性、AI技术素养等能力，且这些能力建立在领域知识和实际工作经验之上。AI进入学习活动时应遵循基础先于委托、监督与风险成比例，并通过四层责任和REACT习惯决定AI如何介入，最终目标是人类-AI互补。</w:t>
      </w:r>
    </w:p>
    <w:p>
      <w:pPr>
        <w:pStyle w:val="Heading3"/>
      </w:pPr>
      <w:r>
        <w:t>研究问题</w:t>
      </w:r>
    </w:p>
    <w:p>
      <w:r>
        <w:t>商科教育到2030必须有意培养哪些人类能力，才能使AI扩展专业胜任力，同时让判断、能动性和责任仍由人承担？</w:t>
      </w:r>
    </w:p>
    <w:p>
      <w:pPr>
        <w:pStyle w:val="Heading3"/>
      </w:pPr>
      <w:r>
        <w:t>研究方法</w:t>
      </w:r>
    </w:p>
    <w:p>
      <w:r>
        <w:t>研究类型：概念性文章/集体观点综合，非定量、定性或混合方法的实证研究。参与者/样本：Business Physics AI Simulation Lab的16名成员，领域包括智能体AI、AI可靠性、市场研究、分析、领导力、公共关系、项目管理、网络安全和营销自动化；另有2个AI代理回应，共18个视角。数据来源：16名成员从各自领域提供的观点/贡献，以及2个AI代理的回应；摘要未说明是否通过访谈、问卷、工作坊或文献收集。分析方法：对18个视角进行综合（synthesis），归纳六项能力和十个模式；摘要未说明编码、主题分析步骤、分析软件、信效度、伦理审查及样本选择标准。</w:t>
      </w:r>
    </w:p>
    <w:p>
      <w:pPr>
        <w:pStyle w:val="Heading3"/>
      </w:pPr>
      <w:r>
        <w:t>主要发现</w:t>
      </w:r>
    </w:p>
    <w:p>
      <w:r>
        <w:t>1. 识别出六项商科教育到2030应培养的人类能力：问责与监督；独立思考与问题框定；证据、验证与批判性评估；人类沟通与关系；专业能动性与韧性；AI与技术素养；六项均以领域知识和实际工作经验为基础。2. 归纳出十个反复出现的模式，最突出的是基础必须先于委托，以及监督应与风险成比例。3. 提出“设计保障学习安全”原则、四层人类责任（Must Perform、Must Understand、Must Verify、Must Own）和REACT决策习惯（Reason、Evidence、Accountability、Constraints、Trade-offs），并给出十条商科项目建议，包括在评估输出同时评估判断、将资源意识纳入AI判断，主张目标是人类-AI互补。</w:t>
      </w:r>
    </w:p>
    <w:p>
      <w:pPr>
        <w:pStyle w:val="Heading3"/>
      </w:pPr>
      <w:r>
        <w:t>对教师教育研究的启示</w:t>
      </w:r>
    </w:p>
    <w:p>
      <w:r>
        <w:t>该文不直接研究学前教育或基础教育，而是商科教育/高等教育，因此对教师教育研究的启示主要是框架与方法迁移，需在学前和基础阶段验证。1. 前沿主题：教师智能素养/数据素养框架可借鉴其六项能力，尤其批判评估、验证、问责监督、专业能动性和AI技术素养，并转化为教师培训中的AI伦理、判断与责任议题。2. 研究设计：该文采用概念性多视角综合，适合生成理论框架与研究假设；若用于教师教育，宜进一步采用混合方法、设计研究、德尔菲或干预实验，检验四层责任与REACT在课堂中的可操作性和效果。3. 数据收集与分析：可收集教师、学生、管理者、课堂观察和AI工具使用日志等多源数据，并做主题分析、访谈、问卷与前后测；但该摘要未报告实证数据收集程序、效度与伦理细节，AI代理作为参与者的角色与效度也需说明。整体上，该文可帮助识别AI时代能力框架和概念工具，但不能替代学前教育/基础教育中的实证验证。</w:t>
      </w:r>
    </w:p>
    <w:p>
      <w:pPr>
        <w:pStyle w:val="Heading3"/>
      </w:pPr>
      <w:r>
        <w:t>APA引用格式</w:t>
      </w:r>
    </w:p>
    <w:p>
      <w:r>
        <w:t>Hormaza Dow, T., Kumar, V., Favre, S., Lockquell, A., Peyrovian, B., Hegazy, A. M. S., Berezaga, M., &amp; Paul, V. (2026). What must remain human? Rethinking business education for 2030: A collective article by the Business Physics AI Lab. Zenodo. https://doi.org/10.5281/zenodo.23123642</w:t>
      </w:r>
    </w:p>
    <w:p>
      <w:r>
        <w:br w:type="page"/>
      </w:r>
    </w:p>
    <w:p>
      <w:pPr>
        <w:pStyle w:val="Heading2"/>
      </w:pPr>
      <w:r>
        <w:t>5. Application of Artificial Intelligence Feedback in College English Writing Assessment / 人工智能反馈在大学英语写作评估中的应用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Application of Artificial Intelligence Feedback in College English Writing Assessment / 人工智能反馈在大学英语写作评估中的应用</w:t>
            </w:r>
          </w:p>
        </w:tc>
      </w:tr>
      <w:tr>
        <w:tc>
          <w:tcPr>
            <w:tcW w:type="dxa" w:w="4997"/>
          </w:tcPr>
          <w:p>
            <w:r>
              <w:rPr>
                <w:b/>
              </w:rPr>
              <w:t>作者</w:t>
            </w:r>
          </w:p>
        </w:tc>
        <w:tc>
          <w:tcPr>
            <w:tcW w:type="dxa" w:w="4997"/>
          </w:tcPr>
          <w:p>
            <w:r>
              <w:t>Jun Chen</w:t>
            </w:r>
          </w:p>
        </w:tc>
      </w:tr>
      <w:tr>
        <w:tc>
          <w:tcPr>
            <w:tcW w:type="dxa" w:w="4997"/>
          </w:tcPr>
          <w:p>
            <w:r>
              <w:rPr>
                <w:b/>
              </w:rPr>
              <w:t>期刊及影响因子</w:t>
            </w:r>
          </w:p>
        </w:tc>
        <w:tc>
          <w:tcPr>
            <w:tcW w:type="dxa" w:w="4997"/>
          </w:tcPr>
          <w:p>
            <w:r>
              <w:t>白名单未提供影响因子 / 白名单未提供JCR分区；SSCI分类：Education &amp; Educational Research, Linguistics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CAMBRIDGE UNIV PRESS</w:t>
            </w:r>
          </w:p>
        </w:tc>
      </w:tr>
      <w:tr>
        <w:tc>
          <w:tcPr>
            <w:tcW w:type="dxa" w:w="4997"/>
          </w:tcPr>
          <w:p>
            <w:r>
              <w:rPr>
                <w:b/>
              </w:rPr>
              <w:t>卷期/DOI</w:t>
            </w:r>
          </w:p>
        </w:tc>
        <w:tc>
          <w:tcPr>
            <w:tcW w:type="dxa" w:w="4997"/>
          </w:tcPr>
          <w:p>
            <w:r>
              <w:t>Vol. 14, No. 4, p. 1; DOI: 10.22158/selt.v14n4p1</w:t>
            </w:r>
          </w:p>
        </w:tc>
      </w:tr>
      <w:tr>
        <w:tc>
          <w:tcPr>
            <w:tcW w:type="dxa" w:w="4997"/>
          </w:tcPr>
          <w:p>
            <w:r>
              <w:rPr>
                <w:b/>
              </w:rPr>
              <w:t>在线发表时间</w:t>
            </w:r>
          </w:p>
        </w:tc>
        <w:tc>
          <w:tcPr>
            <w:tcW w:type="dxa" w:w="4997"/>
          </w:tcPr>
          <w:p>
            <w:r>
              <w:t>2026-10-04</w:t>
            </w:r>
          </w:p>
        </w:tc>
      </w:tr>
      <w:tr>
        <w:tc>
          <w:tcPr>
            <w:tcW w:type="dxa" w:w="4997"/>
          </w:tcPr>
          <w:p>
            <w:r>
              <w:rPr>
                <w:b/>
              </w:rPr>
              <w:t>SSCI分类</w:t>
            </w:r>
          </w:p>
        </w:tc>
        <w:tc>
          <w:tcPr>
            <w:tcW w:type="dxa" w:w="4997"/>
          </w:tcPr>
          <w:p>
            <w:r>
              <w:t>Education &amp; Educational Research；Linguistics</w:t>
            </w:r>
          </w:p>
        </w:tc>
      </w:tr>
      <w:tr>
        <w:tc>
          <w:tcPr>
            <w:tcW w:type="dxa" w:w="4997"/>
          </w:tcPr>
          <w:p>
            <w:r>
              <w:rPr>
                <w:b/>
              </w:rPr>
              <w:t>论文链接</w:t>
            </w:r>
          </w:p>
        </w:tc>
        <w:tc>
          <w:tcPr>
            <w:tcW w:type="dxa" w:w="4997"/>
          </w:tcPr>
          <w:p>
            <w:hyperlink r:id="rId13">
              <w:r>
                <w:rPr>
                  <w:color w:val="0563C1"/>
                  <w:u w:val="single"/>
                </w:rPr>
                <w:t>https://doi.org/10.22158/selt.v14n4p1</w:t>
              </w:r>
            </w:hyperlink>
          </w:p>
        </w:tc>
      </w:tr>
    </w:tbl>
    <w:p>
      <w:pPr>
        <w:pStyle w:val="Heading3"/>
      </w:pPr>
      <w:r>
        <w:t>研究摘要</w:t>
      </w:r>
    </w:p>
    <w:p>
      <w:r>
        <w:t>在快速变化的数字教育和人工智能迅速发展的背景下，AI生成反馈已被广泛用于大学英语写作评估，作为教学支持。传统人工评阅通常工作量大、反馈慢且带有主观判断，难以满足学生个性化写作改进需求。AI反馈可即时提供反馈、遵循标准化纠错程序并给出详细诊断指导，从而提升评估效率并帮助学生自主修改写作。本研究围绕题为“The Impact of Influencer Culture on Youth Consumption Patterns”的学生作文展开分析，以评估人工智能反馈的效用，并应用基于规则的AI纠错与教师更详细的评阅。摘要认为，AI在处理语言错误方面相当高效，但在文章逻辑发展、深度阐释和批判性思维方面仍不足，这些仍是教师职责。作者基于教学经验提出一种AI与教师结合的模型：AI负责表层纠错，教师集中培养学生高阶技能。</w:t>
      </w:r>
    </w:p>
    <w:p>
      <w:pPr>
        <w:pStyle w:val="Heading3"/>
      </w:pPr>
      <w:r>
        <w:t>研究主要内容</w:t>
      </w:r>
    </w:p>
    <w:p>
      <w:r>
        <w:t>论文讨论数字教育与人工智能发展背景下，AI生成反馈在高校英语写作评估中的应用。摘要指出传统人工评阅存在工作量大、反馈慢、主观性强等问题，难以满足学生个性化写作改进需求；AI反馈可即时反馈、遵循标准纠错程序并提供详细诊断指导，帮助学生自主修改写作。研究分析题为“The Impact of Influencer Culture on Youth Consumption Patterns”的学生作文，以评估AI反馈效用，并应用基于规则的AI纠错和教师详细评阅。作者从教学经验出发提出AI与教师结合的新模型：AI进行表层语言纠错，教师聚焦学生高阶技能发展。需要说明的是，该文研究对象为大学英语写作评估，不属于学前教育或基础教育阶段；若用于学前/基础教师教育简报，应标注为跨阶段参考。</w:t>
      </w:r>
    </w:p>
    <w:p>
      <w:pPr>
        <w:pStyle w:val="Heading3"/>
      </w:pPr>
      <w:r>
        <w:t>研究论点</w:t>
      </w:r>
    </w:p>
    <w:p>
      <w:r>
        <w:t>作者主张AI反馈与教师反馈应形成互补关系：AI适合处理表层语言错误并提升评估效率，但在作文逻辑发展、深度解释和批判性思维等高阶能力方面不足，因此教师仍应承担高阶写作能力培养责任。基于此，作者提出AI负责表层纠错、教师集中培养高阶技能的人机协同模型。</w:t>
      </w:r>
    </w:p>
    <w:p>
      <w:pPr>
        <w:pStyle w:val="Heading3"/>
      </w:pPr>
      <w:r>
        <w:t>研究问题</w:t>
      </w:r>
    </w:p>
    <w:p>
      <w:r>
        <w:t>摘要未明确列出研究问题；从摘要可推断其关注AI反馈在高校英语写作评估中的效用，以及AI反馈与教师反馈如何分工或结合，但原文未明确表述研究问题。</w:t>
      </w:r>
    </w:p>
    <w:p>
      <w:pPr>
        <w:pStyle w:val="Heading3"/>
      </w:pPr>
      <w:r>
        <w:t>研究方法</w:t>
      </w:r>
    </w:p>
    <w:p>
      <w:r>
        <w:t>摘要未明确说明研究类型（定量、定性或混合）、样本或参与者数量、数据来源细节和具体分析方法。可识别的是：研究围绕题为“The Impact of Influencer Culture on Youth Consumption Patterns”的学生作文展开，评估AI反馈效用，并应用基于规则的AI纠错与教师更详细的评阅；作者还基于教学经验提出AI与教师结合的模型。但摘要未报告学生人数、作文篇数、抽样方式、评分者、AI工具具体类型、统计或质性分析程序。</w:t>
      </w:r>
    </w:p>
    <w:p>
      <w:pPr>
        <w:pStyle w:val="Heading3"/>
      </w:pPr>
      <w:r>
        <w:t>主要发现</w:t>
      </w:r>
    </w:p>
    <w:p>
      <w:r>
        <w:t>['AI反馈在处理语言错误方面效率较高，能够提供即时反馈、遵循标准化纠错程序并给出详细诊断指导，从而提升写作评估效率并帮助学生自主修改。', 'AI反馈在作文逻辑发展、深度解释和批判性思维方面不足，这些高阶写作能力仍需要教师负责。', '作者基于教学经验提出AI与教师结合模型：由AI完成表层纠错，教师集中发展学生的高阶技能。']</w:t>
      </w:r>
    </w:p>
    <w:p>
      <w:pPr>
        <w:pStyle w:val="Heading3"/>
      </w:pPr>
      <w:r>
        <w:t>对教师教育研究的启示</w:t>
      </w:r>
    </w:p>
    <w:p>
      <w:r>
        <w:t>['前沿主题方面，该文提示教师教育研究可关注AI反馈与教师反馈的边界、人机协同写作评估，以及教师审核和补充AI反馈所需的数字素养/智能素养。', '研究设计方面，该摘要未提供样本、对照或前后测等实证细节，未来研究应明确参与者、作文语料、AI工具类型、教师评分流程，并可考虑准实验、实验或混合方法设计。', '数据收集与分析方面，可收集多稿作文、AI反馈记录、教师反馈、学生修改日志、访谈或问卷；分析可采用错误类型编码、文本分析、评分者一致性检验和质性主题分析，但该摘要未说明具体做法。', '阶段适配方面，该文为高校英语写作评估，并非学前教育或基础教育研究；若迁移至学前/基础教师教育，需要重新验证适龄任务、教师角色和AI反馈边界。']</w:t>
      </w:r>
    </w:p>
    <w:p>
      <w:pPr>
        <w:pStyle w:val="Heading3"/>
      </w:pPr>
      <w:r>
        <w:t>APA引用格式</w:t>
      </w:r>
    </w:p>
    <w:p>
      <w:r>
        <w:t>Chen, J. (2026). Application of artificial intelligence feedback in college English writing assessment. Studies in English Language Teaching, 14(4), 1. https://doi.org/10.22158/selt.v14n4p1</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122.94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515/jccall-2026-0001" TargetMode="External"/><Relationship Id="rId10" Type="http://schemas.openxmlformats.org/officeDocument/2006/relationships/hyperlink" Target="https://doi.org/10.1515/jccall-2026-0011" TargetMode="External"/><Relationship Id="rId11" Type="http://schemas.openxmlformats.org/officeDocument/2006/relationships/hyperlink" Target="https://doi.org/10.5281/zenodo.23123641" TargetMode="External"/><Relationship Id="rId12" Type="http://schemas.openxmlformats.org/officeDocument/2006/relationships/hyperlink" Target="https://doi.org/10.5281/zenodo.23123642" TargetMode="External"/><Relationship Id="rId13" Type="http://schemas.openxmlformats.org/officeDocument/2006/relationships/hyperlink" Target="https://doi.org/10.22158/selt.v14n4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