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2026-09-29 11:04:13（北京时间）</w:t>
            </w:r>
          </w:p>
        </w:tc>
      </w:tr>
      <w:tr>
        <w:tc>
          <w:tcPr>
            <w:tcW w:type="dxa" w:w="4997"/>
          </w:tcPr>
          <w:p>
            <w:r>
              <w:rPr>
                <w:b/>
              </w:rPr>
              <w:t>检索窗口</w:t>
            </w:r>
          </w:p>
        </w:tc>
        <w:tc>
          <w:tcPr>
            <w:tcW w:type="dxa" w:w="4997"/>
          </w:tcPr>
          <w:p>
            <w:r>
              <w:t>2023-09-30 — 2026-09-29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今日文献共同聚焦AI/数字技术重塑教育与人本实践，涉及教师数字能力、人机协同评估、伦理及低SES教学困境；方法上质性反思与AI建模并举，尤贴近中国教育数字化与教师发展议题。</w:t>
      </w:r>
    </w:p>
    <w:p>
      <w:pPr>
        <w:pStyle w:val="Heading1"/>
      </w:pPr>
      <w:r>
        <w:t>目录</w:t>
      </w:r>
    </w:p>
    <w:p>
      <w:pPr>
        <w:pStyle w:val="ListNumber"/>
      </w:pPr>
      <w:r>
        <w:rPr>
          <w:b/>
        </w:rPr>
        <w:t>技术背景如何塑造教师的认知框架、反思与数字能力概念化？</w:t>
      </w:r>
      <w:r>
        <w:t>｜European Journal of Education｜2026-09-26</w:t>
      </w:r>
    </w:p>
    <w:p>
      <w:pPr>
        <w:pStyle w:val="ListNumber"/>
      </w:pPr>
      <w:r>
        <w:rPr>
          <w:b/>
        </w:rPr>
        <w:t>两难空间如何被建构：低社会经济地位学校初任教师读写教学中的自我承担、他人指派与正当化位置</w:t>
      </w:r>
      <w:r>
        <w:t>｜Teaching and Teacher Education｜2026-09-26</w:t>
      </w:r>
    </w:p>
    <w:p>
      <w:pPr>
        <w:pStyle w:val="ListNumber"/>
      </w:pPr>
      <w:r>
        <w:rPr>
          <w:b/>
        </w:rPr>
        <w:t>可靠却不同：写作评估中的人—AI一致性与严重度</w:t>
      </w:r>
      <w:r>
        <w:t>｜Educational Assessment, Evaluation and Accountability｜2026-09-29</w:t>
      </w:r>
    </w:p>
    <w:p>
      <w:pPr>
        <w:pStyle w:val="ListNumber"/>
      </w:pPr>
      <w:r>
        <w:rPr>
          <w:b/>
        </w:rPr>
        <w:t>人工智能辅助的以人为中心设计管理模型</w:t>
      </w:r>
      <w:r>
        <w:t>｜Cognition, Technology &amp;amp; Work｜2026-09-28</w:t>
      </w:r>
    </w:p>
    <w:p>
      <w:pPr>
        <w:pStyle w:val="ListNumber"/>
      </w:pPr>
      <w:r>
        <w:rPr>
          <w:b/>
        </w:rPr>
        <w:t>基于计算机视觉与机器学习的路面标线逆反射率自动化估计</w:t>
      </w:r>
      <w:r>
        <w:t>｜Transportation Research Interdisciplinary Perspectives｜2026-09-27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How Does Technical Background Shape Teachers' Epistemic Framings, Reflection, and Conceptualisation of Digital Competence? / 技术背景如何塑造教师的认知框架、反思与数字能力概念化？</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How Does Technical Background Shape Teachers' Epistemic Framings, Reflection, and Conceptualisation of Digital Competence? / 技术背景如何塑造教师的认知框架、反思与数字能力概念化？</w:t>
            </w:r>
          </w:p>
        </w:tc>
      </w:tr>
      <w:tr>
        <w:tc>
          <w:tcPr>
            <w:tcW w:type="dxa" w:w="4997"/>
          </w:tcPr>
          <w:p>
            <w:r>
              <w:rPr>
                <w:b/>
              </w:rPr>
              <w:t>作者</w:t>
            </w:r>
          </w:p>
        </w:tc>
        <w:tc>
          <w:tcPr>
            <w:tcW w:type="dxa" w:w="4997"/>
          </w:tcPr>
          <w:p>
            <w:r>
              <w:t>Aurelio Ruiz-García, Davinia Hernández-Leo</w:t>
            </w:r>
          </w:p>
        </w:tc>
      </w:tr>
      <w:tr>
        <w:tc>
          <w:tcPr>
            <w:tcW w:type="dxa" w:w="4997"/>
          </w:tcPr>
          <w:p>
            <w:r>
              <w:rPr>
                <w:b/>
              </w:rPr>
              <w:t>期刊及影响因子</w:t>
            </w:r>
          </w:p>
        </w:tc>
        <w:tc>
          <w:tcPr>
            <w:tcW w:type="dxa" w:w="4997"/>
          </w:tcPr>
          <w:p>
            <w:r>
              <w:t>期刊：European Journal of Education；SSCI分类：Education &amp; Educational Research, English；影响因子：白名单未提供影响因子；JCR分区：白名单未提供JCR分区。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1465-3435</w:t>
            </w:r>
          </w:p>
        </w:tc>
      </w:tr>
      <w:tr>
        <w:tc>
          <w:tcPr>
            <w:tcW w:type="dxa" w:w="4997"/>
          </w:tcPr>
          <w:p>
            <w:r>
              <w:rPr>
                <w:b/>
              </w:rPr>
              <w:t>卷期/DOI</w:t>
            </w:r>
          </w:p>
        </w:tc>
        <w:tc>
          <w:tcPr>
            <w:tcW w:type="dxa" w:w="4997"/>
          </w:tcPr>
          <w:p>
            <w:r>
              <w:t>卷期：摘要未说明；DOI：https://doi.org/10.1111/ejed.70882</w:t>
            </w:r>
          </w:p>
        </w:tc>
      </w:tr>
      <w:tr>
        <w:tc>
          <w:tcPr>
            <w:tcW w:type="dxa" w:w="4997"/>
          </w:tcPr>
          <w:p>
            <w:r>
              <w:rPr>
                <w:b/>
              </w:rPr>
              <w:t>在线发表时间</w:t>
            </w:r>
          </w:p>
        </w:tc>
        <w:tc>
          <w:tcPr>
            <w:tcW w:type="dxa" w:w="4997"/>
          </w:tcPr>
          <w:p>
            <w:r>
              <w:t>2026-09-26</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https://doi.org/10.1111/ejed.70882</w:t>
              </w:r>
            </w:hyperlink>
          </w:p>
        </w:tc>
      </w:tr>
    </w:tbl>
    <w:p>
      <w:pPr>
        <w:pStyle w:val="Heading3"/>
      </w:pPr>
      <w:r>
        <w:t>研究摘要</w:t>
      </w:r>
    </w:p>
    <w:p>
      <w:r>
        <w:t>随着数字技术日益塑造教育与社会生活，教师被期待以专业能动性实践教师数字能力（TDC），覆盖教学、组织与伦理维度。尽管DigCompEdu等政策框架阐明了这种广度，但教师如何在反思实践中解释并践行这些维度仍理解不足。该定性研究考察具有和不具有本科计算机科学背景的教师如何概念化TDC，并通过两种引导反思干预，将不同学科背景作为认识论透镜进行映射：SELFIEforTEACHERS（SfT）自评工具，以及随后聚焦伦理与社会技术问题的集体反思。研究脱离线性技能累积模型，采用 expertise-informed 分析视角，分析知识组织、反思取向和元认知参与差异。研究发现提示，学科文化濡化塑造了TDC的反思轨迹与认识论框架。SfT支持与政策意图一致的结构化、多维反思；当反思突出社会技术复杂性时，更深层的发展性参与，尤其是伦理判断，会得到加强。该研究有助于将TDC概念化为不断演变教育系统中的认识论韧性。摘要未说明教师任教学段，因此无法判断是否直接覆盖学前教育或基础教育阶段。</w:t>
      </w:r>
    </w:p>
    <w:p>
      <w:pPr>
        <w:pStyle w:val="Heading3"/>
      </w:pPr>
      <w:r>
        <w:t>研究主要内容</w:t>
      </w:r>
    </w:p>
    <w:p>
      <w:r>
        <w:t>论文关注数字技术背景下教师数字能力（TDC）作为专业能动性的实践问题。政策框架如DigCompEdu将TDC拓展至教学、组织与伦理等维度，但教师如何在反思实践中理解和实施这些维度尚不清楚。研究以具有和不具有本科计算机科学背景的教师为对象，将学科背景视为认识论透镜，通过SELFIEforTEACHERS自评工具和后续聚焦伦理与社会技术问题的集体反思两种干预，比较教师在知识组织、反思取向和元认知参与上的差异。论文使用 expertise-informed 分析视角，而非线性技能累积模型。主要贡献在于揭示学科文化濡化对TDC反思轨迹和认识论框架的塑造，并提出TDC可被理解为教育系统演变中的认识论韧性。</w:t>
      </w:r>
    </w:p>
    <w:p>
      <w:pPr>
        <w:pStyle w:val="Heading3"/>
      </w:pPr>
      <w:r>
        <w:t>研究论点</w:t>
      </w:r>
    </w:p>
    <w:p>
      <w:r>
        <w:t>核心论点是：TDC不应仅被理解为线性技能累积，而应被理解为受学科背景、认识论框架和反思实践共同塑造的专业能力。教师的技术/学科背景通过学科文化濡化影响其如何解释和践行TDC；SfT可支持结构化多维反思，但伦理判断等深层发展性参与需要反思聚焦社会技术复杂性；因此，TDC可概念化为不断演变教育系统中的认识论韧性。</w:t>
      </w:r>
    </w:p>
    <w:p>
      <w:pPr>
        <w:pStyle w:val="Heading3"/>
      </w:pPr>
      <w:r>
        <w:t>研究问题</w:t>
      </w:r>
    </w:p>
    <w:p>
      <w:r>
        <w:t>摘要未明确列出研究问题。根据摘要可提炼为：具有和不具有本科计算机科学背景的教师如何通过SELFIEforTEACHERS自评工具及随后聚焦伦理与社会技术问题的集体反思来概念化教师数字能力（TDC）？其不同学科背景作为认识论透镜如何影响知识组织、反思取向和元认知参与？摘要未说明具体研究问题表述，也未说明教师任教学段。</w:t>
      </w:r>
    </w:p>
    <w:p>
      <w:pPr>
        <w:pStyle w:val="Heading3"/>
      </w:pPr>
      <w:r>
        <w:t>研究方法</w:t>
      </w:r>
    </w:p>
    <w:p>
      <w:r>
        <w:t>研究类型：定性研究。样本或参与者：具有和不具有本科计算机科学背景的教师；具体人数、任教学段、国家或地区、招募方式、性别、教龄等摘要未说明。数据来源：两种引导反思干预，即SELFIEforTEACHERS（SfT）自评工具，以及随后聚焦伦理和社会技术问题的集体反思。分析方法：摘要称采用 expertise-informed 分析视角，分析教师在知识组织、反思取向和元认知参与上的差异；具体分析方法、编码程序、数据形式、信效度策略和数据分析软件摘要未说明。</w:t>
      </w:r>
    </w:p>
    <w:p>
      <w:pPr>
        <w:pStyle w:val="Heading3"/>
      </w:pPr>
      <w:r>
        <w:t>主要发现</w:t>
      </w:r>
    </w:p>
    <w:p>
      <w:r>
        <w:t>1. 学科文化濡化塑造教师对TDC的反思轨迹和认识论框架，具有与不具有本科计算机科学背景的教师通过不同认识论透镜概念化TDC。2. SELFIEforTEACHERS支持结构化、多维度的反思，并与政策意图一致，但更深层的发展性参与，尤其伦理判断，在反思突出社会技术复杂性时得到加强。3. 研究提出将TDC概念化为不断演变教育系统中的认识论韧性，超越线性技能累积模型。</w:t>
      </w:r>
    </w:p>
    <w:p>
      <w:pPr>
        <w:pStyle w:val="Heading3"/>
      </w:pPr>
      <w:r>
        <w:t>对教师教育研究的启示</w:t>
      </w:r>
    </w:p>
    <w:p>
      <w:r>
        <w:t>前沿主题：该文将TDC研究从技能清单推进到认识论框架、反思实践、元认知参与和伦理判断，并关注教师技术背景作为反思资源。研究设计：采用定性设计和两种引导反思干预，比较不同学科背景教师，可为教师数字能力与反思实践研究提供设计参照。数据收集：使用SELFIEforTEACHERS自评工具和聚焦伦理与社会技术问题的集体反思；但具体数据形式、样本规模与学段信息摘要未说明，后续研究需补充。分析方法：可借鉴 expertise-informed 分析视角考察知识组织、反思取向和元认知参与差异；同时应明确编码框架、分析程序与信效度。对教师教育的启示：教师教育不应只训练数字技能，而应设计社会技术复杂性和伦理反思任务，促进教师形成认识论韧性；若用于学前教育或基础教育，仍需原文说明教师任教学段与情境。</w:t>
      </w:r>
    </w:p>
    <w:p>
      <w:pPr>
        <w:pStyle w:val="Heading3"/>
      </w:pPr>
      <w:r>
        <w:t>APA引用格式</w:t>
      </w:r>
    </w:p>
    <w:p>
      <w:r>
        <w:t>Ruiz-García, A., &amp; Hernández-Leo, D. (2026). How does technical background shape teachers' epistemic framings, reflection, and conceptualisation of digital competence? European Journal of Education. https://doi.org/10.1111/ejed.70882</w:t>
      </w:r>
    </w:p>
    <w:p>
      <w:r>
        <w:br w:type="page"/>
      </w:r>
    </w:p>
    <w:p>
      <w:pPr>
        <w:pStyle w:val="Heading2"/>
      </w:pPr>
      <w:r>
        <w:t>2. How dilemmatic spaces are constructed: Assuming, assigning, and justifying positions in early career teachers’ literacy teaching in low socio-economic status schools / 两难空间如何被建构：低社会经济地位学校初任教师读写教学中的自我承担、他人指派与正当化位置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How dilemmatic spaces are constructed: Assuming, assigning, and justifying positions in early career teachers’ literacy teaching in low socio-economic status schools / 两难空间如何被建构：低社会经济地位学校初任教师读写教学中的自我承担、他人指派与正当化位置</w:t>
            </w:r>
          </w:p>
        </w:tc>
      </w:tr>
      <w:tr>
        <w:tc>
          <w:tcPr>
            <w:tcW w:type="dxa" w:w="4997"/>
          </w:tcPr>
          <w:p>
            <w:r>
              <w:rPr>
                <w:b/>
              </w:rPr>
              <w:t>作者</w:t>
            </w:r>
          </w:p>
        </w:tc>
        <w:tc>
          <w:tcPr>
            <w:tcW w:type="dxa" w:w="4997"/>
          </w:tcPr>
          <w:p>
            <w:r>
              <w:t>Clarence Ng, Melissa Cain, Hang Ho, Amanda Gutierrez, Rafaan Daliri-Ngametua, Peter David Renshaw</w:t>
            </w:r>
          </w:p>
        </w:tc>
      </w:tr>
      <w:tr>
        <w:tc>
          <w:tcPr>
            <w:tcW w:type="dxa" w:w="4997"/>
          </w:tcPr>
          <w:p>
            <w:r>
              <w:rPr>
                <w:b/>
              </w:rPr>
              <w:t>期刊及影响因子</w:t>
            </w:r>
          </w:p>
        </w:tc>
        <w:tc>
          <w:tcPr>
            <w:tcW w:type="dxa" w:w="4997"/>
          </w:tcPr>
          <w:p>
            <w:r>
              <w:t>SSCI分类：Education &amp; Educational Research, English；影响因子/JCR分区：白名单未提供影响因子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1879-2480</w:t>
            </w:r>
          </w:p>
        </w:tc>
      </w:tr>
      <w:tr>
        <w:tc>
          <w:tcPr>
            <w:tcW w:type="dxa" w:w="4997"/>
          </w:tcPr>
          <w:p>
            <w:r>
              <w:rPr>
                <w:b/>
              </w:rPr>
              <w:t>卷期/DOI</w:t>
            </w:r>
          </w:p>
        </w:tc>
        <w:tc>
          <w:tcPr>
            <w:tcW w:type="dxa" w:w="4997"/>
          </w:tcPr>
          <w:p>
            <w:r>
              <w:t>卷期：摘要未说明；DOI：https://doi.org/10.1016/j.tate.2026.105839</w:t>
            </w:r>
          </w:p>
        </w:tc>
      </w:tr>
      <w:tr>
        <w:tc>
          <w:tcPr>
            <w:tcW w:type="dxa" w:w="4997"/>
          </w:tcPr>
          <w:p>
            <w:r>
              <w:rPr>
                <w:b/>
              </w:rPr>
              <w:t>在线发表时间</w:t>
            </w:r>
          </w:p>
        </w:tc>
        <w:tc>
          <w:tcPr>
            <w:tcW w:type="dxa" w:w="4997"/>
          </w:tcPr>
          <w:p>
            <w:r>
              <w:t>2026-09-26</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https://doi.org/10.1016/j.tate.2026.105839</w:t>
              </w:r>
            </w:hyperlink>
          </w:p>
        </w:tc>
      </w:tr>
    </w:tbl>
    <w:p>
      <w:pPr>
        <w:pStyle w:val="Heading3"/>
      </w:pPr>
      <w:r>
        <w:t>研究摘要</w:t>
      </w:r>
    </w:p>
    <w:p>
      <w:r>
        <w:t>低社会经济地位（LSES）小学中的初任教师（ECTs）常在强问责和基准测评压力下教授读写。既有研究通常将这些挑战视为离散问题，并认为可通过更好的教学决策加以解决。本研究基于两难空间理论与文化历史活动理论（CHAT），将ECTs的读写教学重新概念化为活动系统内部及活动系统之间矛盾加剧所塑造的实践。研究对12名澳大利亚ECTs进行半结构化访谈，识别出五个反复出现的两难空间，涉及课程窄化、学生能力、领导层数据要求、家长—教师责任，以及年级协调员支持与监督。研究发现，这些空间由ECTs自我承担的位置和他人指派的位置构成，并通过教师解释相互竞争义务时的正当化叙述而显现。研究扩展了两难空间理论，表明在LSES读写情境中，系统性张力通过ECTs的位置/定位得以中介。</w:t>
      </w:r>
    </w:p>
    <w:p>
      <w:pPr>
        <w:pStyle w:val="Heading3"/>
      </w:pPr>
      <w:r>
        <w:t>研究主要内容</w:t>
      </w:r>
    </w:p>
    <w:p>
      <w:r>
        <w:t>论文关注低社会经济地位小学初任教师在强问责与基准测评压力下的读写教学。作者不将挑战视为孤立的教学决策问题，而是借助两难空间理论与文化历史活动理论（CHAT），分析活动系统内部及系统之间的矛盾如何形成教师面临的两难空间。通过对12名澳大利亚ECTs的半结构化访谈，研究识别出五类反复出现的情境：课程窄化、学生能力、领导层数据要求、家长—教师责任、年级协调员支持与监督。作者进一步指出，这些两难空间通过教师自我承担和他人指派的位置而被建构，并通过教师解释竞争性义务的正当化叙述而变得可见。</w:t>
      </w:r>
    </w:p>
    <w:p>
      <w:pPr>
        <w:pStyle w:val="Heading3"/>
      </w:pPr>
      <w:r>
        <w:t>研究论点</w:t>
      </w:r>
    </w:p>
    <w:p>
      <w:r>
        <w:t>论文的核心论点是：初任教师在LSES小学中的读写教学困境，不应被简化为可通过改进教学决策解决的离散问题；更合理的理解是，它们由活动系统内部和系统之间加剧的矛盾所塑造。两难空间并非自然存在，而是通过ECTs的自我定位、他人对其的指派位置，以及教师为竞争性义务进行辩护的叙述而被建构和显现。研究据此扩展两难空间理论，强调系统性张力通过教师在具体LSES读写情境中的位置/定位得以中介。</w:t>
      </w:r>
    </w:p>
    <w:p>
      <w:pPr>
        <w:pStyle w:val="Heading3"/>
      </w:pPr>
      <w:r>
        <w:t>研究问题</w:t>
      </w:r>
    </w:p>
    <w:p>
      <w:r>
        <w:t>摘要未明确列出研究问题。研究核心关注：低社会经济地位小学初任教师的读写教学如何被活动系统中的矛盾所塑造；教师如何通过自我承担与他人指派的位置建构两难空间；以及教师如何通过正当化叙述解释相互竞争的专业义务。</w:t>
      </w:r>
    </w:p>
    <w:p>
      <w:pPr>
        <w:pStyle w:val="Heading3"/>
      </w:pPr>
      <w:r>
        <w:t>研究方法</w:t>
      </w:r>
    </w:p>
    <w:p>
      <w:r>
        <w:t>研究类型：质性研究（摘要未说明为定量或混合方法研究）。样本/参与者：12名澳大利亚初任教师（ECTs），任教于低社会经济地位（LSES）小学。数据来源：半结构化访谈。分析方法：摘要未说明具体分析技术（如编码、主题分析等）；理论分析框架为两难空间理论与文化历史活动理论（CHAT）。抽样方式、访谈时长、数据饱和、信效度策略等摘要未说明。</w:t>
      </w:r>
    </w:p>
    <w:p>
      <w:pPr>
        <w:pStyle w:val="Heading3"/>
      </w:pPr>
      <w:r>
        <w:t>主要发现</w:t>
      </w:r>
    </w:p>
    <w:p>
      <w:r>
        <w:t>1. 研究识别出五个反复出现的两难空间：课程窄化、学生能力、领导层数据要求、家长—教师责任，以及年级协调员支持与监督。2. 这些两难空间由初任教师自我承担的位置和他人指派的位置构成，并通过教师解释竞争性义务时的正当化叙述而显现。3. 研究扩展了两难空间理论，表明在低社会经济地位学校的读写教学情境中，系统性张力通过初任教师的位置/定位得以中介。</w:t>
      </w:r>
    </w:p>
    <w:p>
      <w:pPr>
        <w:pStyle w:val="Heading3"/>
      </w:pPr>
      <w:r>
        <w:t>对教师教育研究的启示</w:t>
      </w:r>
    </w:p>
    <w:p>
      <w:r>
        <w:t>1. 主题启示：在强问责、基准测评和数据要求背景下，初任教师读写教学中的两难空间、教师定位与专业能动性，是教师教育研究的重要前沿议题。2. 设计启示：该研究提供质性半结构化访谈研究范例；若关注两难空间如何形成与变化，后续研究可采用纵向设计，并纳入课堂观察、学校文件、领导数据要求文本等多源数据。3. 分析启示：可借鉴文化历史活动理论（CHAT）分析活动系统内部及系统之间的矛盾，并分析教师自我承担/他人指派位置及其正当化叙述；但本文未报告具体编码与分析程序，后续研究应更透明地说明抽样、访谈实施、分析步骤与效度策略。</w:t>
      </w:r>
    </w:p>
    <w:p>
      <w:pPr>
        <w:pStyle w:val="Heading3"/>
      </w:pPr>
      <w:r>
        <w:t>APA引用格式</w:t>
      </w:r>
    </w:p>
    <w:p>
      <w:r>
        <w:t>Ng, C., Cain, M., Ho, H., Gutierrez, A., Daliri-Ngametua, R., &amp; Renshaw, P. D. (2026). How dilemmatic spaces are constructed: Assuming, assigning, and justifying positions in early career teachers’ literacy teaching in low socio-economic status schools. Teaching and Teacher Education. https://doi.org/10.1016/j.tate.2026.105839</w:t>
      </w:r>
    </w:p>
    <w:p>
      <w:r>
        <w:br w:type="page"/>
      </w:r>
    </w:p>
    <w:p>
      <w:pPr>
        <w:pStyle w:val="Heading2"/>
      </w:pPr>
      <w:r>
        <w:t>3. Reliable yet different: Human-AI alignment and severity in assessing writing / 可靠却不同：写作评估中的人—AI一致性与严重度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Reliable yet different: Human-AI alignment and severity in assessing writing / 可靠却不同：写作评估中的人—AI一致性与严重度</w:t>
            </w:r>
          </w:p>
        </w:tc>
      </w:tr>
      <w:tr>
        <w:tc>
          <w:tcPr>
            <w:tcW w:type="dxa" w:w="4997"/>
          </w:tcPr>
          <w:p>
            <w:r>
              <w:rPr>
                <w:b/>
              </w:rPr>
              <w:t>作者</w:t>
            </w:r>
          </w:p>
        </w:tc>
        <w:tc>
          <w:tcPr>
            <w:tcW w:type="dxa" w:w="4997"/>
          </w:tcPr>
          <w:p>
            <w:r>
              <w:t>Arzu Atasoy, Bayram Çetin, Mustafa İlhan, Saieed Moslemi Nezhad Arani</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1874-8600</w:t>
            </w:r>
          </w:p>
        </w:tc>
      </w:tr>
      <w:tr>
        <w:tc>
          <w:tcPr>
            <w:tcW w:type="dxa" w:w="4997"/>
          </w:tcPr>
          <w:p>
            <w:r>
              <w:rPr>
                <w:b/>
              </w:rPr>
              <w:t>卷期/DOI</w:t>
            </w:r>
          </w:p>
        </w:tc>
        <w:tc>
          <w:tcPr>
            <w:tcW w:type="dxa" w:w="4997"/>
          </w:tcPr>
          <w:p>
            <w:r>
              <w:t>卷期信息未提供；DOI: 10.1007/s11092-026-09512-0</w:t>
            </w:r>
          </w:p>
        </w:tc>
      </w:tr>
      <w:tr>
        <w:tc>
          <w:tcPr>
            <w:tcW w:type="dxa" w:w="4997"/>
          </w:tcPr>
          <w:p>
            <w:r>
              <w:rPr>
                <w:b/>
              </w:rPr>
              <w:t>在线发表时间</w:t>
            </w:r>
          </w:p>
        </w:tc>
        <w:tc>
          <w:tcPr>
            <w:tcW w:type="dxa" w:w="4997"/>
          </w:tcPr>
          <w:p>
            <w:r>
              <w:t>2026-09-29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https://doi.org/10.1007/s11092-026-09512-0</w:t>
              </w:r>
            </w:hyperlink>
          </w:p>
        </w:tc>
      </w:tr>
    </w:tbl>
    <w:p>
      <w:pPr>
        <w:pStyle w:val="Heading3"/>
      </w:pPr>
      <w:r>
        <w:t>研究摘要</w:t>
      </w:r>
    </w:p>
    <w:p>
      <w:r>
        <w:t>摘要未提供。</w:t>
      </w:r>
    </w:p>
    <w:p>
      <w:pPr>
        <w:pStyle w:val="Heading3"/>
      </w:pPr>
      <w:r>
        <w:t>研究主要内容</w:t>
      </w:r>
    </w:p>
    <w:p>
      <w:r>
        <w:t>摘要未提供，无法综述论文主要内容；也无法判断其教育阶段是否聚焦学前教育或基础教育（小学、初中）。</w:t>
      </w:r>
    </w:p>
    <w:p>
      <w:pPr>
        <w:pStyle w:val="Heading3"/>
      </w:pPr>
      <w:r>
        <w:t>研究论点</w:t>
      </w:r>
    </w:p>
    <w:p>
      <w:r>
        <w:t>摘要未提供，无法判断论文核心论点。</w:t>
      </w:r>
    </w:p>
    <w:p>
      <w:pPr>
        <w:pStyle w:val="Heading3"/>
      </w:pPr>
      <w:r>
        <w:t>研究问题</w:t>
      </w:r>
    </w:p>
    <w:p>
      <w:r>
        <w:t>摘要未说明。</w:t>
      </w:r>
    </w:p>
    <w:p>
      <w:pPr>
        <w:pStyle w:val="Heading3"/>
      </w:pPr>
      <w:r>
        <w:t>研究方法</w:t>
      </w:r>
    </w:p>
    <w:p>
      <w:r>
        <w:t>摘要未提供；研究类型（定量/定性/混合）、样本或参与者、数据来源、分析方法均无法判断，摘要未说明。</w:t>
      </w:r>
    </w:p>
    <w:p>
      <w:pPr>
        <w:pStyle w:val="Heading3"/>
      </w:pPr>
      <w:r>
        <w:t>主要发现</w:t>
      </w:r>
    </w:p>
    <w:p>
      <w:r>
        <w:t>1. 摘要未说明；2. 摘要未说明；3. 摘要未说明。因摘要未提供，无法提炼具体发现。</w:t>
      </w:r>
    </w:p>
    <w:p>
      <w:pPr>
        <w:pStyle w:val="Heading3"/>
      </w:pPr>
      <w:r>
        <w:t>对教师教育研究的启示</w:t>
      </w:r>
    </w:p>
    <w:p>
      <w:r>
        <w:t>摘要未提供，无法提炼对教师教育研究的启示，也无法判断其研究设计、数据收集与分析方法。若需了解该文在AI写作评估、评估者严重度及人—AI一致性方面的前沿进展，需获取全文后进一步分析。</w:t>
      </w:r>
    </w:p>
    <w:p>
      <w:pPr>
        <w:pStyle w:val="Heading3"/>
      </w:pPr>
      <w:r>
        <w:t>APA引用格式</w:t>
      </w:r>
    </w:p>
    <w:p>
      <w:r>
        <w:t>Atasoy, A., Çetin, B., İlhan, M., &amp; Moslemi Nezhad Arani, S. (2026). Reliable yet different: Human-AI alignment and severity in assessing writing. Educational Assessment, Evaluation and Accountability. https://doi.org/10.1007/s11092-026-09512-0</w:t>
      </w:r>
    </w:p>
    <w:p>
      <w:r>
        <w:br w:type="page"/>
      </w:r>
    </w:p>
    <w:p>
      <w:pPr>
        <w:pStyle w:val="Heading2"/>
      </w:pPr>
      <w:r>
        <w:t>4. Artificial intelligence-assisted design management model with a human-centered approach / 人工智能辅助的以人为中心设计管理模型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intelligence-assisted design management model with a human-centered approach / 人工智能辅助的以人为中心设计管理模型</w:t>
            </w:r>
          </w:p>
        </w:tc>
      </w:tr>
      <w:tr>
        <w:tc>
          <w:tcPr>
            <w:tcW w:type="dxa" w:w="4997"/>
          </w:tcPr>
          <w:p>
            <w:r>
              <w:rPr>
                <w:b/>
              </w:rPr>
              <w:t>作者</w:t>
            </w:r>
          </w:p>
        </w:tc>
        <w:tc>
          <w:tcPr>
            <w:tcW w:type="dxa" w:w="4997"/>
          </w:tcPr>
          <w:p>
            <w:r>
              <w:t>Zahra Haghighi Aghdam, Parisa Jourabchi Amirkhizi, Siamak Pedrammehr, Amir Mohammad Amin Nezhad, Mahdi Soleimanzadeh</w:t>
            </w:r>
          </w:p>
        </w:tc>
      </w:tr>
      <w:tr>
        <w:tc>
          <w:tcPr>
            <w:tcW w:type="dxa" w:w="4997"/>
          </w:tcPr>
          <w:p>
            <w:r>
              <w:rPr>
                <w:b/>
              </w:rPr>
              <w:t>期刊及影响因子</w:t>
            </w:r>
          </w:p>
        </w:tc>
        <w:tc>
          <w:tcPr>
            <w:tcW w:type="dxa" w:w="4997"/>
          </w:tcPr>
          <w:p>
            <w:r>
              <w:t>SSCI（English, Ergonomics）；白名单未提供影响因子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1435-5566</w:t>
            </w:r>
          </w:p>
        </w:tc>
      </w:tr>
      <w:tr>
        <w:tc>
          <w:tcPr>
            <w:tcW w:type="dxa" w:w="4997"/>
          </w:tcPr>
          <w:p>
            <w:r>
              <w:rPr>
                <w:b/>
              </w:rPr>
              <w:t>卷期/DOI</w:t>
            </w:r>
          </w:p>
        </w:tc>
        <w:tc>
          <w:tcPr>
            <w:tcW w:type="dxa" w:w="4997"/>
          </w:tcPr>
          <w:p>
            <w:r>
              <w:t>卷期未说明；DOI: 10.1007/s10111-026-00901-5</w:t>
            </w:r>
          </w:p>
        </w:tc>
      </w:tr>
      <w:tr>
        <w:tc>
          <w:tcPr>
            <w:tcW w:type="dxa" w:w="4997"/>
          </w:tcPr>
          <w:p>
            <w:r>
              <w:rPr>
                <w:b/>
              </w:rPr>
              <w:t>在线发表时间</w:t>
            </w:r>
          </w:p>
        </w:tc>
        <w:tc>
          <w:tcPr>
            <w:tcW w:type="dxa" w:w="4997"/>
          </w:tcPr>
          <w:p>
            <w:r>
              <w:t>2026-09-28</w:t>
            </w:r>
          </w:p>
        </w:tc>
      </w:tr>
      <w:tr>
        <w:tc>
          <w:tcPr>
            <w:tcW w:type="dxa" w:w="4997"/>
          </w:tcPr>
          <w:p>
            <w:r>
              <w:rPr>
                <w:b/>
              </w:rPr>
              <w:t>SSCI分类</w:t>
            </w:r>
          </w:p>
        </w:tc>
        <w:tc>
          <w:tcPr>
            <w:tcW w:type="dxa" w:w="4997"/>
          </w:tcPr>
          <w:p>
            <w:r>
              <w:t>English；Ergonomics</w:t>
            </w:r>
          </w:p>
        </w:tc>
      </w:tr>
      <w:tr>
        <w:tc>
          <w:tcPr>
            <w:tcW w:type="dxa" w:w="4997"/>
          </w:tcPr>
          <w:p>
            <w:r>
              <w:rPr>
                <w:b/>
              </w:rPr>
              <w:t>论文链接</w:t>
            </w:r>
          </w:p>
        </w:tc>
        <w:tc>
          <w:tcPr>
            <w:tcW w:type="dxa" w:w="4997"/>
          </w:tcPr>
          <w:p>
            <w:hyperlink r:id="rId12">
              <w:r>
                <w:rPr>
                  <w:color w:val="0563C1"/>
                  <w:u w:val="single"/>
                </w:rPr>
                <w:t>https://doi.org/10.1007/s10111-026-00901-5</w:t>
              </w:r>
            </w:hyperlink>
          </w:p>
        </w:tc>
      </w:tr>
    </w:tbl>
    <w:p>
      <w:pPr>
        <w:pStyle w:val="Heading3"/>
      </w:pPr>
      <w:r>
        <w:t>研究摘要</w:t>
      </w:r>
    </w:p>
    <w:p>
      <w:r>
        <w:t>随着人工智能持续重塑创意产业，设计管理正面临关键转型。尽管人机协作受到越来越多关注，现有文献仍缺乏对社会技术、认知、伦理和组织因素如何在设计环境中互动的全面且结构化的理解；多数研究或聚焦算法效率，或聚焦伦理指南等孤立方面，忽视了文化、参与式和管理维度之间的动态互动。为弥补这一空白，本研究基于工业5.0原则，提出并验证一个解释性结构模型，用以映射设计管理中AI与人协作的十二个关键维度之间的层级关系。研究的新颖性在于双层方法：整合解释性结构建模（ISM）和MICMAC分析，并通过一个多学科设计团队的案例研究进行现实世界验证。结果不仅揭示 Human-AI Co-Creation Culture 和 Human-Centered Value Integration 等基础驱动因素，也突出 Explainability、Agile Management 和 Organizational Readiness 的动态作用。模型根据实证洞察得到精炼，引入新的关系路径和反馈回路，以增强实践适用性。研究发现，成功的AI与人协作需要由信任、透明、文化一致性和适应能力构成的分层生态系统。该研究提供了一个经过验证且可操作的框架，指导研究者和实践者实施伦理、有效且可扩展的AI辅助设计策略。摘要未说明该研究与学前教育或基础教育阶段的关系。</w:t>
      </w:r>
    </w:p>
    <w:p>
      <w:pPr>
        <w:pStyle w:val="Heading3"/>
      </w:pPr>
      <w:r>
        <w:t>研究主要内容</w:t>
      </w:r>
    </w:p>
    <w:p>
      <w:r>
        <w:t>论文关注AI重塑创意产业背景下设计管理的转型，指出当前文献缺乏对社会技术、认知、伦理和组织因素如何共同作用于设计环境的结构化理解。研究基于工业5.0原则，提出并验证一个解释性结构模型，映射设计管理中AI与人协作的十二个关键维度及其层级关系。方法上，研究整合解释性结构建模（ISM）和MICMAC分析，并结合一个多学科设计团队的案例研究进行现实世界验证。结果显示， Human-AI Co-Creation Culture 与 Human-Centered Value Integration 是基础驱动因素，Explainability、Agile Management 和 Organizational Readiness 具有动态作用；模型还根据实证洞察得到精炼，新增关系路径与反馈回路。论文的贡献在于提供一个经过验证、可操作的框架，用于指导伦理、有效和可扩展的AI辅助设计策略。该摘要未说明研究发生在学前教育、小学或初中场景，也未涉及教师数字素养、教师培训中的AI整合或学校教学变革。</w:t>
      </w:r>
    </w:p>
    <w:p>
      <w:pPr>
        <w:pStyle w:val="Heading3"/>
      </w:pPr>
      <w:r>
        <w:t>研究论点</w:t>
      </w:r>
    </w:p>
    <w:p>
      <w:r>
        <w:t>作者论证：现有关于人机协作的研究多孤立关注算法效率或伦理指南，忽视文化、参与式和管理维度之间的动态互动；因此，需要以工业5.0和人本设计价值为基础，构建一个能够揭示社会技术、认知、伦理和组织因素层级关系的模型。作者进一步主张，成功的人机协作不是单一技术问题，而是依赖信任、透明、文化一致性和适应能力的分层生态系统，并通过ISM、MICMAC与案例验证相结合来提升模型的可操作性和实践适用性。</w:t>
      </w:r>
    </w:p>
    <w:p>
      <w:pPr>
        <w:pStyle w:val="Heading3"/>
      </w:pPr>
      <w:r>
        <w:t>研究问题</w:t>
      </w:r>
    </w:p>
    <w:p>
      <w:r>
        <w:t>摘要未明确列出研究问题。其核心探究可概括为：在设计管理环境中，社会技术、认知、伦理和组织因素如何相互作用，从而形成以人为中心的AI与人协作层级模型；以及该模型能否通过一个多学科设计团队的案例研究得到验证和精炼。</w:t>
      </w:r>
    </w:p>
    <w:p>
      <w:pPr>
        <w:pStyle w:val="Heading3"/>
      </w:pPr>
      <w:r>
        <w:t>研究方法</w:t>
      </w:r>
    </w:p>
    <w:p>
      <w:r>
        <w:t>研究类型：摘要未明确标注为定量、定性或混合研究；从摘要判断，属于概念建模与案例验证相结合的多方法研究，整合了解释性结构建模（ISM）、MICMAC分析和案例研究。样本或参与者：摘要仅说明案例研究涉及一个多学科设计团队，具体人数、学科构成、招募方式、样本特征均未说明。数据来源：摘要未说明具体数据收集工具与来源，仅提及通过一个多学科设计团队的案例研究进行现实世界验证，并基于实证洞察精炼模型。分析方法：解释性结构建模（ISM）、MICMAC分析，以及案例研究验证；模型精炼中引入新的关系路径和反馈回路。缺失信息：抽样策略、数据收集程序、访谈/问卷/观察等具体工具、分析软件、信效度检验、伦理程序和时间范围均摘要未说明。</w:t>
      </w:r>
    </w:p>
    <w:p>
      <w:pPr>
        <w:pStyle w:val="Heading3"/>
      </w:pPr>
      <w:r>
        <w:t>主要发现</w:t>
      </w:r>
    </w:p>
    <w:p>
      <w:r>
        <w:t>['研究基于工业5.0原则识别出设计管理中AI与人协作的十二个关键维度，并建立层级互动模型；其中 Human-AI Co-Creation Culture 和 Human-Centered Value Integration 被识别为基础驱动因素。', 'Explainability、Agile Management 和 Organizational Readiness 在模型中具有动态作用；模型经多学科设计团队案例验证后得到精炼，新增了关系路径和反馈回路。', '成功的AI与人协作需要由信任、透明、文化一致性和适应能力构成的分层生态系统；该研究据此提出一个经过验证、可操作的框架，用于指导伦理、有效且可扩展的AI辅助设计策略。']</w:t>
      </w:r>
    </w:p>
    <w:p>
      <w:pPr>
        <w:pStyle w:val="Heading3"/>
      </w:pPr>
      <w:r>
        <w:t>对教师教育研究的启示</w:t>
      </w:r>
    </w:p>
    <w:p>
      <w:r>
        <w:t>该摘要未涉及学前教育、基础教育、教师数字素养/智能素养/数据素养、教师教育与教师培训中的AI整合、教育数字化背景下教学变革或教师角色，因此不能直接得出对教师教育研究的特定启示。可借鉴的研究设计层面是：将ISM和MICMAC分析用于构建教师AI素养、教师人机协作或学校数字化变革影响因素的层级模型，并通过学校或教师团队案例进行验证；同时关注信任、透明、组织准备、敏捷管理和文化一致性等维度。但需注意，本文研究对象为设计管理与创意产业中的多学科设计团队，而非学校教师或学生；其样本量、数据收集工具、访谈/问卷/观察程序、案例选择与验证细节均摘要未说明，若迁移至教师教育研究，需要重新设计并补充这些方法信息。</w:t>
      </w:r>
    </w:p>
    <w:p>
      <w:pPr>
        <w:pStyle w:val="Heading3"/>
      </w:pPr>
      <w:r>
        <w:t>APA引用格式</w:t>
      </w:r>
    </w:p>
    <w:p>
      <w:r>
        <w:t>Aghdam, Z. H., Amirkhizi, P. J., Pedrammehr, S., Amin Nezhad, A. M., &amp; Soleimanzadeh, M. (2026). Artificial intelligence-assisted design management model with a human-centered approach. Cognition, Technology &amp; Work. https://doi.org/10.1007/s10111-026-00901-5</w:t>
      </w:r>
    </w:p>
    <w:p>
      <w:r>
        <w:br w:type="page"/>
      </w:r>
    </w:p>
    <w:p>
      <w:pPr>
        <w:pStyle w:val="Heading2"/>
      </w:pPr>
      <w:r>
        <w:t>5. Automated pavement marking retroreflectivity estimation via computer vision and machine learning / 基于计算机视觉与机器学习的路面标线逆反射率自动化估计</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Automated pavement marking retroreflectivity estimation via computer vision and machine learning / 基于计算机视觉与机器学习的路面标线逆反射率自动化估计</w:t>
            </w:r>
          </w:p>
        </w:tc>
      </w:tr>
      <w:tr>
        <w:tc>
          <w:tcPr>
            <w:tcW w:type="dxa" w:w="4997"/>
          </w:tcPr>
          <w:p>
            <w:r>
              <w:rPr>
                <w:b/>
              </w:rPr>
              <w:t>作者</w:t>
            </w:r>
          </w:p>
        </w:tc>
        <w:tc>
          <w:tcPr>
            <w:tcW w:type="dxa" w:w="4997"/>
          </w:tcPr>
          <w:p>
            <w:r>
              <w:t>Mark Gervas Ngotonie, Nana Kankam Gyimah, Gurcan Comert, Judith Mwakalonge, Said Siuhi, Akinbobola Jegede, Ayobami Taiwo</w:t>
            </w:r>
          </w:p>
        </w:tc>
      </w:tr>
      <w:tr>
        <w:tc>
          <w:tcPr>
            <w:tcW w:type="dxa" w:w="4997"/>
          </w:tcPr>
          <w:p>
            <w:r>
              <w:rPr>
                <w:b/>
              </w:rPr>
              <w:t>期刊及影响因子</w:t>
            </w:r>
          </w:p>
        </w:tc>
        <w:tc>
          <w:tcPr>
            <w:tcW w:type="dxa" w:w="4997"/>
          </w:tcPr>
          <w:p>
            <w:r>
              <w:t>期刊：Transportation Research Interdisciplinary Perspectives（交通运输领域期刊）；白名单SSCI分类为Transportation（交通运输），白名单未提供影响因子；白名单未提供JCR分区。重要提示：该论文属于交通运输工程/道路安全领域，研究对象为路面标线，与学前教育、基础教育、AI教学应用、教师数字素养与教师教育等主题无直接关联，不适合作为教育学研究主题文献纳入简报，仅可在研究方法层面作为跨学科方法参考。</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摘要与所提供元数据未说明卷期信息；DOI: https://doi.org/10.1016/j.trip.2026.102283</w:t>
            </w:r>
          </w:p>
        </w:tc>
      </w:tr>
      <w:tr>
        <w:tc>
          <w:tcPr>
            <w:tcW w:type="dxa" w:w="4997"/>
          </w:tcPr>
          <w:p>
            <w:r>
              <w:rPr>
                <w:b/>
              </w:rPr>
              <w:t>在线发表时间</w:t>
            </w:r>
          </w:p>
        </w:tc>
        <w:tc>
          <w:tcPr>
            <w:tcW w:type="dxa" w:w="4997"/>
          </w:tcPr>
          <w:p>
            <w:r>
              <w:t>2026-09-27</w:t>
            </w:r>
          </w:p>
        </w:tc>
      </w:tr>
      <w:tr>
        <w:tc>
          <w:tcPr>
            <w:tcW w:type="dxa" w:w="4997"/>
          </w:tcPr>
          <w:p>
            <w:r>
              <w:rPr>
                <w:b/>
              </w:rPr>
              <w:t>SSCI分类</w:t>
            </w:r>
          </w:p>
        </w:tc>
        <w:tc>
          <w:tcPr>
            <w:tcW w:type="dxa" w:w="4997"/>
          </w:tcPr>
          <w:p>
            <w:r>
              <w:t>Transportation</w:t>
            </w:r>
          </w:p>
        </w:tc>
      </w:tr>
      <w:tr>
        <w:tc>
          <w:tcPr>
            <w:tcW w:type="dxa" w:w="4997"/>
          </w:tcPr>
          <w:p>
            <w:r>
              <w:rPr>
                <w:b/>
              </w:rPr>
              <w:t>论文链接</w:t>
            </w:r>
          </w:p>
        </w:tc>
        <w:tc>
          <w:tcPr>
            <w:tcW w:type="dxa" w:w="4997"/>
          </w:tcPr>
          <w:p>
            <w:hyperlink r:id="rId13">
              <w:r>
                <w:rPr>
                  <w:color w:val="0563C1"/>
                  <w:u w:val="single"/>
                </w:rPr>
                <w:t>https://doi.org/10.1016/j.trip.2026.102283</w:t>
              </w:r>
            </w:hyperlink>
          </w:p>
        </w:tc>
      </w:tr>
    </w:tbl>
    <w:p>
      <w:pPr>
        <w:pStyle w:val="Heading3"/>
      </w:pPr>
      <w:r>
        <w:t>研究摘要</w:t>
      </w:r>
    </w:p>
    <w:p>
      <w:r>
        <w:t>路面标线逆反射率对夜间道路安全至关重要，但会因环境与交通因素而衰减。传统评估方法成本高、耗费人力。本文提出一种不依赖专用传感器、由人工智能驱动的方法，仅使用红、绿、蓝（RGB）智能手机视频即可预测路面标线逆反射率。其人工智能贡献在于将基于灰度共生矩阵（GLCM）的纹理与对比度特征，与一个模拟材料劣化和环境影响的物理信息合成标注模型相结合，从而在没有专用传感器的情况下实现监督学习。研究使用由视频图像处理和物理信息合成标签得到的八个特征训练了五种机器学习模型。XGBoost与合成标注模型达到最高的内部一致性（黄色标线R²=0.98，白色标线R²=0.97），表明机器学习算法能够有效逼近逆反射率与标准RGB视频特征之间复杂的、基于物理的关系。这些结果确立了概念验证（proof-of-concept）的可行性；在投入实际应用前，针对真实逆反射率测量值的现场验证仍是必要的下一步工作。未来工作将使用现场测量验证模型，并扩展数据集，涵盖不同路面类型、天气条件和交通环境，以提升泛化能力。</w:t>
      </w:r>
    </w:p>
    <w:p>
      <w:pPr>
        <w:pStyle w:val="Heading3"/>
      </w:pPr>
      <w:r>
        <w:t>研究主要内容</w:t>
      </w:r>
    </w:p>
    <w:p>
      <w:r>
        <w:t>论文关注夜间道路安全中的路面标线逆反射率评估问题。传统逆反射率测量依赖专用仪器，成本高且劳动密集。作者提出一种跨学科的人工智能方法：以智能手机拍摄的RGB视频为唯一输入，通过计算机视觉提取图像特征，再借助一个模拟材料劣化与环境影响的物理信息合成标注模型生成标签，从而在缺乏专用传感器的条件下构建监督学习任务。研究共训练五种机器学习模型，并比较其与合成标注模型之间的内部一致性。文章强调该成果属于概念验证，尚未经过现场真值测量验证。</w:t>
      </w:r>
    </w:p>
    <w:p>
      <w:pPr>
        <w:pStyle w:val="Heading3"/>
      </w:pPr>
      <w:r>
        <w:t>研究论点</w:t>
      </w:r>
    </w:p>
    <w:p>
      <w:r>
        <w:t>论文的核心论点是：路面标线逆反射率与普通RGB视频可提取的纹理、对比度特征之间存在可由机器学习逼近的复杂物理关系；通过“物理信息合成标注模型”替代昂贵传感器提供监督标签，可以构建一种低成本、不依赖专用传感器、可扩展的逆反射率估计路径。但作者同时限定，该论点目前仅在内部一致性层面得到支持，尚需现场真值数据检验其外部效度。</w:t>
      </w:r>
    </w:p>
    <w:p>
      <w:pPr>
        <w:pStyle w:val="Heading3"/>
      </w:pPr>
      <w:r>
        <w:t>研究问题</w:t>
      </w:r>
    </w:p>
    <w:p>
      <w:r>
        <w:t>摘要未以研究问题形式明确陈述。根据摘要可推断其研究目标为：能否仅凭智能手机RGB视频，结合计算机视觉特征提取与物理信息合成标注，利用机器学习模型有效估计路面标线逆反射率，并比较不同模型的内部一致性表现。</w:t>
      </w:r>
    </w:p>
    <w:p>
      <w:pPr>
        <w:pStyle w:val="Heading3"/>
      </w:pPr>
      <w:r>
        <w:t>研究方法</w:t>
      </w:r>
    </w:p>
    <w:p>
      <w:r>
        <w:t>研究类型：定量研究（机器学习建模与模型性能评估）；摘要未说明是否包含定性成分，也未提及实验设计、对照或随机化安排。样本与参与者：摘要未说明样本量、视频数量、采集地点、拍摄时间跨度、路面类型与标线数量，仅说明数据来源为RGB智能手机视频；不涉及人类参与者，故无参与者特征信息。数据来源：智能手机拍摄的RGB视频；经视频图像处理提取八个特征（包括基于灰度共生矩阵GLCM的纹理特征与对比度特征），并由物理信息合成标注模型生成监督学习标签（该模型模拟材料劣化与环境影响）。分析方法：训练五种机器学习模型，比较其与合成标注模型的内部一致性，以R²作为评价指标，结果显示XGBoost表现最优。摘要未说明特征筛选过程、超参数调优方式、交叉验证方案、训练集与测试集划分比例，也未说明统计显著性检验。</w:t>
      </w:r>
    </w:p>
    <w:p>
      <w:pPr>
        <w:pStyle w:val="Heading3"/>
      </w:pPr>
      <w:r>
        <w:t>主要发现</w:t>
      </w:r>
    </w:p>
    <w:p>
      <w:r>
        <w:t>1. 在五种被训练的机器学习模型中，XGBoost与物理信息合成标注模型之间的内部一致性最高，黄色标线R²=0.98，白色标线R²=0.97。2. 仅使用由智能手机RGB视频图像处理获得的八个特征（含GLCM纹理与对比度特征）即可让机器学习算法有效逼近逆反射率与视频特征之间复杂的、基于物理的关系，说明无需专用传感器亦可构建监督学习方案。3. 研究结果被作者界定为概念验证级别的可行性证据：模型尚未与真实（地面真值）逆反射率现场测量进行对比验证，后续需在不同路面类型、天气条件与交通环境中扩展数据集以检验并提升泛化能力。</w:t>
      </w:r>
    </w:p>
    <w:p>
      <w:pPr>
        <w:pStyle w:val="Heading3"/>
      </w:pPr>
      <w:r>
        <w:t>对教师教育研究的启示</w:t>
      </w:r>
    </w:p>
    <w:p>
      <w:r>
        <w:t>首先需明确：该论文的研究对象为路面标线与道路安全，不属于学前教育或基础教育范畴，也与AI教学应用、教师数字素养/智能素养/数据素养、教师教育中的AI整合、教育数字化背景下的教学变革与教师角色等主题无关，因此无法从中提炼直接面向教师教育的内容启示；若作为教育研究简报条目，应标注为“主题不匹配”。在研究方法层面，可为教育研究者提供两点跨学科方法参考：(1) 当目标变量难以直接测量或标注成本极高时（教育情境中如课堂互动质量编码、教师能力表现评定），可借鉴其“物理信息/领域知识驱动的合成标注”思路，以理论模型生成监督标签，再以真实样本抽样校验，但该文摘要未说明合成标注在教育情境中的适用性，迁移前需重新论证效度；(2) 采用低成本、常态化采集的数据源（该文为智能手机RGB视频，教育情境中可类比为课堂录像、教学平台日志或教师数字行为日志）配合可解释的特征工程（如GLCM式纹理/结构特征）与多种机器学习模型横向比较（含XGBoost等集成方法），并以R²等指标报告模型一致性，是一种可复用的数据收集与分析设计范式。需注意该文尚未完成真值验证，教育研究若采用类似路径，应把“与人工编码或标准化测评的真值一致性检验”设为必要环节。</w:t>
      </w:r>
    </w:p>
    <w:p>
      <w:pPr>
        <w:pStyle w:val="Heading3"/>
      </w:pPr>
      <w:r>
        <w:t>APA引用格式</w:t>
      </w:r>
    </w:p>
    <w:p>
      <w:r>
        <w:t>Ngotonie, M. G., Gyimah, N. K., Comert, G., Mwakalonge, J., Siuhi, S., Jegede, A., &amp; Taiwo, A. (2026). Automated pavement marking retroreflectivity estimation via computer vision and machine learning. Transportation Research Interdisciplinary Perspectives. https://doi.org/10.1016/j.trip.2026.102283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98.18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11/ejed.70882" TargetMode="External"/><Relationship Id="rId10" Type="http://schemas.openxmlformats.org/officeDocument/2006/relationships/hyperlink" Target="https://doi.org/10.1016/j.tate.2026.105839" TargetMode="External"/><Relationship Id="rId11" Type="http://schemas.openxmlformats.org/officeDocument/2006/relationships/hyperlink" Target="https://doi.org/10.1007/s11092-026-09512-0" TargetMode="External"/><Relationship Id="rId12" Type="http://schemas.openxmlformats.org/officeDocument/2006/relationships/hyperlink" Target="https://doi.org/10.1007/s10111-026-00901-5" TargetMode="External"/><Relationship Id="rId13" Type="http://schemas.openxmlformats.org/officeDocument/2006/relationships/hyperlink" Target="https://doi.org/10.1016/j.trip.2026.102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