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每日SSCI文献简报｜2026-08-15</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2026-08-15 08:33:29（北京时间）</w:t>
            </w:r>
          </w:p>
        </w:tc>
      </w:tr>
      <w:tr>
        <w:tc>
          <w:tcPr>
            <w:tcW w:type="dxa" w:w="4997"/>
          </w:tcPr>
          <w:p>
            <w:r>
              <w:rPr>
                <w:b/>
              </w:rPr>
              <w:t>检索窗口</w:t>
            </w:r>
          </w:p>
        </w:tc>
        <w:tc>
          <w:tcPr>
            <w:tcW w:type="dxa" w:w="4997"/>
          </w:tcPr>
          <w:p>
            <w:r>
              <w:t>2023-08-16 — 2026-08-15</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赋能教育的多元路径：英语教师GenAI持续使用动机、儿童心理健康深度学习筛查、中小学教师AI实践及数字领导力，覆盖纵向质性、量化与模型开发方法。中国本土情境的教师与留守儿童研究凸显关怀，技术正从工具采纳走向专业成长与教育公平。</w:t>
      </w:r>
    </w:p>
    <w:p>
      <w:pPr>
        <w:pStyle w:val="Heading1"/>
      </w:pPr>
      <w:r>
        <w:t>目录</w:t>
      </w:r>
    </w:p>
    <w:p>
      <w:pPr>
        <w:pStyle w:val="ListNumber"/>
      </w:pPr>
      <w:r>
        <w:rPr>
          <w:b/>
        </w:rPr>
        <w:t>从采纳到持续使用：基于自我决定理论的大学英语教师持续使用生成式人工智能动机的纵向质性研究</w:t>
      </w:r>
      <w:r>
        <w:t>｜Behavioral Sciences｜2026-08-14</w:t>
      </w:r>
    </w:p>
    <w:p>
      <w:pPr>
        <w:pStyle w:val="ListNumber"/>
      </w:pPr>
      <w:r>
        <w:rPr>
          <w:b/>
        </w:rPr>
        <w:t>基于人工智能与深度学习的学前儿童心理健康艺术疗法</w:t>
      </w:r>
      <w:r>
        <w:t>｜International Journal of Pattern Recognition and Artificial Intelligence｜2026-08-14</w:t>
      </w:r>
    </w:p>
    <w:p>
      <w:pPr>
        <w:pStyle w:val="ListNumber"/>
      </w:pPr>
      <w:r>
        <w:rPr>
          <w:b/>
        </w:rPr>
        <w:t>公立中学教师在科学教学中运用人工智能（AI）的生活经验与挑战：培训设计的基础</w:t>
      </w:r>
      <w:r>
        <w:t>｜International Journal of Sustainable and Integrated Studies｜2026-08-14</w:t>
      </w:r>
    </w:p>
    <w:p>
      <w:pPr>
        <w:pStyle w:val="ListNumber"/>
      </w:pPr>
      <w:r>
        <w:rPr>
          <w:b/>
        </w:rPr>
        <w:t>Meta的十字路口：从元宇宙豪赌到人工智能转向</w:t>
      </w:r>
      <w:r>
        <w:t>｜Journal of Information Technology Teaching Cases｜2026-08-13</w:t>
      </w:r>
    </w:p>
    <w:p>
      <w:pPr>
        <w:pStyle w:val="ListNumber"/>
      </w:pPr>
      <w:r>
        <w:rPr>
          <w:b/>
        </w:rPr>
        <w:t>从学习中心领导力到教师创新的数字化路径</w:t>
      </w:r>
      <w:r>
        <w:t>｜Educational Management Administration &amp;amp; Leadership｜2026-08-14</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From Adoption to Continuance: A Longitudinal Qualitative Exploration of University EFL Teachers’ Motivation for Continued Use of GenAI Based on Self-Determination Theory / 从采纳到持续使用：基于自我决定理论的大学英语教师持续使用生成式人工智能动机的纵向质性研究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From Adoption to Continuance: A Longitudinal Qualitative Exploration of University EFL Teachers’ Motivation for Continued Use of GenAI Based on Self-Determination Theory / 从采纳到持续使用：基于自我决定理论的大学英语教师持续使用生成式人工智能动机的纵向质性研究</w:t>
            </w:r>
          </w:p>
        </w:tc>
      </w:tr>
      <w:tr>
        <w:tc>
          <w:tcPr>
            <w:tcW w:type="dxa" w:w="4997"/>
          </w:tcPr>
          <w:p>
            <w:r>
              <w:rPr>
                <w:b/>
              </w:rPr>
              <w:t>作者</w:t>
            </w:r>
          </w:p>
        </w:tc>
        <w:tc>
          <w:tcPr>
            <w:tcW w:type="dxa" w:w="4997"/>
          </w:tcPr>
          <w:p>
            <w:r>
              <w:t>Chunhua Mao, Yonghong Zeng</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MDPI AG, Grosspeteranlage 5, BASEL, Switzerland, CH-4052</w:t>
            </w:r>
          </w:p>
        </w:tc>
      </w:tr>
      <w:tr>
        <w:tc>
          <w:tcPr>
            <w:tcW w:type="dxa" w:w="4997"/>
          </w:tcPr>
          <w:p>
            <w:r>
              <w:rPr>
                <w:b/>
              </w:rPr>
              <w:t>卷期/DOI</w:t>
            </w:r>
          </w:p>
        </w:tc>
        <w:tc>
          <w:tcPr>
            <w:tcW w:type="dxa" w:w="4997"/>
          </w:tcPr>
          <w:p>
            <w:r>
              <w:t>Behavioral Sciences, 2026, 16(8), Article 1396. DOI: 10.3390/bs16081396</w:t>
            </w:r>
          </w:p>
        </w:tc>
      </w:tr>
      <w:tr>
        <w:tc>
          <w:tcPr>
            <w:tcW w:type="dxa" w:w="4997"/>
          </w:tcPr>
          <w:p>
            <w:r>
              <w:rPr>
                <w:b/>
              </w:rPr>
              <w:t>在线发表时间</w:t>
            </w:r>
          </w:p>
        </w:tc>
        <w:tc>
          <w:tcPr>
            <w:tcW w:type="dxa" w:w="4997"/>
          </w:tcPr>
          <w:p>
            <w:r>
              <w:t>2026-08-14</w:t>
            </w:r>
          </w:p>
        </w:tc>
      </w:tr>
      <w:tr>
        <w:tc>
          <w:tcPr>
            <w:tcW w:type="dxa" w:w="4997"/>
          </w:tcPr>
          <w:p>
            <w:r>
              <w:rPr>
                <w:b/>
              </w:rPr>
              <w:t>SSCI分类</w:t>
            </w:r>
          </w:p>
        </w:tc>
        <w:tc>
          <w:tcPr>
            <w:tcW w:type="dxa" w:w="4997"/>
          </w:tcPr>
          <w:p>
            <w:r>
              <w:t>Applied；Law；Psychology</w:t>
            </w:r>
          </w:p>
        </w:tc>
      </w:tr>
      <w:tr>
        <w:tc>
          <w:tcPr>
            <w:tcW w:type="dxa" w:w="4997"/>
          </w:tcPr>
          <w:p>
            <w:r>
              <w:rPr>
                <w:b/>
              </w:rPr>
              <w:t>论文链接</w:t>
            </w:r>
          </w:p>
        </w:tc>
        <w:tc>
          <w:tcPr>
            <w:tcW w:type="dxa" w:w="4997"/>
          </w:tcPr>
          <w:p>
            <w:hyperlink r:id="rId9">
              <w:r>
                <w:rPr>
                  <w:color w:val="0563C1"/>
                  <w:u w:val="single"/>
                </w:rPr>
                <w:t>https://doi.org/10.3390/bs16081396</w:t>
              </w:r>
            </w:hyperlink>
          </w:p>
        </w:tc>
      </w:tr>
    </w:tbl>
    <w:p>
      <w:pPr>
        <w:pStyle w:val="Heading3"/>
      </w:pPr>
      <w:r>
        <w:t>研究摘要</w:t>
      </w:r>
    </w:p>
    <w:p>
      <w:r>
        <w:t>生成式人工智能（GenAI）已迅速融入高等教育，但现有研究多依赖量化框架捕捉教师的初始采纳，对大学英语教师持续使用GenAI的动机演化探讨不足。为弥补这一缺口，本研究以自我决定理论（SDT）为基础，采用纵向质性研究设计，探究15名大学英语教师持续使用GenAI的动机演化及其心理需求体验。研究通过为期一年的两轮半结构化访谈收集数据，并使用NVivo 11 PLUS进行分析。研究发现，教师的动机存在从外部调节到价值认同、再到专业身份整合的动态演化过程。需要满足与需要挫折为教师动机内化提供了重要的心理基础；需要满足直接促进大学英语教师持续使用GenAI，而需要挫折通过迭代反思与教学调整，反而可能成为教师形成长期持续使用行为的潜在催化剂。本研究拓展了SDT在GenAI教育情境中的应用，表明大学英语教师持续使用GenAI不仅是技术采纳过程，也是专业成长与专业身份整合的过程。研究结果为教师专业发展、GenAI设计和教育政策提供了初步启示。</w:t>
      </w:r>
    </w:p>
    <w:p>
      <w:pPr>
        <w:pStyle w:val="Heading3"/>
      </w:pPr>
      <w:r>
        <w:t>研究主要内容</w:t>
      </w:r>
    </w:p>
    <w:p>
      <w:r>
        <w:t>该文针对GenAI在高等教育中快速应用但现有研究多聚焦初始采纳、忽略持续使用动机的现状，以自我决定理论为框架，对15名大学英语教师开展为期一年的纵向质性研究，通过两轮半结构化访谈收集数据，使用NVivo 11 PLUS进行分析，重点考察其持续使用GenAI的动机变化与心理需求体验。研究发现动机从外部调节向价值认同和专业身份整合演化，需要满足和需要挫折共同影响动机内化，并指出持续使用GenAI本质上也是教师专业成长与身份整合的过程。</w:t>
      </w:r>
    </w:p>
    <w:p>
      <w:pPr>
        <w:pStyle w:val="Heading3"/>
      </w:pPr>
      <w:r>
        <w:t>研究论点</w:t>
      </w:r>
    </w:p>
    <w:p>
      <w:r>
        <w:t>核心论断是：大学英语教师持续使用GenAI不是一个单纯的技术采纳过程，而是动机内化与专业身份整合的过程；需要满足直接支撑持续使用，而需要挫折在特定条件下也可能通过教师的反思与教学调整转化为长期使用的催化剂。</w:t>
      </w:r>
    </w:p>
    <w:p>
      <w:pPr>
        <w:pStyle w:val="Heading3"/>
      </w:pPr>
      <w:r>
        <w:t>研究问题</w:t>
      </w:r>
    </w:p>
    <w:p>
      <w:r>
        <w:t>摘要未以问句形式呈现明确的研究问题，但根据研究目的可归纳为：大学英语教师持续使用GenAI的动机如何随时间演化？需要满足与需要挫折在其动机内化过程中如何发挥作用？</w:t>
      </w:r>
    </w:p>
    <w:p>
      <w:pPr>
        <w:pStyle w:val="Heading3"/>
      </w:pPr>
      <w:r>
        <w:t>研究方法</w:t>
      </w:r>
    </w:p>
    <w:p>
      <w:r>
        <w:t>研究类型：纵向质性研究。样本：15名大学英语教师（具体学校、地区、教龄、性别等抽样信息摘要未说明）。数据来源：为期一年的两轮半结构化访谈。分析方法：使用NVivo 11 PLUS进行数据分析，但摘要未说明具体分析策略（如主题分析、编码方式等）。</w:t>
      </w:r>
    </w:p>
    <w:p>
      <w:pPr>
        <w:pStyle w:val="Heading3"/>
      </w:pPr>
      <w:r>
        <w:t>主要发现</w:t>
      </w:r>
    </w:p>
    <w:p>
      <w:r>
        <w:t>['大学英语教师持续使用GenAI的动机表现出从外部调节到价值认同、再到专业身份整合的动态演化过程。', '需要满足与需要挫折共同构成动机内化的心理基础：需要满足直接促进持续使用GenAI，而需要挫折可通过教师的迭代反思和教学调整，成为促成长期持续使用的潜在催化剂。', '持续使用GenAI不仅是技术采纳过程，也是教师专业成长与专业身份整合的过程。']</w:t>
      </w:r>
    </w:p>
    <w:p>
      <w:pPr>
        <w:pStyle w:val="Heading3"/>
      </w:pPr>
      <w:r>
        <w:t>对教师教育研究的启示</w:t>
      </w:r>
    </w:p>
    <w:p>
      <w:r>
        <w:t>对教师教育研究而言，该文提供了从初始采纳转向持续使用的纵向质性研究范例，适合用来考察教师在AI使用中数字素养、智能素养和专业认同的长期发展；以自我决定理论关注需要满足与需要挫折的双重作用，为教师教育中的动机支持、反思机制和教学调整研究提供了理论视角；采用两轮半结构化访谈配合NVivo分析的路径，对研究教师AI整合过程中的阶段变化、心理体验和身份建构具有方法上的参考价值。</w:t>
      </w:r>
    </w:p>
    <w:p>
      <w:pPr>
        <w:pStyle w:val="Heading3"/>
      </w:pPr>
      <w:r>
        <w:t>APA引用格式</w:t>
      </w:r>
    </w:p>
    <w:p>
      <w:r>
        <w:t>Mao, C., &amp; Zeng, Y. (2026). From adoption to continuance: A longitudinal qualitative exploration of university EFL teachers’ motivation for continued use of GenAI based on self-determination theory. Behavioral Sciences, 16(8), Article 1396. https://doi.org/10.3390/bs16081396</w:t>
      </w:r>
    </w:p>
    <w:p>
      <w:r>
        <w:br w:type="page"/>
      </w:r>
    </w:p>
    <w:p>
      <w:pPr>
        <w:pStyle w:val="Heading2"/>
      </w:pPr>
      <w:r>
        <w:t>2. The Art Therapy for Preschool Children's Mental Health Based on Artificial Intelligence and Deep Learning / 基于人工智能与深度学习的学前儿童心理健康艺术疗法</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Art Therapy for Preschool Children's Mental Health Based on Artificial Intelligence and Deep Learning / 基于人工智能与深度学习的学前儿童心理健康艺术疗法</w:t>
            </w:r>
          </w:p>
        </w:tc>
      </w:tr>
      <w:tr>
        <w:tc>
          <w:tcPr>
            <w:tcW w:type="dxa" w:w="4997"/>
          </w:tcPr>
          <w:p>
            <w:r>
              <w:rPr>
                <w:b/>
              </w:rPr>
              <w:t>作者</w:t>
            </w:r>
          </w:p>
        </w:tc>
        <w:tc>
          <w:tcPr>
            <w:tcW w:type="dxa" w:w="4997"/>
          </w:tcPr>
          <w:p>
            <w:r>
              <w:t>Xiyuan Zhang</w:t>
            </w:r>
          </w:p>
        </w:tc>
      </w:tr>
      <w:tr>
        <w:tc>
          <w:tcPr>
            <w:tcW w:type="dxa" w:w="4997"/>
          </w:tcPr>
          <w:p>
            <w:r>
              <w:rPr>
                <w:b/>
              </w:rPr>
              <w:t>期刊及影响因子</w:t>
            </w:r>
          </w:p>
        </w:tc>
        <w:tc>
          <w:tcPr>
            <w:tcW w:type="dxa" w:w="4997"/>
          </w:tcPr>
          <w:p>
            <w:r>
              <w:t>影响因子：未提供；JCR分区：未提供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卷期未说明；DOI: 10.1142/s0218001426400331</w:t>
            </w:r>
          </w:p>
        </w:tc>
      </w:tr>
      <w:tr>
        <w:tc>
          <w:tcPr>
            <w:tcW w:type="dxa" w:w="4997"/>
          </w:tcPr>
          <w:p>
            <w:r>
              <w:rPr>
                <w:b/>
              </w:rPr>
              <w:t>在线发表时间</w:t>
            </w:r>
          </w:p>
        </w:tc>
        <w:tc>
          <w:tcPr>
            <w:tcW w:type="dxa" w:w="4997"/>
          </w:tcPr>
          <w:p>
            <w:r>
              <w:t>2026-08-14</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0">
              <w:r>
                <w:rPr>
                  <w:color w:val="0563C1"/>
                  <w:u w:val="single"/>
                </w:rPr>
                <w:t>https://doi.org/10.1142/s0218001426400331</w:t>
              </w:r>
            </w:hyperlink>
          </w:p>
        </w:tc>
      </w:tr>
    </w:tbl>
    <w:p>
      <w:pPr>
        <w:pStyle w:val="Heading3"/>
      </w:pPr>
      <w:r>
        <w:t>研究摘要</w:t>
      </w:r>
    </w:p>
    <w:p>
      <w:r>
        <w:t>本研究针对农村留守儿童学前儿童语言表达能力有限，以及传统焦虑评估方法（主要依赖家长报告和专家观察）的局限性，开发了一种融合心电图（ECG）和皮肤电活动（EDA）信号的一维卷积神经网络（CNN）-长短期记忆（LSTM）分类模型。共招募160名3-6岁农村留守儿童。在参与者层面，112名儿童被分配至训练集，48名至测试集，确保同一儿童的所有信号段仅出现在一个数据子集中。原始ECG和EDA信号以1000 Hz采样率采集。经滤波、归一化和重采样后，处理后的数据被转换为维度为300×2的输入张量。焦虑水平采用学龄前儿童焦虑量表（PAS）、1.5-5岁儿童行为量表（CBCL/1.5-5）以及三名儿童心理学家进行的盲法行为评估联合确定。生理信号未参与标注过程。在参与者独立测试中，CNN-LSTM模型的准确率为87.3%，优于单独CNN模型的83.8%。此外，五折参与者层次交叉验证的平均准确率为87.4%±0.9%，95%置信区间为86.34%至88.46%。这些发现表明，对局部波形特征和时间依赖性的联合建模有助于区分当前样本中的焦虑水平。该模型旨在作为辅助筛查工具，其在不同地理区域、采集设备和真实世界场景中的泛化性需要进一步的外部验证。</w:t>
      </w:r>
    </w:p>
    <w:p>
      <w:pPr>
        <w:pStyle w:val="Heading3"/>
      </w:pPr>
      <w:r>
        <w:t>研究主要内容</w:t>
      </w:r>
    </w:p>
    <w:p>
      <w:r>
        <w:t>本研究针对农村留守儿童学前儿童语言表达能力有限、传统焦虑评估方法存在局限的问题，开发了一种基于一维CNN-LSTM的深度学习模型。该模型融合ECG和EDA生理信号，用于自动区分儿童焦虑水平。研究招募160名3-6岁农村留守儿童，通过生理信号采集和量表评估构建数据集，并评估模型性能。</w:t>
      </w:r>
    </w:p>
    <w:p>
      <w:pPr>
        <w:pStyle w:val="Heading3"/>
      </w:pPr>
      <w:r>
        <w:t>研究论点</w:t>
      </w:r>
    </w:p>
    <w:p>
      <w:r>
        <w:t>作者认为，传统焦虑评估方法（依赖家长报告和专家观察）对于语言表达能力有限的农村留守儿童学前儿童存在局限；联合建模ECG与EDA信号的CNN-LSTM模型能够有效区分焦虑水平，并可作为辅助筛查工具。</w:t>
      </w:r>
    </w:p>
    <w:p>
      <w:pPr>
        <w:pStyle w:val="Heading3"/>
      </w:pPr>
      <w:r>
        <w:t>研究问题</w:t>
      </w:r>
    </w:p>
    <w:p>
      <w:r>
        <w:t>摘要未明确陈述研究问题。基于摘要可推断，研究问题可能是：融合ECG和EDA信号的CNN-LSTM分类模型能否有效识别农村留守儿童学前儿童的焦虑水平？</w:t>
      </w:r>
    </w:p>
    <w:p>
      <w:pPr>
        <w:pStyle w:val="Heading3"/>
      </w:pPr>
      <w:r>
        <w:t>研究方法</w:t>
      </w:r>
    </w:p>
    <w:p>
      <w:r>
        <w:t>{'research_type': '定量研究（模型开发与评估）', 'sample': '160名3-6岁农村留守儿童，其中112名分配至训练集，48名分配至测试集；按参与者级别划分，确保同一儿童的数据不跨子集。', 'data_sources': '①ECG和EDA生理信号，以1000 Hz采样率采集，经滤波、归一化和重采样后转换为300×2输入张量；②学龄前儿童焦虑量表（PAS）、1.5-5岁儿童行为量表（CBCL/1.5-5）以及三名儿童心理学家的盲法行为评估；生理信号未参与标注。', 'analysis_methods': '构建一维CNN-LSTM分类模型，并与单独CNN模型比较；采用参与者独立测试和五折参与者级别交叉验证，报告准确率、均值及95%置信区间。'}</w:t>
      </w:r>
    </w:p>
    <w:p>
      <w:pPr>
        <w:pStyle w:val="Heading3"/>
      </w:pPr>
      <w:r>
        <w:t>主要发现</w:t>
      </w:r>
    </w:p>
    <w:p>
      <w:r>
        <w:t>['在参与者独立测试中，CNN-LSTM模型的准确率为87.3%，优于单独CNN模型的83.8%。', '五折参与者级别交叉验证的平均准确率为87.4%±0.9%，95%置信区间为86.34%至88.46%。', '联合建模局部波形特征和时间依赖性有助于区分当前样本中儿童的焦虑水平；该模型作为辅助筛查工具，在不同地理区域、采集设备和真实世界场景中的泛化性需进一步外部验证。']</w:t>
      </w:r>
    </w:p>
    <w:p>
      <w:pPr>
        <w:pStyle w:val="Heading3"/>
      </w:pPr>
      <w:r>
        <w:t>对教师教育研究的启示</w:t>
      </w:r>
    </w:p>
    <w:p>
      <w:r>
        <w:t>['学前教育教师教育研究应关注AI辅助心理筛查工具的开发与评估，理解其弥补儿童语言表达不足的潜在价值。', '此类研究设计融合了生理信号与多源心理评估（量表+专家盲评），可为教师教育中关于儿童心理健康评估的多模态实证研究提供参考。', '未来教师教育研究需关注AI工具在跨地区、跨设备和真实教育场景中的泛化性，并探索针对幼儿园教师如何应用此类工具进行儿童心理支持的培训模式。']</w:t>
      </w:r>
    </w:p>
    <w:p>
      <w:pPr>
        <w:pStyle w:val="Heading3"/>
      </w:pPr>
      <w:r>
        <w:t>APA引用格式</w:t>
      </w:r>
    </w:p>
    <w:p>
      <w:r>
        <w:t>Zhang, X. (2026). The art therapy for preschool children's mental health based on artificial intelligence and deep learning. International Journal of Pattern Recognition and Artificial Intelligence. Advance online publication. https://doi.org/10.1142/s0218001426400331</w:t>
      </w:r>
    </w:p>
    <w:p>
      <w:r>
        <w:br w:type="page"/>
      </w:r>
    </w:p>
    <w:p>
      <w:pPr>
        <w:pStyle w:val="Heading2"/>
      </w:pPr>
      <w:r>
        <w:t>3. Lived Experiences and Challenges of Public Secondary Teachers in Utilizing Artificial Intelligence (AI) in Teaching Science: Basis for Training Design / 公立中学教师在科学教学中运用人工智能（AI）的生活经验与挑战：培训设计的基础</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Lived Experiences and Challenges of Public Secondary Teachers in Utilizing Artificial Intelligence (AI) in Teaching Science: Basis for Training Design / 公立中学教师在科学教学中运用人工智能（AI）的生活经验与挑战：培训设计的基础</w:t>
            </w:r>
          </w:p>
        </w:tc>
      </w:tr>
      <w:tr>
        <w:tc>
          <w:tcPr>
            <w:tcW w:type="dxa" w:w="4997"/>
          </w:tcPr>
          <w:p>
            <w:r>
              <w:rPr>
                <w:b/>
              </w:rPr>
              <w:t>作者</w:t>
            </w:r>
          </w:p>
        </w:tc>
        <w:tc>
          <w:tcPr>
            <w:tcW w:type="dxa" w:w="4997"/>
          </w:tcPr>
          <w:p>
            <w:r>
              <w:t>Michelle V. Conag</w:t>
            </w:r>
          </w:p>
        </w:tc>
      </w:tr>
      <w:tr>
        <w:tc>
          <w:tcPr>
            <w:tcW w:type="dxa" w:w="4997"/>
          </w:tcPr>
          <w:p>
            <w:r>
              <w:rPr>
                <w:b/>
              </w:rPr>
              <w:t>期刊及影响因子</w:t>
            </w:r>
          </w:p>
        </w:tc>
        <w:tc>
          <w:tcPr>
            <w:tcW w:type="dxa" w:w="4997"/>
          </w:tcPr>
          <w:p>
            <w:r>
              <w:t>白名单未提供影响因子/JCR分区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10.65339/ijsis.v1.i1.15</w:t>
            </w:r>
          </w:p>
        </w:tc>
      </w:tr>
      <w:tr>
        <w:tc>
          <w:tcPr>
            <w:tcW w:type="dxa" w:w="4997"/>
          </w:tcPr>
          <w:p>
            <w:r>
              <w:rPr>
                <w:b/>
              </w:rPr>
              <w:t>在线发表时间</w:t>
            </w:r>
          </w:p>
        </w:tc>
        <w:tc>
          <w:tcPr>
            <w:tcW w:type="dxa" w:w="4997"/>
          </w:tcPr>
          <w:p>
            <w:r>
              <w:t>2026-08-14</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1">
              <w:r>
                <w:rPr>
                  <w:color w:val="0563C1"/>
                  <w:u w:val="single"/>
                </w:rPr>
                <w:t>https://doi.org/10.65339/ijsis.v1.i1.15</w:t>
              </w:r>
            </w:hyperlink>
          </w:p>
        </w:tc>
      </w:tr>
    </w:tbl>
    <w:p>
      <w:pPr>
        <w:pStyle w:val="Heading3"/>
      </w:pPr>
      <w:r>
        <w:t>研究摘要</w:t>
      </w:r>
    </w:p>
    <w:p>
      <w:r>
        <w:t>人工智能（AI）日益融入教育领域，但其在公立中学科学课堂中的有效运用取决于教师经验、能力、可用资源和机构支持。本研究探讨了公立中学科学教师在科学教学中运用AI的生活经验与挑战，并将研究结果作为制定情境响应式培训设计的基础。研究以输入-过程-输出模型为理论框架，采用定性现象学设计，通过完整枚举法选取了来自Mobo National High School的8名科学教师。数据通过验证过的研究者自编半结构化访谈指南收集，并进行主题分析。研究结果揭示了教师生活经验的三个主要维度：在科学教学实践中整合AI、改善课堂互动与学习环境、专业成长与教学法发展。教师将AI工具用于备课、教学材料开发、评估准备、内容组织、简化科学概念以及学习者参与。然而，AI整合受到网络连接不稳定、设备和技术资源不足、实践培训不够、机构和技术支持有限、指导方针不明确，以及内容可靠性、隐私、抄袭、学术不端、学生过度依赖和批判性思维等问题制约。研究得出结论：当AI作为教学支持而非替代教师时，能够提高科学教学的效率和质量。研究建议持续的专业发展、更强的机构和技术支持、负责任使用指南、内容验证实践，以及实施所提议的校本AI整合培训设计。该研究主要通过加强教师能力和负责任的教育技术整合来支持可持续发展目标4（优质教育）和可持续发展目标9（产业、创新和基础设施）。其可持续性影响侧重于教育、技术、数字和机构可持续性，促进在科学教育中胜任、道德、公平且情境响应的AI使用。</w:t>
      </w:r>
    </w:p>
    <w:p>
      <w:pPr>
        <w:pStyle w:val="Heading3"/>
      </w:pPr>
      <w:r>
        <w:t>研究主要内容</w:t>
      </w:r>
    </w:p>
    <w:p>
      <w:r>
        <w:t>本研究以输入-过程-输出模型为理论框架，采用定性现象学设计，对8名公立中学科学教师进行半结构化访谈，并运用主题分析处理数据。研究旨在理解教师在科学教学中运用AI的生活经验与挑战，并为开发情境响应式培训设计提供依据。研究识别出教师经验中的三个主要维度，同时揭示了网络、设备、培训、机构支持、伦理及学生认知等方面的多重挑战。最终提出AI应作为教学支持而非替代教师，并建议通过持续专业发展、制度支持、指导原则及校本培训设计来促进有效的AI整合。</w:t>
      </w:r>
    </w:p>
    <w:p>
      <w:pPr>
        <w:pStyle w:val="Heading3"/>
      </w:pPr>
      <w:r>
        <w:t>研究论点</w:t>
      </w:r>
    </w:p>
    <w:p>
      <w:r>
        <w:t>作者的核心论点是：人工智能在科学教学中的有效整合并非仅仅依赖技术本身，而是取决于教师的生活经验、挑战及情境支持。AI可以作为提高教学效率与质量的辅助工具，但绝不能取代教师；需要基于教师的真实经验设计情境响应式培训，并辅以机构、伦理和技术支持，才能实现负责任且可持续的AI教育应用。</w:t>
      </w:r>
    </w:p>
    <w:p>
      <w:pPr>
        <w:pStyle w:val="Heading3"/>
      </w:pPr>
      <w:r>
        <w:t>研究问题</w:t>
      </w:r>
    </w:p>
    <w:p>
      <w:r>
        <w:t>摘要未明确列出具体研究问题；但研究旨在探讨公立中学科学教师在科学教学中运用AI所经历的生活经验与面临的挑战，并以此为基础制定情境响应式培训设计。</w:t>
      </w:r>
    </w:p>
    <w:p>
      <w:pPr>
        <w:pStyle w:val="Heading3"/>
      </w:pPr>
      <w:r>
        <w:t>研究方法</w:t>
      </w:r>
    </w:p>
    <w:p>
      <w:r>
        <w:t>研究类型：定性研究（现象学设计）。样本或参与者：8名来自Mobo National High School的科学教师，通过完整枚举法选取。数据来源：使用验证过的研究者自编半结构化访谈指南进行访谈。分析方法：主题分析。摘要未提及访谈时长、伦理审批等具体流程细节。</w:t>
      </w:r>
    </w:p>
    <w:p>
      <w:pPr>
        <w:pStyle w:val="Heading3"/>
      </w:pPr>
      <w:r>
        <w:t>主要发现</w:t>
      </w:r>
    </w:p>
    <w:p>
      <w:r>
        <w:t>1. 教师将AI整合于科学教学实践，具体用于备课、开发教学材料、准备评估、组织内容、简化科学概念及促进学习者参与；同时AI整合改善了课堂互动与学习环境，并促进了教师的专业成长与教学法发展。2. AI整合面临多重挑战，包括外部资源限制（不稳定的网络连接、设备和技术资源不足、实践培训不足、机构和技术支持有限、指导方针不明确）以及内嵌风险（内容可靠性、隐私、抄袭、学术不端、学生过度依赖和批判性思维削弱）。3. 研究结论强调，当AI作为教学支持工具而非教师替代品时，能够提升科学教学的效率和质量；因此需要持续专业发展、更强机构支持、负责任使用指南、内容验证实践及校本AI整合培训设计。</w:t>
      </w:r>
    </w:p>
    <w:p>
      <w:pPr>
        <w:pStyle w:val="Heading3"/>
      </w:pPr>
      <w:r>
        <w:t>对教师教育研究的启示</w:t>
      </w:r>
    </w:p>
    <w:p>
      <w:r>
        <w:t>1. 本研究为教师教育研究提供了在真实公立学校情境中教师AI使用经验的质性证据，丰富了对AI教学整合中教师主体性、能力需求与制度约束的理解。2. 其现象学设计、完整枚举抽样、半结构化访谈和主题分析方法，可作为未来研究教师技术整合经验、培训需求和专业发展效果的参考范式。3. 研究显示的培训不足、支持有限和伦理担忧等问题，提示教师教育应加强情境化培训设计、AI伦理与数据素养教育，并重视学校层面的制度与技术保障对未来教师培训和在职教师专业发展的关键作用。</w:t>
      </w:r>
    </w:p>
    <w:p>
      <w:pPr>
        <w:pStyle w:val="Heading3"/>
      </w:pPr>
      <w:r>
        <w:t>APA引用格式</w:t>
      </w:r>
    </w:p>
    <w:p>
      <w:r>
        <w:t>Conag, M. V. (2026). Lived experiences and challenges of public secondary teachers in utilizing artificial intelligence (AI) in teaching science: Basis for training design. International Journal of Sustainable and Integrated Studies. Advance online publication. https://doi.org/10.65339/ijsis.v1.i1.15</w:t>
      </w:r>
    </w:p>
    <w:p>
      <w:r>
        <w:br w:type="page"/>
      </w:r>
    </w:p>
    <w:p>
      <w:pPr>
        <w:pStyle w:val="Heading2"/>
      </w:pPr>
      <w:r>
        <w:t>4. Meta at the crossroads: from the metaverse bet to the A.I. pivot / Meta的十字路口：从元宇宙豪赌到人工智能转向</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Meta at the crossroads: from the metaverse bet to the A.I. pivot / Meta的十字路口：从元宇宙豪赌到人工智能转向</w:t>
            </w:r>
          </w:p>
        </w:tc>
      </w:tr>
      <w:tr>
        <w:tc>
          <w:tcPr>
            <w:tcW w:type="dxa" w:w="4997"/>
          </w:tcPr>
          <w:p>
            <w:r>
              <w:rPr>
                <w:b/>
              </w:rPr>
              <w:t>作者</w:t>
            </w:r>
          </w:p>
        </w:tc>
        <w:tc>
          <w:tcPr>
            <w:tcW w:type="dxa" w:w="4997"/>
          </w:tcPr>
          <w:p>
            <w:r>
              <w:t>Sameek Ghosh, Chaitanya Kommanapalli, Poojitha Kondapaka</w:t>
            </w:r>
          </w:p>
        </w:tc>
      </w:tr>
      <w:tr>
        <w:tc>
          <w:tcPr>
            <w:tcW w:type="dxa" w:w="4997"/>
          </w:tcPr>
          <w:p>
            <w:r>
              <w:rPr>
                <w:b/>
              </w:rPr>
              <w:t>期刊及影响因子</w:t>
            </w:r>
          </w:p>
        </w:tc>
        <w:tc>
          <w:tcPr>
            <w:tcW w:type="dxa" w:w="4997"/>
          </w:tcPr>
          <w:p>
            <w:r>
              <w:t>期刊：Journal of Information Technology Teaching Cases；SSCI分类：Information Science &amp; Library Science, Management；白名单未提供影响因子；白名单未提供JCR分区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卷期信息未说明；DOI: 10.1177/20438869261477112</w:t>
            </w:r>
          </w:p>
        </w:tc>
      </w:tr>
      <w:tr>
        <w:tc>
          <w:tcPr>
            <w:tcW w:type="dxa" w:w="4997"/>
          </w:tcPr>
          <w:p>
            <w:r>
              <w:rPr>
                <w:b/>
              </w:rPr>
              <w:t>在线发表时间</w:t>
            </w:r>
          </w:p>
        </w:tc>
        <w:tc>
          <w:tcPr>
            <w:tcW w:type="dxa" w:w="4997"/>
          </w:tcPr>
          <w:p>
            <w:r>
              <w:t>2026-08-13</w:t>
            </w:r>
          </w:p>
        </w:tc>
      </w:tr>
      <w:tr>
        <w:tc>
          <w:tcPr>
            <w:tcW w:type="dxa" w:w="4997"/>
          </w:tcPr>
          <w:p>
            <w:r>
              <w:rPr>
                <w:b/>
              </w:rPr>
              <w:t>SSCI分类</w:t>
            </w:r>
          </w:p>
        </w:tc>
        <w:tc>
          <w:tcPr>
            <w:tcW w:type="dxa" w:w="4997"/>
          </w:tcPr>
          <w:p>
            <w:r>
              <w:t>Information Science &amp; Library Science；Management</w:t>
            </w:r>
          </w:p>
        </w:tc>
      </w:tr>
      <w:tr>
        <w:tc>
          <w:tcPr>
            <w:tcW w:type="dxa" w:w="4997"/>
          </w:tcPr>
          <w:p>
            <w:r>
              <w:rPr>
                <w:b/>
              </w:rPr>
              <w:t>论文链接</w:t>
            </w:r>
          </w:p>
        </w:tc>
        <w:tc>
          <w:tcPr>
            <w:tcW w:type="dxa" w:w="4997"/>
          </w:tcPr>
          <w:p>
            <w:hyperlink r:id="rId12">
              <w:r>
                <w:rPr>
                  <w:color w:val="0563C1"/>
                  <w:u w:val="single"/>
                </w:rPr>
                <w:t>https://doi.org/10.1177/20438869261477112</w:t>
              </w:r>
            </w:hyperlink>
          </w:p>
        </w:tc>
      </w:tr>
    </w:tbl>
    <w:p>
      <w:pPr>
        <w:pStyle w:val="Heading3"/>
      </w:pPr>
      <w:r>
        <w:t>研究摘要</w:t>
      </w:r>
    </w:p>
    <w:p>
      <w:r>
        <w:t>本教学案例将学生置于2026年3月，当时Meta Platforms正面临决定性的战略抉择。五年前，马克·扎克伯格将Facebook更名为Meta，并宣称公司的未来在于构建元宇宙——一个持久化的数字环境，人们可在其中通过化身在沉浸式空间里工作、娱乐、社交和交易。然而到2026年初，Horizon Worlds已在虚拟现实头显上被缩减规模，Reality Labs累计运营亏损超过800亿美元，投资者的注意力急剧转向Meta在人工智能和数据中心基础设施上的更大规模资本投入。本案例提供了这次战略转向背后缺失的商业背景：Meta以广告驱动的收入模式、其对苹果和谷歌控制的移动平台的结构性依赖、拥有下一个界面层的战略逻辑、沉浸式计算和社交世界的竞争格局，以及在消费者行为跟上之前维持未来平台赌注的经济性。学生必须评估Meta的元宇宙努力是否因公司误读需求、过早商业化、错误地界定机会或坚持过久而导致失败，并决定扎克伯格应如何在人工智能、增强现实和元宇宙残余之间配置资本、叙事和组织注意力。该案例可用于战略管理、数字化转型、技术管理、平台战略的研究生课程以及高管教育项目。</w:t>
      </w:r>
    </w:p>
    <w:p>
      <w:pPr>
        <w:pStyle w:val="Heading3"/>
      </w:pPr>
      <w:r>
        <w:t>研究主要内容</w:t>
      </w:r>
    </w:p>
    <w:p>
      <w:r>
        <w:t>该教学案例描述了Meta从元宇宙向AI战略转向的决策情境，包括：五年前扎克伯格对元宇宙的公开承诺；2026年初Horizon Worlds在VR头显上的收缩；Reality Labs累计超800亿美元的运营亏损；投资者对AI和数据中心基础设施的关注；以及案例所呈现的Meta收入模式、平台依赖、界面层战略逻辑、竞争格局和未来平台投资的商业经济学。学生需要据此评估元宇宙战略失败的原因并为扎克伯格提供资源配置建议。</w:t>
      </w:r>
    </w:p>
    <w:p>
      <w:pPr>
        <w:pStyle w:val="Heading3"/>
      </w:pPr>
      <w:r>
        <w:t>研究论点</w:t>
      </w:r>
    </w:p>
    <w:p>
      <w:r>
        <w:t>核心论点是：Meta从元宇宙转向人工智能并非孤立的技术决策，而是由其广告驱动商业模式、对移动平台的结构性依赖、竞争压力以及持续投入未来平台的经济性共同塑造的战略选择。案例试图补齐理解这一转向所需的商业背景，并促使学生从战略管理和平台竞争角度审视元宇宙的成败。</w:t>
      </w:r>
    </w:p>
    <w:p>
      <w:pPr>
        <w:pStyle w:val="Heading3"/>
      </w:pPr>
      <w:r>
        <w:t>研究问题</w:t>
      </w:r>
    </w:p>
    <w:p>
      <w:r>
        <w:t>案例提出的教学问题是：Meta的元宇宙努力是否失败于误读需求、过早商业化、错误界定机会或坚持过久？以及扎克伯格应如何在人工智能、增强现实和元宇宙残余之间分配资本、叙事和组织注意力？注意：这是教学案例中的决策问题，而非实证研究中的研究问题。</w:t>
      </w:r>
    </w:p>
    <w:p>
      <w:pPr>
        <w:pStyle w:val="Heading3"/>
      </w:pPr>
      <w:r>
        <w:t>研究方法</w:t>
      </w:r>
    </w:p>
    <w:p>
      <w:r>
        <w:t>研究类型：教学案例（非实证研究）。样本/参与者：摘要未说明（案例设定为学生角色）。数据来源：摘要未说明（教学案例通常基于公开资料，但此处未明确）。分析方法：摘要未说明（案例本身不涉及系统性的数据分析方法）。</w:t>
      </w:r>
    </w:p>
    <w:p>
      <w:pPr>
        <w:pStyle w:val="Heading3"/>
      </w:pPr>
      <w:r>
        <w:t>主要发现</w:t>
      </w:r>
    </w:p>
    <w:p>
      <w:r>
        <w:t>1. 截至2026年初，Meta旗下Horizon Worlds已在虚拟现实头显上缩减规模，Reality Labs累计运营亏损超过800亿美元。2. 投资者关注点已明显转向Meta在人工智能和数据中心基础设施上的更大规模资本投入，元宇宙作为战略优先级的地位显著下降。3. 案例要求学生判断Meta元宇宙战略的失败原因（需求误读、过早商业化、机会界定错误或坚持过久），并据此提出未来资源分配建议。</w:t>
      </w:r>
    </w:p>
    <w:p>
      <w:pPr>
        <w:pStyle w:val="Heading3"/>
      </w:pPr>
      <w:r>
        <w:t>对教师教育研究的启示</w:t>
      </w:r>
    </w:p>
    <w:p>
      <w:r>
        <w:t>该教学案例虽不直接针对教师教育，但其情境化案例设计为教师教育研究者提供了以下启示：其一，可采用类似的基于真实企业转型事件的案例教学法，设计关于AI及数字技术融入教育组织的决策讨论；其二，研究者可仿照此案例设置“决策两难”问题，使用定性（如焦点小组、访谈）或混合方法收集师生在面对技术变革时的推理与选择数据；其三，该案例提示研究者关注技术巨头的战略转向如何影响教育科技生态，可作为政策与课程研究的背景素材。不过，本摘要未提供具体研究设计细节，相关启示需进一步结合原文补充。</w:t>
      </w:r>
    </w:p>
    <w:p>
      <w:pPr>
        <w:pStyle w:val="Heading3"/>
      </w:pPr>
      <w:r>
        <w:t>APA引用格式</w:t>
      </w:r>
    </w:p>
    <w:p>
      <w:r>
        <w:t>Ghosh, S., Kommanapalli, C., &amp; Kondapaka, P. (2026). Meta at the crossroads: From the metaverse bet to the A.I. pivot. Journal of Information Technology Teaching Cases. Advance online publication. https://doi.org/10.1177/20438869261477112</w:t>
      </w:r>
    </w:p>
    <w:p>
      <w:r>
        <w:br w:type="page"/>
      </w:r>
    </w:p>
    <w:p>
      <w:pPr>
        <w:pStyle w:val="Heading2"/>
      </w:pPr>
      <w:r>
        <w:t>5. The digital pathway from learning-centered leadership to teacher innovation / 从学习中心领导力到教师创新的数字化路径</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digital pathway from learning-centered leadership to teacher innovation / 从学习中心领导力到教师创新的数字化路径</w:t>
            </w:r>
          </w:p>
        </w:tc>
      </w:tr>
      <w:tr>
        <w:tc>
          <w:tcPr>
            <w:tcW w:type="dxa" w:w="4997"/>
          </w:tcPr>
          <w:p>
            <w:r>
              <w:rPr>
                <w:b/>
              </w:rPr>
              <w:t>作者</w:t>
            </w:r>
          </w:p>
        </w:tc>
        <w:tc>
          <w:tcPr>
            <w:tcW w:type="dxa" w:w="4997"/>
          </w:tcPr>
          <w:p>
            <w:r>
              <w:t>Huang Zhihao; Mohammad Noman</w:t>
            </w:r>
          </w:p>
        </w:tc>
      </w:tr>
      <w:tr>
        <w:tc>
          <w:tcPr>
            <w:tcW w:type="dxa" w:w="4997"/>
          </w:tcPr>
          <w:p>
            <w:r>
              <w:rPr>
                <w:b/>
              </w:rPr>
              <w:t>期刊及影响因子</w:t>
            </w:r>
          </w:p>
        </w:tc>
        <w:tc>
          <w:tcPr>
            <w:tcW w:type="dxa" w:w="4997"/>
          </w:tcPr>
          <w:p>
            <w:r>
              <w:t>白名单未提供影响因子与JCR分区；期刊为SSCI收录（Education &amp; Educational Research, Management）</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10.1177/17411432261477738</w:t>
            </w:r>
          </w:p>
        </w:tc>
      </w:tr>
      <w:tr>
        <w:tc>
          <w:tcPr>
            <w:tcW w:type="dxa" w:w="4997"/>
          </w:tcPr>
          <w:p>
            <w:r>
              <w:rPr>
                <w:b/>
              </w:rPr>
              <w:t>在线发表时间</w:t>
            </w:r>
          </w:p>
        </w:tc>
        <w:tc>
          <w:tcPr>
            <w:tcW w:type="dxa" w:w="4997"/>
          </w:tcPr>
          <w:p>
            <w:r>
              <w:t>2026-08-14</w:t>
            </w:r>
          </w:p>
        </w:tc>
      </w:tr>
      <w:tr>
        <w:tc>
          <w:tcPr>
            <w:tcW w:type="dxa" w:w="4997"/>
          </w:tcPr>
          <w:p>
            <w:r>
              <w:rPr>
                <w:b/>
              </w:rPr>
              <w:t>SSCI分类</w:t>
            </w:r>
          </w:p>
        </w:tc>
        <w:tc>
          <w:tcPr>
            <w:tcW w:type="dxa" w:w="4997"/>
          </w:tcPr>
          <w:p>
            <w:r>
              <w:t>Education &amp; Educational Research；English；Management</w:t>
            </w:r>
          </w:p>
        </w:tc>
      </w:tr>
      <w:tr>
        <w:tc>
          <w:tcPr>
            <w:tcW w:type="dxa" w:w="4997"/>
          </w:tcPr>
          <w:p>
            <w:r>
              <w:rPr>
                <w:b/>
              </w:rPr>
              <w:t>论文链接</w:t>
            </w:r>
          </w:p>
        </w:tc>
        <w:tc>
          <w:tcPr>
            <w:tcW w:type="dxa" w:w="4997"/>
          </w:tcPr>
          <w:p>
            <w:hyperlink r:id="rId13">
              <w:r>
                <w:rPr>
                  <w:color w:val="0563C1"/>
                  <w:u w:val="single"/>
                </w:rPr>
                <w:t>https://doi.org/10.1177/17411432261477738</w:t>
              </w:r>
            </w:hyperlink>
          </w:p>
        </w:tc>
      </w:tr>
    </w:tbl>
    <w:p>
      <w:pPr>
        <w:pStyle w:val="Heading3"/>
      </w:pPr>
      <w:r>
        <w:t>研究摘要</w:t>
      </w:r>
    </w:p>
    <w:p>
      <w:r>
        <w:t>数字化转型强化了对教师创新的期待，但关于何种领导条件支持创新的研究仍然有限。本研究考察学习中心领导力、教师数字能力与教师创新之间的关系，重点分析教师数字能力的中介作用以及学校位置的背景影响。研究收集了温州的城市、郊区和农村学校752名小学教师的教师层面调查数据，并采用结构方程模型、自助法中介效应检验、补充性维度诊断、多组不变性检验和潜在均值比较进行分析。结果显示，学习中心领导力与教师创新正相关，综合中介模型显示通过教师数字能力产生的间接效应具有统计学显著性。当教师数字能力被分解为不同维度时，同步维度模型中的总间接效应不显著；但分别检验的单中介模型均显示各维度的正向间接效应。城市学校教师在三项变量上的得分均高于农村学校教师，但各位置组别之间的结构关系保持不变。这些发现表明学习中心领导力与教师创新具有相关性，并将教师数字能力视为部分解释这一关系的综合专业能力。</w:t>
      </w:r>
    </w:p>
    <w:p>
      <w:pPr>
        <w:pStyle w:val="Heading3"/>
      </w:pPr>
      <w:r>
        <w:t>研究主要内容</w:t>
      </w:r>
    </w:p>
    <w:p>
      <w:r>
        <w:t>这篇文章回应了数字化转型背景下教师创新期待提高而领导支持条件研究不足的问题。作者以学习中心领导力为自变量、教师数字能力为中介变量、教师创新为因变量构建研究框架，并纳入学校位置作为背景因素。研究采用教师层面的问卷调查，样本为浙江省温州市752名小学教师，覆盖城市、郊区和农村学校。分析策略包括结构方程模型、自助法中介效应检验、补充性维度诊断、多组不变性检验和潜在均值比较。结果表明：学习中心领导力对教师创新有显著正向作用；教师数字能力在总体综合模型中起到显著正向中介作用；分维度后，综合模型的总间接效应不显著，但单中介模型显示各维度均存在正向间接效应；城市学校教师在领导力、数字能力和创新上的水平均高于农村学校教师，但群体间结构关系具有不变性。作者据此提出，教师数字能力是一种整合的专业能力，部分解释学习中心领导力与教师创新的关系。</w:t>
      </w:r>
    </w:p>
    <w:p>
      <w:pPr>
        <w:pStyle w:val="Heading3"/>
      </w:pPr>
      <w:r>
        <w:t>研究论点</w:t>
      </w:r>
    </w:p>
    <w:p>
      <w:r>
        <w:t>数字化转型对教师创新提出了更高要求，但现有研究对领导条件如何支持教师创新关注不够。作者认为，学习中心领导力可能通过提升教师数字能力进而促进教师创新；同时，学校位置可能构成影响这一机制的情境因素。教师数字能力既是技术技能，也是整合性专业能力，领导力需要以数字化为路径影响创新。</w:t>
      </w:r>
    </w:p>
    <w:p>
      <w:pPr>
        <w:pStyle w:val="Heading3"/>
      </w:pPr>
      <w:r>
        <w:t>研究问题</w:t>
      </w:r>
    </w:p>
    <w:p>
      <w:r>
        <w:t>摘要未明确列出独立的研究问题，但可归纳为：学习中心领导力与教师创新之间关系如何？教师数字能力是否在其中发挥中介作用？学校位置是否影响教师数字能力、领导力与创新的水平及结构关系？</w:t>
      </w:r>
    </w:p>
    <w:p>
      <w:pPr>
        <w:pStyle w:val="Heading3"/>
      </w:pPr>
      <w:r>
        <w:t>研究方法</w:t>
      </w:r>
    </w:p>
    <w:p>
      <w:r>
        <w:t>研究类型：定量研究。样本与参与者：来自温州城市、郊区、农村学校的752名小学教师。数据来源：教师层面的问卷调查数据。分析方法：结构方程模型、自助法中介效应检验、补充性维度诊断、多组不变性检验、潜在均值比较。摘要未说明抽样方式、数据收集时间、问卷工具及信效度信息。</w:t>
      </w:r>
    </w:p>
    <w:p>
      <w:pPr>
        <w:pStyle w:val="Heading3"/>
      </w:pPr>
      <w:r>
        <w:t>主要发现</w:t>
      </w:r>
    </w:p>
    <w:p>
      <w:r>
        <w:t>['学习中心领导力与教师创新显著正相关；在综合中介模型中，教师数字能力对二者关系具有统计学显著的正向间接效应。', '将教师数字能力拆分为维度后，同步维度模型中的总间接效应不显著；但各维度分别作为单个中介变量时，均存在显著的正向间接效应，说明数字能力作为整合构念的解释力更强。', '城市学校教师在教师数字能力、学习中心领导力和教师创新上的报告水平均高于非城市学校教师，但各学校位置组之间的结构关系保持不变，说明路径机制具有跨组一致性。']</w:t>
      </w:r>
    </w:p>
    <w:p>
      <w:pPr>
        <w:pStyle w:val="Heading3"/>
      </w:pPr>
      <w:r>
        <w:t>对教师教育研究的启示</w:t>
      </w:r>
    </w:p>
    <w:p>
      <w:r>
        <w:t>对教师教育研究的启示：第一，可将教师数字能力作为中介变量纳入领导力与教师创新关系的研究，并注意整体构念与分维度操作化对结果解释的差异。第二，可采用结构方程模型与自助法中介效应检验考察变量间的直接和间接效应，增强机制分析的稳健性。第三，可借鉴多组不变性检验和潜在均值比较等方法，比较城市、郊区、农村教师群体在同一理论模型上的差异。第四，数据收集可采用大规模教师自陈问卷，但未来研究可加入课堂观察、校长访谈或追踪数据，以进一步补充因果证据。</w:t>
      </w:r>
    </w:p>
    <w:p>
      <w:pPr>
        <w:pStyle w:val="Heading3"/>
      </w:pPr>
      <w:r>
        <w:t>APA引用格式</w:t>
      </w:r>
    </w:p>
    <w:p>
      <w:r>
        <w:t>Huang, Z., &amp; Noman, M. (2026). The digital pathway from learning-centered leadership to teacher innovation. Educational Management Administration &amp; Leadership. Advance online publication. https://doi.org/10.1177/17411432261477738</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134.24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90/bs16081396" TargetMode="External"/><Relationship Id="rId10" Type="http://schemas.openxmlformats.org/officeDocument/2006/relationships/hyperlink" Target="https://doi.org/10.1142/s0218001426400331" TargetMode="External"/><Relationship Id="rId11" Type="http://schemas.openxmlformats.org/officeDocument/2006/relationships/hyperlink" Target="https://doi.org/10.65339/ijsis.v1.i1.15" TargetMode="External"/><Relationship Id="rId12" Type="http://schemas.openxmlformats.org/officeDocument/2006/relationships/hyperlink" Target="https://doi.org/10.1177/20438869261477112" TargetMode="External"/><Relationship Id="rId13" Type="http://schemas.openxmlformats.org/officeDocument/2006/relationships/hyperlink" Target="https://doi.org/10.1177/174114322614777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