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DOCUMENTATION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Frontend Documentation</w:t>
      </w:r>
    </w:p>
    <w:p w:rsidR="00000000" w:rsidDel="00000000" w:rsidP="00000000" w:rsidRDefault="00000000" w:rsidRPr="00000000" w14:paraId="00000003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The frontend is a Next.js 16 App Router application. The main dashboard renders at the root route (/). The biggest update in this version is that ExpenseList now connects to the backend API via a new services layer.</w:t>
      </w:r>
    </w:p>
    <w:p w:rsidR="00000000" w:rsidDel="00000000" w:rsidP="00000000" w:rsidRDefault="00000000" w:rsidRPr="00000000" w14:paraId="00000004">
      <w:pPr>
        <w:pBdr>
          <w:left w:color="10b981" w:space="6" w:sz="12" w:val="single"/>
        </w:pBdr>
        <w:shd w:fill="f0fdf4" w:val="clear"/>
        <w:spacing w:after="80" w:before="80" w:line="276" w:lineRule="auto"/>
        <w:ind w:left="432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color w:val="166534"/>
          <w:rtl w:val="0"/>
        </w:rPr>
        <w:t xml:space="preserve">NEW: frontend/services/api.js — a service layer with transactionAPI.getAll() and transactionAPI.delete() connecting to the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services/api.js </w:t>
      </w:r>
    </w:p>
    <w:p w:rsidR="00000000" w:rsidDel="00000000" w:rsidP="00000000" w:rsidRDefault="00000000" w:rsidRPr="00000000" w14:paraId="00000006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A dedicated service layer that centralises all API communication with the backend. Located at frontend/services/api.js. Exports a transactionAPI object with two methods.</w:t>
      </w:r>
    </w:p>
    <w:p w:rsidR="00000000" w:rsidDel="00000000" w:rsidP="00000000" w:rsidRDefault="00000000" w:rsidRPr="00000000" w14:paraId="00000007">
      <w:pPr>
        <w:spacing w:before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Ind w:w="-1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710"/>
        <w:tblGridChange w:id="0">
          <w:tblGrid>
            <w:gridCol w:w="469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getAll()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/api/v1/transactions — fetches all transactions, destructures { data } from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delete(id)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/api/v1/transactions/:id — deletes a transaction by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http://localhost:3000/api/v1 — matches backend CORS 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Future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createTransaction(), updateTransaction(), error handling, and loading states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280" w:line="276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Application Entry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app/layout.js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Wraps every page with Geist Sans and Geist Mono fonts loaded via next/font/google. Sets HTML lang, applies font CSS variables, and uses min-h-full antialiased on the html tag and min-h-full flex flex-col on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app/page.js — Dashboard (/)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Composes all five dashboard components in a vertical stack inside a min-h-screen bg-gray-100 container: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Navbar -&gt; BudgetBanner -&gt; ActionBar -&gt; Charts -&gt; ExpenseList.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