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2A78D6"/>
          <w:sz w:val="20"/>
        </w:rPr>
        <w:t>참고자료</w:t>
      </w:r>
    </w:p>
    <w:p>
      <w:pPr>
        <w:spacing w:after="40"/>
      </w:pPr>
      <w:r>
        <w:rPr>
          <w:rFonts w:ascii="맑은 고딕" w:hAnsi="맑은 고딕" w:eastAsia="맑은 고딕"/>
          <w:b/>
          <w:color w:val="0B0B0B"/>
          <w:sz w:val="40"/>
        </w:rPr>
        <w:t>AI 기반 외환 이상거래 탐지체계 구축</w:t>
      </w:r>
    </w:p>
    <w:p>
      <w:pPr>
        <w:spacing w:after="280"/>
      </w:pPr>
      <w:r>
        <w:rPr>
          <w:rFonts w:ascii="맑은 고딕" w:hAnsi="맑은 고딕" w:eastAsia="맑은 고딕"/>
          <w:b w:val="0"/>
          <w:color w:val="52514E"/>
          <w:sz w:val="22"/>
        </w:rPr>
        <w:t>유사 구축 사례 기준 기간 · 인력 · 비용 범위 및 주요 고려사항</w:t>
      </w:r>
    </w:p>
    <w:p>
      <w:pPr>
        <w:spacing w:after="360"/>
      </w:pPr>
      <w:r>
        <w:rPr>
          <w:rFonts w:ascii="맑은 고딕" w:hAnsi="맑은 고딕" w:eastAsia="맑은 고딕"/>
          <w:b w:val="0"/>
          <w:color w:val="898781"/>
          <w:sz w:val="18"/>
        </w:rPr>
        <w:t>수신: 검토 담당자님  |  발신: 씨커스랩(Seekers Lab)  |  2026. 7. 24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01  </w:t>
      </w:r>
      <w:r>
        <w:rPr>
          <w:rFonts w:ascii="맑은 고딕" w:hAnsi="맑은 고딕" w:eastAsia="맑은 고딕"/>
          <w:b/>
          <w:color w:val="0B0B0B"/>
          <w:sz w:val="26"/>
        </w:rPr>
        <w:t>검토 전제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회신 주신 내용(국내 지방은행, 송금업무 우선 검토 후 수출입 확대, 예산 미확정, 전행 시스템 구축 연계 또는 별도 단위사업 방식 검토 중)을 반영하여, 유사 구축 사례 기준의 개략적인 범위를 정리한 자료입니다. 실제 사업 범위와 요구사항 확정 시 수치는 달라질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송금업무를 우선 적용하고 수출입(무역기반 자금세탁 점검 영역)으로 확대하는 접근은 유사 사례에서도 일반적인 경로입니다. 거래 데이터와 현행 탐지 Rule이 이미 존재하는 영역부터 착수하는 것이 데이터 준비 기간과 시행착오를 줄이는 데 유리합니다.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02  </w:t>
      </w:r>
      <w:r>
        <w:rPr>
          <w:rFonts w:ascii="맑은 고딕" w:hAnsi="맑은 고딕" w:eastAsia="맑은 고딕"/>
          <w:b/>
          <w:color w:val="0B0B0B"/>
          <w:sz w:val="26"/>
        </w:rPr>
        <w:t>단계별 구축 기간 (유사 사례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단계</w:t>
            </w:r>
          </w:p>
        </w:tc>
        <w:tc>
          <w:tcPr>
            <w:tcW w:type="dxa" w:w="5329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주요 작업</w:t>
            </w:r>
          </w:p>
        </w:tc>
        <w:tc>
          <w:tcPr>
            <w:tcW w:type="dxa" w:w="1474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예상 기간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데이터 준비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정상·이상거래 데이터 확보 및 정비, 판정(라벨) 이력 검증, 현행 Rule 분석, Feature 정의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2~3개월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환경 준비 (솔루션 연계)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인프라 구성, 데이터 송수신·탐지결과 연계 개발, 연계 테스트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1.5~2개월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시범운영 (Pilot)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모델 학습·검증, 기존 Rule 대비 병행 운영 및 성능 비교, 임계값 조정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2~3개월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실운영 전환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운영 전환, 모니터링·검토 프로세스 정착, 안정화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1~2개월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52514E"/>
          <w:sz w:val="8"/>
        </w:rPr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전체 약 7~10개월이며, 데이터 준비와 환경 준비를 일부 병행하면 6~8개월 수준까지 단축 가능합니다.</w:t>
      </w:r>
    </w:p>
    <w:p>
      <w:pPr>
        <w:spacing w:after="200"/>
      </w:pPr>
      <w:r>
        <w:rPr>
          <w:rFonts w:ascii="맑은 고딕" w:hAnsi="맑은 고딕" w:eastAsia="맑은 고딕"/>
          <w:b w:val="0"/>
          <w:color w:val="898781"/>
          <w:sz w:val="17"/>
        </w:rPr>
        <w:t>※ 학습에 필요한 이상거래 판정(라벨) 데이터가 이미 축적된 경우 기준입니다. 라벨 정비가 추가로 필요하면 데이터 준비 기간이 늘어납니다.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03  </w:t>
      </w:r>
      <w:r>
        <w:rPr>
          <w:rFonts w:ascii="맑은 고딕" w:hAnsi="맑은 고딕" w:eastAsia="맑은 고딕"/>
          <w:b/>
          <w:color w:val="0B0B0B"/>
          <w:sz w:val="26"/>
        </w:rPr>
        <w:t>단계별 투입 인력 (수행사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608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역할</w:t>
            </w:r>
          </w:p>
        </w:tc>
        <w:tc>
          <w:tcPr>
            <w:tcW w:type="dxa" w:w="1559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데이터 준비</w:t>
            </w:r>
          </w:p>
        </w:tc>
        <w:tc>
          <w:tcPr>
            <w:tcW w:type="dxa" w:w="1559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환경 준비</w:t>
            </w:r>
          </w:p>
        </w:tc>
        <w:tc>
          <w:tcPr>
            <w:tcW w:type="dxa" w:w="1559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Pilot</w:t>
            </w:r>
          </w:p>
        </w:tc>
        <w:tc>
          <w:tcPr>
            <w:tcW w:type="dxa" w:w="1559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실운영 전환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PM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AI/ML 엔지니어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1~2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2~3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데이터 엔지니어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1~2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0~1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개발 (연계·화면)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0~1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2~3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1~2</w:t>
            </w:r>
          </w:p>
        </w:tc>
        <w:tc>
          <w:tcPr>
            <w:tcW w:type="dxa" w:w="1559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1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52514E"/>
          <w:sz w:val="8"/>
        </w:rPr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수행사 기준 상시 5~8명 수준이며 단계별로 증감합니다. 이와 별도로 은행 측 외환 업무 전문가(겸임 1~2명)와 AI·데이터 부서의 협업 체계가 전제됩니다.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04  </w:t>
      </w:r>
      <w:r>
        <w:rPr>
          <w:rFonts w:ascii="맑은 고딕" w:hAnsi="맑은 고딕" w:eastAsia="맑은 고딕"/>
          <w:b/>
          <w:color w:val="0B0B0B"/>
          <w:sz w:val="26"/>
        </w:rPr>
        <w:t>개략 비용 범위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위 기간·인력을 공수로 환산하면 총 약 27~59 M/M 범위이며(범위·인력 구성에 따라), 용역비 기준 개략 범위는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구분</w:t>
            </w:r>
          </w:p>
        </w:tc>
        <w:tc>
          <w:tcPr>
            <w:tcW w:type="dxa" w:w="2381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개략 범위</w:t>
            </w:r>
          </w:p>
        </w:tc>
        <w:tc>
          <w:tcPr>
            <w:tcW w:type="dxa" w:w="3855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비고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송금업무 한정 1차 구축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약 4억 ~ 7억 원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데이터 준비~실운영 전환 포함, 최소~중간 규모 가정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수출입 확대 포함 시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약 7억 ~ 9억 원 이상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확대 범위·데이터 준비 규모에 따라 별도 산정 필요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52514E"/>
          <w:sz w:val="8"/>
        </w:rPr>
      </w:r>
    </w:p>
    <w:p>
      <w:pPr>
        <w:spacing w:after="200"/>
      </w:pPr>
      <w:r>
        <w:rPr>
          <w:rFonts w:ascii="맑은 고딕" w:hAnsi="맑은 고딕" w:eastAsia="맑은 고딕"/>
          <w:b w:val="0"/>
          <w:color w:val="898781"/>
          <w:sz w:val="17"/>
        </w:rPr>
        <w:t>※ 업계 통상 수준의 평균 인건비 단가를 가정한 용역비 기준의 개략치입니다. AI 탐지 솔루션 라이선스(상용 도입 시), 연간 유지보수, 인프라(HW/클라우드), 대규모 라벨 정비는 별도이며, 상용 솔루션 도입 여부에 따라 총액 구조가 달라집니다.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05  </w:t>
      </w:r>
      <w:r>
        <w:rPr>
          <w:rFonts w:ascii="맑은 고딕" w:hAnsi="맑은 고딕" w:eastAsia="맑은 고딕"/>
          <w:b/>
          <w:color w:val="0B0B0B"/>
          <w:sz w:val="26"/>
        </w:rPr>
        <w:t>추진 방식 검토 시 참고사항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전행 시스템 구축사업 연계와 별도 단위사업 방식은 각각 다음과 같은 특성이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구분</w:t>
            </w:r>
          </w:p>
        </w:tc>
        <w:tc>
          <w:tcPr>
            <w:tcW w:type="dxa" w:w="3685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전행 시스템 구축 연계</w:t>
            </w:r>
          </w:p>
        </w:tc>
        <w:tc>
          <w:tcPr>
            <w:tcW w:type="dxa" w:w="3685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별도 단위사업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장점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확정된 데이터 구조 기반 학습 — 데이터 품질·재작업 위험 유리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착수 시점 자유 — 현행 데이터로 조기 성과 확인 가능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유의점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전행 사업 일정에 종속 — 착수·검증 지연 가능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전행 시스템 전환 시 데이터 연계 재작업 필요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적합 상황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전행 사업 일정이 확정적이고 근접한 경우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탐지체계 조기 가동의 필요성이 큰 경우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52514E"/>
          <w:sz w:val="8"/>
        </w:rPr>
      </w:r>
    </w:p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어느 방식이든 데이터 준비 단계(판정 이력 정비, Feature 정의)는 선행 착수가 가능하고 결과물이 그대로 본 구축에 활용되므로, 이 단계만 분리해 먼저 진행하는 방안도 검토할 만합니다.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06  </w:t>
      </w:r>
      <w:r>
        <w:rPr>
          <w:rFonts w:ascii="맑은 고딕" w:hAnsi="맑은 고딕" w:eastAsia="맑은 고딕"/>
          <w:b/>
          <w:color w:val="0B0B0B"/>
          <w:sz w:val="26"/>
        </w:rPr>
        <w:t>주요 고려사항 및 선행 준비사항</w:t>
      </w:r>
    </w:p>
    <w:p>
      <w:pPr>
        <w:spacing w:after="120"/>
        <w:ind w:left="57"/>
      </w:pPr>
      <w:r>
        <w:rPr>
          <w:rFonts w:ascii="맑은 고딕" w:hAnsi="맑은 고딕" w:eastAsia="맑은 고딕"/>
          <w:b/>
          <w:color w:val="0B0B0B"/>
          <w:sz w:val="20"/>
        </w:rPr>
        <w:t xml:space="preserve">· 판정(라벨) 데이터 품질 — </w:t>
      </w:r>
      <w:r>
        <w:rPr>
          <w:rFonts w:ascii="맑은 고딕" w:hAnsi="맑은 고딕" w:eastAsia="맑은 고딕"/>
          <w:color w:val="52514E"/>
          <w:sz w:val="20"/>
        </w:rPr>
        <w:t>지도학습 성능은 이상거래 최종 판정 이력의 축적 기간·표본 수·판정 기준 일관성이 좌우합니다. 최근 2~3년치 판정 이력의 기준 일관성 점검을 선행하시길 권장합니다. 표본이 적을 경우 비지도(이상탐지) 중심으로 시작해 라벨 축적 후 지도학습을 강화하는 단계적 접근이 현실적입니다.</w:t>
      </w:r>
    </w:p>
    <w:p>
      <w:pPr>
        <w:spacing w:after="120"/>
        <w:ind w:left="57"/>
      </w:pPr>
      <w:r>
        <w:rPr>
          <w:rFonts w:ascii="맑은 고딕" w:hAnsi="맑은 고딕" w:eastAsia="맑은 고딕"/>
          <w:b/>
          <w:color w:val="0B0B0B"/>
          <w:sz w:val="20"/>
        </w:rPr>
        <w:t xml:space="preserve">· 기존 AI-FDS와의 역할 분담 — </w:t>
      </w:r>
      <w:r>
        <w:rPr>
          <w:rFonts w:ascii="맑은 고딕" w:hAnsi="맑은 고딕" w:eastAsia="맑은 고딕"/>
          <w:color w:val="52514E"/>
          <w:sz w:val="20"/>
        </w:rPr>
        <w:t>중복 탐지·알림 처리 기준과 케이스 관리 통합 여부를 초기에 정리해야 운영 혼선을 줄일 수 있습니다.</w:t>
      </w:r>
    </w:p>
    <w:p>
      <w:pPr>
        <w:spacing w:after="120"/>
        <w:ind w:left="57"/>
      </w:pPr>
      <w:r>
        <w:rPr>
          <w:rFonts w:ascii="맑은 고딕" w:hAnsi="맑은 고딕" w:eastAsia="맑은 고딕"/>
          <w:b/>
          <w:color w:val="0B0B0B"/>
          <w:sz w:val="20"/>
        </w:rPr>
        <w:t xml:space="preserve">· 규제·심사 대응 — </w:t>
      </w:r>
      <w:r>
        <w:rPr>
          <w:rFonts w:ascii="맑은 고딕" w:hAnsi="맑은 고딕" w:eastAsia="맑은 고딕"/>
          <w:color w:val="52514E"/>
          <w:sz w:val="20"/>
        </w:rPr>
        <w:t>전자금융감독규정, 자금세탁방지(FIU 보고) 연계, 신용정보법상 데이터 활용 범위, 망분리 환경에서의 학습·운영 환경 구성, 탐지 근거 설명(XAI) 확보가 금융권 공통 요구사항입니다.</w:t>
      </w:r>
    </w:p>
    <w:p>
      <w:pPr>
        <w:spacing w:after="120"/>
        <w:ind w:left="57"/>
      </w:pPr>
      <w:r>
        <w:rPr>
          <w:rFonts w:ascii="맑은 고딕" w:hAnsi="맑은 고딕" w:eastAsia="맑은 고딕"/>
          <w:b/>
          <w:color w:val="0B0B0B"/>
          <w:sz w:val="20"/>
        </w:rPr>
        <w:t xml:space="preserve">· 오탐 관리 체계 — </w:t>
      </w:r>
      <w:r>
        <w:rPr>
          <w:rFonts w:ascii="맑은 고딕" w:hAnsi="맑은 고딕" w:eastAsia="맑은 고딕"/>
          <w:color w:val="52514E"/>
          <w:sz w:val="20"/>
        </w:rPr>
        <w:t>실시간 알림량이 담당자 검토 가용량을 넘지 않도록 임계값·우선순위 정책과 검토 프로세스를 Pilot 단계에서 함께 설계해야 합니다.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2A78D6"/>
          <w:sz w:val="22"/>
        </w:rPr>
        <w:t xml:space="preserve">07  </w:t>
      </w:r>
      <w:r>
        <w:rPr>
          <w:rFonts w:ascii="맑은 고딕" w:hAnsi="맑은 고딕" w:eastAsia="맑은 고딕"/>
          <w:b/>
          <w:color w:val="0B0B0B"/>
          <w:sz w:val="26"/>
        </w:rPr>
        <w:t>참고 사례 (공개 자료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기관</w:t>
            </w:r>
          </w:p>
        </w:tc>
        <w:tc>
          <w:tcPr>
            <w:tcW w:type="dxa" w:w="2948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시스템</w:t>
            </w:r>
          </w:p>
        </w:tc>
        <w:tc>
          <w:tcPr>
            <w:tcW w:type="dxa" w:w="1020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시기</w:t>
            </w:r>
          </w:p>
        </w:tc>
        <w:tc>
          <w:tcPr>
            <w:tcW w:type="dxa" w:w="4082"/>
            <w:shd w:val="clear" w:fill="EAF2FC"/>
          </w:tcPr>
          <w:p>
            <w:r/>
            <w:r>
              <w:rPr>
                <w:rFonts w:ascii="맑은 고딕" w:hAnsi="맑은 고딕" w:eastAsia="맑은 고딕"/>
                <w:b/>
                <w:color w:val="0B0B0B"/>
                <w:sz w:val="19"/>
              </w:rPr>
              <w:t>참고 포인트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IBK기업은행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외환 특이거래 점검시스템 FAIS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2017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국내 최초 수출입 사기·외환사고 방지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하나은행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TBML 점검 플랫폼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2020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거래 점검·모니터링·위험평가·제재 점검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신한은행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TBML 플랫폼 + AI 이상 외화송금 탐지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2022~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외환 송금 Rule 체계의 AI 전환 선행 사례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한국조폐공사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지역사랑상품권(chak) 부정유통 AI 탐지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2022~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4개 지자체 4천만 건 분석, 부정유통 16개 시나리오 정립 후 정상·이상 자동분류 모델 적용 — Rule→AI 전환의 공공 사례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SWIFT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AI 이상탐지 서비스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2025.1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color w:val="52514E"/>
                <w:sz w:val="19"/>
              </w:rPr>
              <w:t>글로벌 은행 파일럿 후 상용화. 연합학습 실험에서 단일 기관 학습 대비 탐지 효과 2배 보고 — 국경 간 지급 인프라의 AI 탐지 표준화 흐름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color w:val="52514E"/>
          <w:sz w:val="20"/>
        </w:rPr>
        <w:t>사업 범위가 구체화되는 단계에서 간단한 검토 미팅이 필요하시면 편하게 연락 주십시오. 구상하신 범위 기준으로 조금 더 구체적인 단계 구성과 규모를 정리해 드릴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898781"/>
          <w:sz w:val="19"/>
        </w:rPr>
        <w:t>씨커스랩 드림  ·  contact@seekerslab.com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