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과제 1 — e-PASS AI 신고서 검증 시스템(RAG Codex)</w:t>
        <w:br/>
        <w:t>구성요소 및 기능 정의서 (초안 v0.1)</w:t>
      </w:r>
    </w:p>
    <w:p>
      <w:r>
        <w:t>근거: CUPIA-AI-2026-SOW-001 v3, AI 기술 내재화 PoC 보고(2026-01), RAG Codex 시연자료 v2.0(2025-11)</w:t>
      </w:r>
    </w:p>
    <w:p>
      <w:pPr>
        <w:pStyle w:val="Heading1"/>
      </w:pPr>
      <w:r>
        <w:t>1. 시스템 개요</w:t>
      </w:r>
    </w:p>
    <w:p>
      <w:r>
        <w:t>신고서와 첨부 상업서류(Invoice, B/L, AWB, CO)를 자동 교차검증하는 무결성 검증 엔진. 비정형 무역서류를 구조화하여 신고 항목(수량·무게·품목 상세·차대번호·컨테이너 정보 등)의 일치 여부를 검증하고, 위험 신고 건만 심사관에게 전달한다(5~10% 샘플링 감사 → 100% 전수 사전심사). 폐쇄망 온프레미스에서 외부 연결 없이 독립 운영하며, 전자통관시스템과는 API/JSON 최소 설정으로 연계한다.</w:t>
      </w:r>
    </w:p>
    <w:p>
      <w:r>
        <w:t>적용 지점: ① 선별단계(신고서 제출 직후, 선별 분류에 검증결과 반영 — 신고건수 적은 국가), ② 사후관리단계(정정 대상 식별·통보 — 주 적용 영역).</w:t>
      </w:r>
    </w:p>
    <w:p>
      <w:pPr>
        <w:pStyle w:val="Heading1"/>
      </w:pPr>
      <w:r>
        <w:t>2. 아키텍처 계층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계층</w:t>
            </w:r>
          </w:p>
        </w:tc>
        <w:tc>
          <w:tcPr>
            <w:tcW w:type="dxa" w:w="2880"/>
          </w:tcPr>
          <w:p>
            <w:r>
              <w:t>구성요소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UI Layer</w:t>
            </w:r>
          </w:p>
        </w:tc>
        <w:tc>
          <w:tcPr>
            <w:tcW w:type="dxa" w:w="2880"/>
          </w:tcPr>
          <w:p>
            <w:r>
              <w:t>OpenWebUI, Customs Viewer</w:t>
            </w:r>
          </w:p>
        </w:tc>
        <w:tc>
          <w:tcPr>
            <w:tcW w:type="dxa" w:w="2880"/>
          </w:tcPr>
          <w:p>
            <w:r>
              <w:t>관리·테스트 콘솔 / 검증 결과 조회</w:t>
            </w:r>
          </w:p>
        </w:tc>
      </w:tr>
      <w:tr>
        <w:tc>
          <w:tcPr>
            <w:tcW w:type="dxa" w:w="2880"/>
          </w:tcPr>
          <w:p>
            <w:r>
              <w:t>API Gateway</w:t>
            </w:r>
          </w:p>
        </w:tc>
        <w:tc>
          <w:tcPr>
            <w:tcW w:type="dxa" w:w="2880"/>
          </w:tcPr>
          <w:p>
            <w:r>
              <w:t>FastAPI Gateway, RAG Proxy</w:t>
            </w:r>
          </w:p>
        </w:tc>
        <w:tc>
          <w:tcPr>
            <w:tcW w:type="dxa" w:w="2880"/>
          </w:tcPr>
          <w:p>
            <w:r>
              <w:t>REST 진입점, RAG 질의 중계</w:t>
            </w:r>
          </w:p>
        </w:tc>
      </w:tr>
      <w:tr>
        <w:tc>
          <w:tcPr>
            <w:tcW w:type="dxa" w:w="2880"/>
          </w:tcPr>
          <w:p>
            <w:r>
              <w:t>AI Core</w:t>
            </w:r>
          </w:p>
        </w:tc>
        <w:tc>
          <w:tcPr>
            <w:tcW w:type="dxa" w:w="2880"/>
          </w:tcPr>
          <w:p>
            <w:r>
              <w:t>vLLM(GPT-OSS-120B), Tesseract Worker, PaddleOCR Worker</w:t>
            </w:r>
          </w:p>
        </w:tc>
        <w:tc>
          <w:tcPr>
            <w:tcW w:type="dxa" w:w="2880"/>
          </w:tcPr>
          <w:p>
            <w:r>
              <w:t>추론·OCR 워커</w:t>
            </w:r>
          </w:p>
        </w:tc>
      </w:tr>
      <w:tr>
        <w:tc>
          <w:tcPr>
            <w:tcW w:type="dxa" w:w="2880"/>
          </w:tcPr>
          <w:p>
            <w:r>
              <w:t>Data Layer</w:t>
            </w:r>
          </w:p>
        </w:tc>
        <w:tc>
          <w:tcPr>
            <w:tcW w:type="dxa" w:w="2880"/>
          </w:tcPr>
          <w:p>
            <w:r>
              <w:t>PostgreSQL(저장), pgvector(벡터 검색)</w:t>
            </w:r>
          </w:p>
        </w:tc>
        <w:tc>
          <w:tcPr>
            <w:tcW w:type="dxa" w:w="2880"/>
          </w:tcPr>
          <w:p>
            <w:r>
              <w:t>단일 DB 하이브리드 검색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Docker Compose(→ K8s 전환 예정), NVIDIA GPU</w:t>
            </w:r>
          </w:p>
        </w:tc>
        <w:tc>
          <w:tcPr>
            <w:tcW w:type="dxa" w:w="2880"/>
          </w:tcPr>
          <w:p>
            <w:r>
              <w:t>H200 / RTX 5090</w:t>
            </w:r>
          </w:p>
        </w:tc>
      </w:tr>
    </w:tbl>
    <w:p>
      <w:pPr>
        <w:pStyle w:val="Heading1"/>
      </w:pPr>
      <w:r>
        <w:t>3. 구성요소 정의</w:t>
      </w:r>
    </w:p>
    <w:p>
      <w:pPr>
        <w:pStyle w:val="Heading2"/>
      </w:pPr>
      <w:r>
        <w:t>3.1 UI Layer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구성요소</w:t>
            </w:r>
          </w:p>
        </w:tc>
        <w:tc>
          <w:tcPr>
            <w:tcW w:type="dxa" w:w="2160"/>
          </w:tcPr>
          <w:p>
            <w:r>
              <w:t>역할</w:t>
            </w:r>
          </w:p>
        </w:tc>
        <w:tc>
          <w:tcPr>
            <w:tcW w:type="dxa" w:w="2160"/>
          </w:tcPr>
          <w:p>
            <w:r>
              <w:t>기술</w:t>
            </w:r>
          </w:p>
        </w:tc>
        <w:tc>
          <w:tcPr>
            <w:tcW w:type="dxa" w:w="2160"/>
          </w:tcPr>
          <w:p>
            <w:r>
              <w:t>인터페이스</w:t>
            </w:r>
          </w:p>
        </w:tc>
      </w:tr>
      <w:tr>
        <w:tc>
          <w:tcPr>
            <w:tcW w:type="dxa" w:w="2160"/>
          </w:tcPr>
          <w:p>
            <w:r>
              <w:t>OpenWebUI</w:t>
            </w:r>
          </w:p>
        </w:tc>
        <w:tc>
          <w:tcPr>
            <w:tcW w:type="dxa" w:w="2160"/>
          </w:tcPr>
          <w:p>
            <w:r>
              <w:t>운영자용 LLM 대화·테스트 콘솔, 프롬프트 실험</w:t>
            </w:r>
          </w:p>
        </w:tc>
        <w:tc>
          <w:tcPr>
            <w:tcW w:type="dxa" w:w="2160"/>
          </w:tcPr>
          <w:p>
            <w:r>
              <w:t>OpenWebUI (오픈소스)</w:t>
            </w:r>
          </w:p>
        </w:tc>
        <w:tc>
          <w:tcPr>
            <w:tcW w:type="dxa" w:w="2160"/>
          </w:tcPr>
          <w:p>
            <w:r>
              <w:t>vLLM OpenAI 호환 API</w:t>
            </w:r>
          </w:p>
        </w:tc>
      </w:tr>
      <w:tr>
        <w:tc>
          <w:tcPr>
            <w:tcW w:type="dxa" w:w="2160"/>
          </w:tcPr>
          <w:p>
            <w:r>
              <w:t>Customs Viewer</w:t>
            </w:r>
          </w:p>
        </w:tc>
        <w:tc>
          <w:tcPr>
            <w:tcW w:type="dxa" w:w="2160"/>
          </w:tcPr>
          <w:p>
            <w:r>
              <w:t>신고서·첨부서류 판독 결과 및 검증 리포트 조회</w:t>
            </w:r>
          </w:p>
        </w:tc>
        <w:tc>
          <w:tcPr>
            <w:tcW w:type="dxa" w:w="2160"/>
          </w:tcPr>
          <w:p>
            <w:r>
              <w:t>웹 UI</w:t>
            </w:r>
          </w:p>
        </w:tc>
        <w:tc>
          <w:tcPr>
            <w:tcW w:type="dxa" w:w="2160"/>
          </w:tcPr>
          <w:p>
            <w:r>
              <w:t>FastAPI Gateway REST</w:t>
            </w:r>
          </w:p>
        </w:tc>
      </w:tr>
    </w:tbl>
    <w:p>
      <w:pPr>
        <w:pStyle w:val="Heading2"/>
      </w:pPr>
      <w:r>
        <w:t>3.2 API Gateway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구성요소</w:t>
            </w:r>
          </w:p>
        </w:tc>
        <w:tc>
          <w:tcPr>
            <w:tcW w:type="dxa" w:w="2160"/>
          </w:tcPr>
          <w:p>
            <w:r>
              <w:t>역할</w:t>
            </w:r>
          </w:p>
        </w:tc>
        <w:tc>
          <w:tcPr>
            <w:tcW w:type="dxa" w:w="2160"/>
          </w:tcPr>
          <w:p>
            <w:r>
              <w:t>기술</w:t>
            </w:r>
          </w:p>
        </w:tc>
        <w:tc>
          <w:tcPr>
            <w:tcW w:type="dxa" w:w="2160"/>
          </w:tcPr>
          <w:p>
            <w:r>
              <w:t>인터페이스</w:t>
            </w:r>
          </w:p>
        </w:tc>
      </w:tr>
      <w:tr>
        <w:tc>
          <w:tcPr>
            <w:tcW w:type="dxa" w:w="2160"/>
          </w:tcPr>
          <w:p>
            <w:r>
              <w:t>FastAPI Gateway</w:t>
            </w:r>
          </w:p>
        </w:tc>
        <w:tc>
          <w:tcPr>
            <w:tcW w:type="dxa" w:w="2160"/>
          </w:tcPr>
          <w:p>
            <w:r>
              <w:t>검증 요청 접수(동기/비동기), 파이프라인 오케스트레이션, 결과 회신</w:t>
            </w:r>
          </w:p>
        </w:tc>
        <w:tc>
          <w:tcPr>
            <w:tcW w:type="dxa" w:w="2160"/>
          </w:tcPr>
          <w:p>
            <w:r>
              <w:t>Python FastAPI</w:t>
            </w:r>
          </w:p>
        </w:tc>
        <w:tc>
          <w:tcPr>
            <w:tcW w:type="dxa" w:w="2160"/>
          </w:tcPr>
          <w:p>
            <w:r>
              <w:t>REST/JSON — 전자통관시스템 연계 지점</w:t>
            </w:r>
          </w:p>
        </w:tc>
      </w:tr>
      <w:tr>
        <w:tc>
          <w:tcPr>
            <w:tcW w:type="dxa" w:w="2160"/>
          </w:tcPr>
          <w:p>
            <w:r>
              <w:t>RAG Proxy</w:t>
            </w:r>
          </w:p>
        </w:tc>
        <w:tc>
          <w:tcPr>
            <w:tcW w:type="dxa" w:w="2160"/>
          </w:tcPr>
          <w:p>
            <w:r>
              <w:t>판독 결과 RAG 저장·검색 질의 중계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pgvector, vLLM</w:t>
            </w:r>
          </w:p>
        </w:tc>
      </w:tr>
    </w:tbl>
    <w:p>
      <w:pPr>
        <w:pStyle w:val="Heading2"/>
      </w:pPr>
      <w:r>
        <w:t>3.3 AI Core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구성요소</w:t>
            </w:r>
          </w:p>
        </w:tc>
        <w:tc>
          <w:tcPr>
            <w:tcW w:type="dxa" w:w="2160"/>
          </w:tcPr>
          <w:p>
            <w:r>
              <w:t>역할</w:t>
            </w:r>
          </w:p>
        </w:tc>
        <w:tc>
          <w:tcPr>
            <w:tcW w:type="dxa" w:w="2160"/>
          </w:tcPr>
          <w:p>
            <w:r>
              <w:t>기술</w:t>
            </w:r>
          </w:p>
        </w:tc>
        <w:tc>
          <w:tcPr>
            <w:tcW w:type="dxa" w:w="2160"/>
          </w:tcPr>
          <w:p>
            <w:r>
              <w:t>인터페이스</w:t>
            </w:r>
          </w:p>
        </w:tc>
      </w:tr>
      <w:tr>
        <w:tc>
          <w:tcPr>
            <w:tcW w:type="dxa" w:w="2160"/>
          </w:tcPr>
          <w:p>
            <w:r>
              <w:t>vLLM 서빙</w:t>
            </w:r>
          </w:p>
        </w:tc>
        <w:tc>
          <w:tcPr>
            <w:tcW w:type="dxa" w:w="2160"/>
          </w:tcPr>
          <w:p>
            <w:r>
              <w:t>문서 이해·항목 추출·비교검증 추론. 속도↔정확도 트레이드오프의 중심(PoC 한계) — 상품화 최적화 대상</w:t>
            </w:r>
          </w:p>
        </w:tc>
        <w:tc>
          <w:tcPr>
            <w:tcW w:type="dxa" w:w="2160"/>
          </w:tcPr>
          <w:p>
            <w:r>
              <w:t>vLLM + GPT-OSS-120B</w:t>
            </w:r>
          </w:p>
        </w:tc>
        <w:tc>
          <w:tcPr>
            <w:tcW w:type="dxa" w:w="2160"/>
          </w:tcPr>
          <w:p>
            <w:r>
              <w:t>OpenAI 호환 API, GPU</w:t>
            </w:r>
          </w:p>
        </w:tc>
      </w:tr>
      <w:tr>
        <w:tc>
          <w:tcPr>
            <w:tcW w:type="dxa" w:w="2160"/>
          </w:tcPr>
          <w:p>
            <w:r>
              <w:t>Tesseract Worker</w:t>
            </w:r>
          </w:p>
        </w:tc>
        <w:tc>
          <w:tcPr>
            <w:tcW w:type="dxa" w:w="2160"/>
          </w:tcPr>
          <w:p>
            <w:r>
              <w:t>영숫자 중심 OCR (Track A)</w:t>
            </w:r>
          </w:p>
        </w:tc>
        <w:tc>
          <w:tcPr>
            <w:tcW w:type="dxa" w:w="2160"/>
          </w:tcPr>
          <w:p>
            <w:r>
              <w:t>Tesseract</w:t>
            </w:r>
          </w:p>
        </w:tc>
        <w:tc>
          <w:tcPr>
            <w:tcW w:type="dxa" w:w="2160"/>
          </w:tcPr>
          <w:p>
            <w:r>
              <w:t>내부 큐/HTTP</w:t>
            </w:r>
          </w:p>
        </w:tc>
      </w:tr>
      <w:tr>
        <w:tc>
          <w:tcPr>
            <w:tcW w:type="dxa" w:w="2160"/>
          </w:tcPr>
          <w:p>
            <w:r>
              <w:t>PaddleOCR Worker</w:t>
            </w:r>
          </w:p>
        </w:tc>
        <w:tc>
          <w:tcPr>
            <w:tcW w:type="dxa" w:w="2160"/>
          </w:tcPr>
          <w:p>
            <w:r>
              <w:t>복잡 레이아웃·CJK OCR (Track B), PP-Structure 레이아웃 분석</w:t>
            </w:r>
          </w:p>
        </w:tc>
        <w:tc>
          <w:tcPr>
            <w:tcW w:type="dxa" w:w="2160"/>
          </w:tcPr>
          <w:p>
            <w:r>
              <w:t>PaddleOCR, PP-Structure(CUDA)</w:t>
            </w:r>
          </w:p>
        </w:tc>
        <w:tc>
          <w:tcPr>
            <w:tcW w:type="dxa" w:w="2160"/>
          </w:tcPr>
          <w:p>
            <w:r>
              <w:t>내부 큐/HTTP</w:t>
            </w:r>
          </w:p>
        </w:tc>
      </w:tr>
      <w:tr>
        <w:tc>
          <w:tcPr>
            <w:tcW w:type="dxa" w:w="2160"/>
          </w:tcPr>
          <w:p>
            <w:r>
              <w:t>레이아웃·테이블 모델</w:t>
            </w:r>
          </w:p>
        </w:tc>
        <w:tc>
          <w:tcPr>
            <w:tcW w:type="dxa" w:w="2160"/>
          </w:tcPr>
          <w:p>
            <w:r>
              <w:t>문서 레이아웃 이해, 테이블 구조 인코딩</w:t>
            </w:r>
          </w:p>
        </w:tc>
        <w:tc>
          <w:tcPr>
            <w:tcW w:type="dxa" w:w="2160"/>
          </w:tcPr>
          <w:p>
            <w:r>
              <w:t>LayoutLM, TAPAS</w:t>
            </w:r>
          </w:p>
        </w:tc>
        <w:tc>
          <w:tcPr>
            <w:tcW w:type="dxa" w:w="2160"/>
          </w:tcPr>
          <w:p>
            <w:r>
              <w:t>RAG Table Track</w:t>
            </w:r>
          </w:p>
        </w:tc>
      </w:tr>
    </w:tbl>
    <w:p>
      <w:pPr>
        <w:pStyle w:val="Heading2"/>
      </w:pPr>
      <w:r>
        <w:t>3.4 Data Layer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구성요소</w:t>
            </w:r>
          </w:p>
        </w:tc>
        <w:tc>
          <w:tcPr>
            <w:tcW w:type="dxa" w:w="2160"/>
          </w:tcPr>
          <w:p>
            <w:r>
              <w:t>역할</w:t>
            </w:r>
          </w:p>
        </w:tc>
        <w:tc>
          <w:tcPr>
            <w:tcW w:type="dxa" w:w="2160"/>
          </w:tcPr>
          <w:p>
            <w:r>
              <w:t>기술</w:t>
            </w:r>
          </w:p>
        </w:tc>
        <w:tc>
          <w:tcPr>
            <w:tcW w:type="dxa" w:w="2160"/>
          </w:tcPr>
          <w:p>
            <w:r>
              <w:t>인터페이스</w:t>
            </w:r>
          </w:p>
        </w:tc>
      </w:tr>
      <w:tr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판독 결과·검증 이력·메타데이터 저장 (SSL 암호화)</w:t>
            </w:r>
          </w:p>
        </w:tc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SQL</w:t>
            </w:r>
          </w:p>
        </w:tc>
      </w:tr>
      <w:tr>
        <w:tc>
          <w:tcPr>
            <w:tcW w:type="dxa" w:w="2160"/>
          </w:tcPr>
          <w:p>
            <w:r>
              <w:t>pgvector</w:t>
            </w:r>
          </w:p>
        </w:tc>
        <w:tc>
          <w:tcPr>
            <w:tcW w:type="dxa" w:w="2160"/>
          </w:tcPr>
          <w:p>
            <w:r>
              <w:t>Two-Track RAG 벡터 저장·하이브리드 검색</w:t>
            </w:r>
          </w:p>
        </w:tc>
        <w:tc>
          <w:tcPr>
            <w:tcW w:type="dxa" w:w="2160"/>
          </w:tcPr>
          <w:p>
            <w:r>
              <w:t>pgvector 확장</w:t>
            </w:r>
          </w:p>
        </w:tc>
        <w:tc>
          <w:tcPr>
            <w:tcW w:type="dxa" w:w="2160"/>
          </w:tcPr>
          <w:p>
            <w:r>
              <w:t>SQL/벡터 질의</w:t>
            </w:r>
          </w:p>
        </w:tc>
      </w:tr>
    </w:tbl>
    <w:p>
      <w:pPr>
        <w:pStyle w:val="Heading1"/>
      </w:pPr>
      <w:r>
        <w:t>4. 기능 정의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기능</w:t>
            </w:r>
          </w:p>
        </w:tc>
        <w:tc>
          <w:tcPr>
            <w:tcW w:type="dxa" w:w="2160"/>
          </w:tcPr>
          <w:p>
            <w:r>
              <w:t>설명</w:t>
            </w:r>
          </w:p>
        </w:tc>
        <w:tc>
          <w:tcPr>
            <w:tcW w:type="dxa" w:w="2160"/>
          </w:tcPr>
          <w:p>
            <w:r>
              <w:t>관련 구성요소</w:t>
            </w:r>
          </w:p>
        </w:tc>
      </w:tr>
      <w:tr>
        <w:tc>
          <w:tcPr>
            <w:tcW w:type="dxa" w:w="2160"/>
          </w:tcPr>
          <w:p>
            <w:r>
              <w:t>FN-1-01</w:t>
            </w:r>
          </w:p>
        </w:tc>
        <w:tc>
          <w:tcPr>
            <w:tcW w:type="dxa" w:w="2160"/>
          </w:tcPr>
          <w:p>
            <w:r>
              <w:t>문서 분류·스마트 분할</w:t>
            </w:r>
          </w:p>
        </w:tc>
        <w:tc>
          <w:tcPr>
            <w:tcW w:type="dxa" w:w="2160"/>
          </w:tcPr>
          <w:p>
            <w:r>
              <w:t>혼합 PDF 패킷에서 Doc_ID 패턴(BL_, INV_, AWB_)으로 페이지 분류, 문서번호 변경 감지(INV-001→INV-002)로 동일 유형 내 분할, ID 불명확 시 키워드 폴백(shipper/consignee/booking)</w:t>
            </w:r>
          </w:p>
        </w:tc>
        <w:tc>
          <w:tcPr>
            <w:tcW w:type="dxa" w:w="2160"/>
          </w:tcPr>
          <w:p>
            <w:r>
              <w:t>OCR Worker, Gateway</w:t>
            </w:r>
          </w:p>
        </w:tc>
      </w:tr>
      <w:tr>
        <w:tc>
          <w:tcPr>
            <w:tcW w:type="dxa" w:w="2160"/>
          </w:tcPr>
          <w:p>
            <w:r>
              <w:t>FN-1-02</w:t>
            </w:r>
          </w:p>
        </w:tc>
        <w:tc>
          <w:tcPr>
            <w:tcW w:type="dxa" w:w="2160"/>
          </w:tcPr>
          <w:p>
            <w:r>
              <w:t>이미지 전처리</w:t>
            </w:r>
          </w:p>
        </w:tc>
        <w:tc>
          <w:tcPr>
            <w:tcW w:type="dxa" w:w="2160"/>
          </w:tcPr>
          <w:p>
            <w:r>
              <w:t>적응형 조명 보정, 기울기 보정(deskew), OSD 회전(VLM 폴백 대체로 속도 확보). 로드맵: 저품질 팩스 적응형 임계값</w:t>
            </w:r>
          </w:p>
        </w:tc>
        <w:tc>
          <w:tcPr>
            <w:tcW w:type="dxa" w:w="2160"/>
          </w:tcPr>
          <w:p>
            <w:r>
              <w:t>OCR Worker</w:t>
            </w:r>
          </w:p>
        </w:tc>
      </w:tr>
      <w:tr>
        <w:tc>
          <w:tcPr>
            <w:tcW w:type="dxa" w:w="2160"/>
          </w:tcPr>
          <w:p>
            <w:r>
              <w:t>FN-1-03</w:t>
            </w:r>
          </w:p>
        </w:tc>
        <w:tc>
          <w:tcPr>
            <w:tcW w:type="dxa" w:w="2160"/>
          </w:tcPr>
          <w:p>
            <w:r>
              <w:t>앙상블 OCR</w:t>
            </w:r>
          </w:p>
        </w:tc>
        <w:tc>
          <w:tcPr>
            <w:tcW w:type="dxa" w:w="2160"/>
          </w:tcPr>
          <w:p>
            <w:r>
              <w:t>Tesseract(영숫자)+PaddleOCR(레이아웃·CJK) 병렬 처리 후 통합 — 신뢰도 68%→87%, 텍스트 복구율 73%→92%</w:t>
            </w:r>
          </w:p>
        </w:tc>
        <w:tc>
          <w:tcPr>
            <w:tcW w:type="dxa" w:w="2160"/>
          </w:tcPr>
          <w:p>
            <w:r>
              <w:t>Tesseract/Paddle Worker</w:t>
            </w:r>
          </w:p>
        </w:tc>
      </w:tr>
      <w:tr>
        <w:tc>
          <w:tcPr>
            <w:tcW w:type="dxa" w:w="2160"/>
          </w:tcPr>
          <w:p>
            <w:r>
              <w:t>FN-1-04</w:t>
            </w:r>
          </w:p>
        </w:tc>
        <w:tc>
          <w:tcPr>
            <w:tcW w:type="dxa" w:w="2160"/>
          </w:tcPr>
          <w:p>
            <w:r>
              <w:t>공간 이해(좌표 임베딩)</w:t>
            </w:r>
          </w:p>
        </w:tc>
        <w:tc>
          <w:tcPr>
            <w:tcW w:type="dxa" w:w="2160"/>
          </w:tcPr>
          <w:p>
            <w:r>
              <w:t>PP-Structure로 테이블 경계·행·열 감지(무테두리 포함), bounding box(x,y,w,h)를 LLM에 직접 전달 — 동일 Y축 범위=동일 행 논리로 항목-값 연결 hallucination 방지</w:t>
            </w:r>
          </w:p>
        </w:tc>
        <w:tc>
          <w:tcPr>
            <w:tcW w:type="dxa" w:w="2160"/>
          </w:tcPr>
          <w:p>
            <w:r>
              <w:t>PP-Structure, vLLM</w:t>
            </w:r>
          </w:p>
        </w:tc>
      </w:tr>
      <w:tr>
        <w:tc>
          <w:tcPr>
            <w:tcW w:type="dxa" w:w="2160"/>
          </w:tcPr>
          <w:p>
            <w:r>
              <w:t>FN-1-05</w:t>
            </w:r>
          </w:p>
        </w:tc>
        <w:tc>
          <w:tcPr>
            <w:tcW w:type="dxa" w:w="2160"/>
          </w:tcPr>
          <w:p>
            <w:r>
              <w:t>데이터 정제</w:t>
            </w:r>
          </w:p>
        </w:tc>
        <w:tc>
          <w:tcPr>
            <w:tcW w:type="dxa" w:w="2160"/>
          </w:tcPr>
          <w:p>
            <w:r>
              <w:t>단위 정규화(doz/set/pcs→ea), HS코드 검증(품목 설명 대조로 오분류 플래그) → Clean Data Lake 적재</w:t>
            </w:r>
          </w:p>
        </w:tc>
        <w:tc>
          <w:tcPr>
            <w:tcW w:type="dxa" w:w="2160"/>
          </w:tcPr>
          <w:p>
            <w:r>
              <w:t>vLLM, PostgreSQL</w:t>
            </w:r>
          </w:p>
        </w:tc>
      </w:tr>
      <w:tr>
        <w:tc>
          <w:tcPr>
            <w:tcW w:type="dxa" w:w="2160"/>
          </w:tcPr>
          <w:p>
            <w:r>
              <w:t>FN-1-06</w:t>
            </w:r>
          </w:p>
        </w:tc>
        <w:tc>
          <w:tcPr>
            <w:tcW w:type="dxa" w:w="2160"/>
          </w:tcPr>
          <w:p>
            <w:r>
              <w:t>교차검증 엔진</w:t>
            </w:r>
          </w:p>
        </w:tc>
        <w:tc>
          <w:tcPr>
            <w:tcW w:type="dxa" w:w="2160"/>
          </w:tcPr>
          <w:p>
            <w:r>
              <w:t>추출(Extraction)→신고서 라인아이템 매칭(Matching)→로직 체크(수량×단가=금액 등)→위험 알림(JSON: status/risk/reason). 총액 일치 뒤에 숨은 라인아이템 조작(단가 조작·수량 불일치·오분류) 적발</w:t>
            </w:r>
          </w:p>
        </w:tc>
        <w:tc>
          <w:tcPr>
            <w:tcW w:type="dxa" w:w="2160"/>
          </w:tcPr>
          <w:p>
            <w:r>
              <w:t>Gateway, vLLM</w:t>
            </w:r>
          </w:p>
        </w:tc>
      </w:tr>
      <w:tr>
        <w:tc>
          <w:tcPr>
            <w:tcW w:type="dxa" w:w="2160"/>
          </w:tcPr>
          <w:p>
            <w:r>
              <w:t>FN-1-07</w:t>
            </w:r>
          </w:p>
        </w:tc>
        <w:tc>
          <w:tcPr>
            <w:tcW w:type="dxa" w:w="2160"/>
          </w:tcPr>
          <w:p>
            <w:r>
              <w:t>특수 항목 추출</w:t>
            </w:r>
          </w:p>
        </w:tc>
        <w:tc>
          <w:tcPr>
            <w:tcW w:type="dxa" w:w="2160"/>
          </w:tcPr>
          <w:p>
            <w:r>
              <w:t>차대번호(VIN 17자리) 추출 — 좌표 기반 행 매칭+Few-shot으로 0%→100% 달성. '부품' 신고에 VIN 존재 시 자동 플래그(완성차 위장 적발)</w:t>
            </w:r>
          </w:p>
        </w:tc>
        <w:tc>
          <w:tcPr>
            <w:tcW w:type="dxa" w:w="2160"/>
          </w:tcPr>
          <w:p>
            <w:r>
              <w:t>vLLM, PP-Structure</w:t>
            </w:r>
          </w:p>
        </w:tc>
      </w:tr>
      <w:tr>
        <w:tc>
          <w:tcPr>
            <w:tcW w:type="dxa" w:w="2160"/>
          </w:tcPr>
          <w:p>
            <w:r>
              <w:t>FN-1-08</w:t>
            </w:r>
          </w:p>
        </w:tc>
        <w:tc>
          <w:tcPr>
            <w:tcW w:type="dxa" w:w="2160"/>
          </w:tcPr>
          <w:p>
            <w:r>
              <w:t>Two-Track RAG</w:t>
            </w:r>
          </w:p>
        </w:tc>
        <w:tc>
          <w:tcPr>
            <w:tcW w:type="dxa" w:w="2160"/>
          </w:tcPr>
          <w:p>
            <w:r>
              <w:t>Table Track(TAPAS 인코딩)+Text Track(BGE-M3 임베딩)을 pgvector에 통합 저장, 하이브리드 검색 — 표준 RAG의 테이블 손실 문제 해결</w:t>
            </w:r>
          </w:p>
        </w:tc>
        <w:tc>
          <w:tcPr>
            <w:tcW w:type="dxa" w:w="2160"/>
          </w:tcPr>
          <w:p>
            <w:r>
              <w:t>RAG Proxy, pgvector</w:t>
            </w:r>
          </w:p>
        </w:tc>
      </w:tr>
      <w:tr>
        <w:tc>
          <w:tcPr>
            <w:tcW w:type="dxa" w:w="2160"/>
          </w:tcPr>
          <w:p>
            <w:r>
              <w:t>FN-1-09</w:t>
            </w:r>
          </w:p>
        </w:tc>
        <w:tc>
          <w:tcPr>
            <w:tcW w:type="dxa" w:w="2160"/>
          </w:tcPr>
          <w:p>
            <w:r>
              <w:t>검증 API</w:t>
            </w:r>
          </w:p>
        </w:tc>
        <w:tc>
          <w:tcPr>
            <w:tcW w:type="dxa" w:w="2160"/>
          </w:tcPr>
          <w:p>
            <w:r>
              <w:t>전자통관시스템에서 검증요청 수신, 판독→RAG 저장→비교검증 후 결과회신 (API/JSON, 최소 설정 연계)</w:t>
            </w:r>
          </w:p>
        </w:tc>
        <w:tc>
          <w:tcPr>
            <w:tcW w:type="dxa" w:w="2160"/>
          </w:tcPr>
          <w:p>
            <w:r>
              <w:t>FastAPI Gateway</w:t>
            </w:r>
          </w:p>
        </w:tc>
      </w:tr>
    </w:tbl>
    <w:p>
      <w:pPr>
        <w:pStyle w:val="Heading1"/>
      </w:pPr>
      <w:r>
        <w:t>5. 상품화 신규 개발 항목 (본 과업 범위)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PR-1-01</w:t>
            </w:r>
          </w:p>
        </w:tc>
        <w:tc>
          <w:tcPr>
            <w:tcW w:type="dxa" w:w="2880"/>
          </w:tcPr>
          <w:p>
            <w:r>
              <w:t>성능 사양 체계</w:t>
            </w:r>
          </w:p>
        </w:tc>
        <w:tc>
          <w:tcPr>
            <w:tcW w:type="dxa" w:w="2880"/>
          </w:tcPr>
          <w:p>
            <w:r>
              <w:t>최소 사양(Minimum)/목표 사양(Target) 정의 및 달성 검증 — OCR 인식률, 추론 정확도, Latency/Throughput/GPU 효율</w:t>
            </w:r>
          </w:p>
        </w:tc>
      </w:tr>
      <w:tr>
        <w:tc>
          <w:tcPr>
            <w:tcW w:type="dxa" w:w="2880"/>
          </w:tcPr>
          <w:p>
            <w:r>
              <w:t>PR-1-02</w:t>
            </w:r>
          </w:p>
        </w:tc>
        <w:tc>
          <w:tcPr>
            <w:tcW w:type="dxa" w:w="2880"/>
          </w:tcPr>
          <w:p>
            <w:r>
              <w:t>프롬프트 버전 관리</w:t>
            </w:r>
          </w:p>
        </w:tc>
        <w:tc>
          <w:tcPr>
            <w:tcW w:type="dxa" w:w="2880"/>
          </w:tcPr>
          <w:p>
            <w:r>
              <w:t>신고서 유형별(수입/수출/환적) 프롬프트, Few-shot/CoT 비교, Hallucination 억제, 버전 관리 체계</w:t>
            </w:r>
          </w:p>
        </w:tc>
      </w:tr>
      <w:tr>
        <w:tc>
          <w:tcPr>
            <w:tcW w:type="dxa" w:w="2880"/>
          </w:tcPr>
          <w:p>
            <w:r>
              <w:t>PR-1-03</w:t>
            </w:r>
          </w:p>
        </w:tc>
        <w:tc>
          <w:tcPr>
            <w:tcW w:type="dxa" w:w="2880"/>
          </w:tcPr>
          <w:p>
            <w:r>
              <w:t>서빙 최적화</w:t>
            </w:r>
          </w:p>
        </w:tc>
        <w:tc>
          <w:tcPr>
            <w:tcW w:type="dxa" w:w="2880"/>
          </w:tcPr>
          <w:p>
            <w:r>
              <w:t>배치 추론, 양자화 검토, KV Cache·Continuous Batching, 멀티 GPU/분산 추론 — vLLM 병목 해소(PoC 한계 대응)</w:t>
            </w:r>
          </w:p>
        </w:tc>
      </w:tr>
      <w:tr>
        <w:tc>
          <w:tcPr>
            <w:tcW w:type="dxa" w:w="2880"/>
          </w:tcPr>
          <w:p>
            <w:r>
              <w:t>PR-1-04</w:t>
            </w:r>
          </w:p>
        </w:tc>
        <w:tc>
          <w:tcPr>
            <w:tcW w:type="dxa" w:w="2880"/>
          </w:tcPr>
          <w:p>
            <w:r>
              <w:t>배포 패키지</w:t>
            </w:r>
          </w:p>
        </w:tc>
        <w:tc>
          <w:tcPr>
            <w:tcW w:type="dxa" w:w="2880"/>
          </w:tcPr>
          <w:p>
            <w:r>
              <w:t>Docker/K8s(Helm 또는 Compose) 자동화, GPU 노드 요구 명세, 모델 가중치 버전 관리</w:t>
            </w:r>
          </w:p>
        </w:tc>
      </w:tr>
      <w:tr>
        <w:tc>
          <w:tcPr>
            <w:tcW w:type="dxa" w:w="2880"/>
          </w:tcPr>
          <w:p>
            <w:r>
              <w:t>PR-1-05</w:t>
            </w:r>
          </w:p>
        </w:tc>
        <w:tc>
          <w:tcPr>
            <w:tcW w:type="dxa" w:w="2880"/>
          </w:tcPr>
          <w:p>
            <w:r>
              <w:t>API 서비스화</w:t>
            </w:r>
          </w:p>
        </w:tc>
        <w:tc>
          <w:tcPr>
            <w:tcW w:type="dxa" w:w="2880"/>
          </w:tcPr>
          <w:p>
            <w:r>
              <w:t>비동기 처리 지원 RESTful API, OpenAPI(Swagger) 명세</w:t>
            </w:r>
          </w:p>
        </w:tc>
      </w:tr>
      <w:tr>
        <w:tc>
          <w:tcPr>
            <w:tcW w:type="dxa" w:w="2880"/>
          </w:tcPr>
          <w:p>
            <w:r>
              <w:t>PR-1-06</w:t>
            </w:r>
          </w:p>
        </w:tc>
        <w:tc>
          <w:tcPr>
            <w:tcW w:type="dxa" w:w="2880"/>
          </w:tcPr>
          <w:p>
            <w:r>
              <w:t>운영 체계</w:t>
            </w:r>
          </w:p>
        </w:tc>
        <w:tc>
          <w:tcPr>
            <w:tcW w:type="dxa" w:w="2880"/>
          </w:tcPr>
          <w:p>
            <w:r>
              <w:t>설치·설정·모니터링·장애 대응 매뉴얼, 파일럿 운영·안정화</w:t>
            </w:r>
          </w:p>
        </w:tc>
      </w:tr>
    </w:tbl>
    <w:p>
      <w:pPr>
        <w:pStyle w:val="Heading1"/>
      </w:pPr>
      <w:r>
        <w:t>6. 인프라 요구사항</w:t>
      </w:r>
    </w:p>
    <w:p>
      <w:pPr>
        <w:pStyle w:val="ListBullet"/>
      </w:pPr>
      <w:r>
        <w:t>GPU: NVIDIA H200(추론 서빙) 및 RTX 5090(개발/워커) — 개발/테스트/운영 자원 확보는 착수 전 협의 사항</w:t>
      </w:r>
    </w:p>
    <w:p>
      <w:pPr>
        <w:pStyle w:val="ListBullet"/>
      </w:pPr>
      <w:r>
        <w:t>운영: 온프레미스 가상화, 폐쇄망(외부 API 호출 없음), Docker 네트워크 격리</w:t>
      </w:r>
    </w:p>
    <w:p>
      <w:pPr>
        <w:pStyle w:val="ListBullet"/>
      </w:pPr>
      <w:r>
        <w:t>보안: 100% 로컬 처리, GDPR 데이터 최소화 지원, PostgreSQL SSL 암호화, 프롬프트·모델 가중치 기밀 관리</w:t>
      </w:r>
    </w:p>
    <w:p>
      <w:pPr>
        <w:pStyle w:val="Heading1"/>
      </w:pPr>
      <w:r>
        <w:t>7. 제약·전제</w:t>
      </w:r>
    </w:p>
    <w:p>
      <w:pPr>
        <w:pStyle w:val="ListBullet"/>
      </w:pPr>
      <w:r>
        <w:t>vLLM 의존도와 처리속도가 반비례(PoC 확인) — 처리량은 vLLM 병렬 처리 능력이 결정. 실시간 선별은 신고건수 적은 국가 한정, 주력은 사후검증</w:t>
      </w:r>
    </w:p>
    <w:p>
      <w:pPr>
        <w:pStyle w:val="ListBullet"/>
      </w:pPr>
      <w:r>
        <w:t>성능 수치 기준은 4월 서비스 수준 진단에서 확정 (현재 지표는 v2.0 데모 기준: 5페이지 문서 15초, OCR 신뢰도 87%)</w:t>
      </w:r>
    </w:p>
    <w:p>
      <w:pPr>
        <w:pStyle w:val="ListBullet"/>
      </w:pPr>
      <w:r>
        <w:t>기존 코드·프롬프트·모델 정보 공유 범위는 착수 전 협의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과제1 e-PASS AI 시스템 구성요소 및 기능 정의서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