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CUPIA AI 연구 과제 2026 — 요구사항 정의서 (초안 v0.1)</w:t>
      </w:r>
    </w:p>
    <w:p>
      <w:r>
        <w:t>발주기관: 전자통관국제협력재단(CUPIA) / 수행업체: (주)씨커스 / 근거: CUPIA-AI-2026-SOW-001 v3</w:t>
      </w:r>
    </w:p>
    <w:p>
      <w:pPr>
        <w:pStyle w:val="Heading1"/>
      </w:pPr>
      <w:r>
        <w:t>1. 개요</w:t>
      </w:r>
    </w:p>
    <w:p>
      <w:r>
        <w:t>본 문서는 과제 1(e-PASS AI 모델 상품화 — OCR+vLLM 신고서 검증 시스템)과 과제 2(EWACS 복합 AI Agent 구축)의 기능·비기능·데이터 요구사항을 정의한다. 세부 수치 기준(최소/목표 사양)은 과제 1의 4월 서비스 수준 진단 결과로 확정한다.</w:t>
      </w:r>
    </w:p>
    <w:p>
      <w:pPr>
        <w:pStyle w:val="Heading1"/>
      </w:pPr>
      <w:r>
        <w:t>2. 과제 1 기능 요구사항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요구사항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REQ-1-01</w:t>
            </w:r>
          </w:p>
        </w:tc>
        <w:tc>
          <w:tcPr>
            <w:tcW w:type="dxa" w:w="2880"/>
          </w:tcPr>
          <w:p>
            <w:r>
              <w:t>서비스 수준 진단</w:t>
            </w:r>
          </w:p>
        </w:tc>
        <w:tc>
          <w:tcPr>
            <w:tcW w:type="dxa" w:w="2880"/>
          </w:tcPr>
          <w:p>
            <w:r>
              <w:t>OCR 인식률(다국어·서식·스캔 품질별), vLLM 추론 정확도·일관성, Latency/Throughput/GPU 사용률 측정</w:t>
            </w:r>
          </w:p>
        </w:tc>
      </w:tr>
      <w:tr>
        <w:tc>
          <w:tcPr>
            <w:tcW w:type="dxa" w:w="2880"/>
          </w:tcPr>
          <w:p>
            <w:r>
              <w:t>REQ-1-02</w:t>
            </w:r>
          </w:p>
        </w:tc>
        <w:tc>
          <w:tcPr>
            <w:tcW w:type="dxa" w:w="2880"/>
          </w:tcPr>
          <w:p>
            <w:r>
              <w:t>최소/목표 사양 정의</w:t>
            </w:r>
          </w:p>
        </w:tc>
        <w:tc>
          <w:tcPr>
            <w:tcW w:type="dxa" w:w="2880"/>
          </w:tcPr>
          <w:p>
            <w:r>
              <w:t>상용 서비스 기준 Minimum Spec(하한선)과 Target Spec(경쟁력 목표) 정의</w:t>
            </w:r>
          </w:p>
        </w:tc>
      </w:tr>
      <w:tr>
        <w:tc>
          <w:tcPr>
            <w:tcW w:type="dxa" w:w="2880"/>
          </w:tcPr>
          <w:p>
            <w:r>
              <w:t>REQ-1-03</w:t>
            </w:r>
          </w:p>
        </w:tc>
        <w:tc>
          <w:tcPr>
            <w:tcW w:type="dxa" w:w="2880"/>
          </w:tcPr>
          <w:p>
            <w:r>
              <w:t>프롬프트 고도화</w:t>
            </w:r>
          </w:p>
        </w:tc>
        <w:tc>
          <w:tcPr>
            <w:tcW w:type="dxa" w:w="2880"/>
          </w:tcPr>
          <w:p>
            <w:r>
              <w:t>Hallucination 억제, Few-shot/CoT 적용 비교, 신고서 유형별(수입/수출/환적) 맞춤 프롬프트, 버전 관리 체계</w:t>
            </w:r>
          </w:p>
        </w:tc>
      </w:tr>
      <w:tr>
        <w:tc>
          <w:tcPr>
            <w:tcW w:type="dxa" w:w="2880"/>
          </w:tcPr>
          <w:p>
            <w:r>
              <w:t>REQ-1-04</w:t>
            </w:r>
          </w:p>
        </w:tc>
        <w:tc>
          <w:tcPr>
            <w:tcW w:type="dxa" w:w="2880"/>
          </w:tcPr>
          <w:p>
            <w:r>
              <w:t>파이프라인 최적화</w:t>
            </w:r>
          </w:p>
        </w:tc>
        <w:tc>
          <w:tcPr>
            <w:tcW w:type="dxa" w:w="2880"/>
          </w:tcPr>
          <w:p>
            <w:r>
              <w:t>병목 프로파일링, 배치 추론, 양자화 검토, KV Cache·Continuous Batching, 멀티 GPU 구성 검토</w:t>
            </w:r>
          </w:p>
        </w:tc>
      </w:tr>
      <w:tr>
        <w:tc>
          <w:tcPr>
            <w:tcW w:type="dxa" w:w="2880"/>
          </w:tcPr>
          <w:p>
            <w:r>
              <w:t>REQ-1-05</w:t>
            </w:r>
          </w:p>
        </w:tc>
        <w:tc>
          <w:tcPr>
            <w:tcW w:type="dxa" w:w="2880"/>
          </w:tcPr>
          <w:p>
            <w:r>
              <w:t>시스템 패키징</w:t>
            </w:r>
          </w:p>
        </w:tc>
        <w:tc>
          <w:tcPr>
            <w:tcW w:type="dxa" w:w="2880"/>
          </w:tcPr>
          <w:p>
            <w:r>
              <w:t>RESTful API(비동기 지원), Docker/K8s 배포(Helm 또는 Compose), 모델 가중치 버전 관리, OpenAPI 문서화</w:t>
            </w:r>
          </w:p>
        </w:tc>
      </w:tr>
      <w:tr>
        <w:tc>
          <w:tcPr>
            <w:tcW w:type="dxa" w:w="2880"/>
          </w:tcPr>
          <w:p>
            <w:r>
              <w:t>REQ-1-06</w:t>
            </w:r>
          </w:p>
        </w:tc>
        <w:tc>
          <w:tcPr>
            <w:tcW w:type="dxa" w:w="2880"/>
          </w:tcPr>
          <w:p>
            <w:r>
              <w:t>v1 릴리즈</w:t>
            </w:r>
          </w:p>
        </w:tc>
        <w:tc>
          <w:tcPr>
            <w:tcW w:type="dxa" w:w="2880"/>
          </w:tcPr>
          <w:p>
            <w:r>
              <w:t>통합/성능/부하 테스트, 파일럿 실데이터 검증, 최소 사양 충족 입증 후 v1 릴리즈(2026년 7월)</w:t>
            </w:r>
          </w:p>
        </w:tc>
      </w:tr>
    </w:tbl>
    <w:p>
      <w:pPr>
        <w:pStyle w:val="Heading1"/>
      </w:pPr>
      <w:r>
        <w:t>3. 과제 2 기능 요구사항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요구사항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REQ-2-01</w:t>
            </w:r>
          </w:p>
        </w:tc>
        <w:tc>
          <w:tcPr>
            <w:tcW w:type="dxa" w:w="2880"/>
          </w:tcPr>
          <w:p>
            <w:r>
              <w:t>예측 엔진</w:t>
            </w:r>
          </w:p>
        </w:tc>
        <w:tc>
          <w:tcPr>
            <w:tcW w:type="dxa" w:w="2880"/>
          </w:tcPr>
          <w:p>
            <w:r>
              <w:t>시계열 추세 분석·예측, 업무량 초과 전 사전 경고</w:t>
            </w:r>
          </w:p>
        </w:tc>
      </w:tr>
      <w:tr>
        <w:tc>
          <w:tcPr>
            <w:tcW w:type="dxa" w:w="2880"/>
          </w:tcPr>
          <w:p>
            <w:r>
              <w:t>REQ-2-02</w:t>
            </w:r>
          </w:p>
        </w:tc>
        <w:tc>
          <w:tcPr>
            <w:tcW w:type="dxa" w:w="2880"/>
          </w:tcPr>
          <w:p>
            <w:r>
              <w:t>동적 임계치</w:t>
            </w:r>
          </w:p>
        </w:tc>
        <w:tc>
          <w:tcPr>
            <w:tcW w:type="dxa" w:w="2880"/>
          </w:tcPr>
          <w:p>
            <w:r>
              <w:t>시간대/요일/계절 패턴 자동 학습, 고정 임계치 대비 효과 비교</w:t>
            </w:r>
          </w:p>
        </w:tc>
      </w:tr>
      <w:tr>
        <w:tc>
          <w:tcPr>
            <w:tcW w:type="dxa" w:w="2880"/>
          </w:tcPr>
          <w:p>
            <w:r>
              <w:t>REQ-2-03</w:t>
            </w:r>
          </w:p>
        </w:tc>
        <w:tc>
          <w:tcPr>
            <w:tcW w:type="dxa" w:w="2880"/>
          </w:tcPr>
          <w:p>
            <w:r>
              <w:t>원인 분석(RCA)</w:t>
            </w:r>
          </w:p>
        </w:tc>
        <w:tc>
          <w:tcPr>
            <w:tcW w:type="dxa" w:w="2880"/>
          </w:tcPr>
          <w:p>
            <w:r>
              <w:t>병목 업무 자동 진단, 수동 분석 대비 자동화 범위 정의</w:t>
            </w:r>
          </w:p>
        </w:tc>
      </w:tr>
      <w:tr>
        <w:tc>
          <w:tcPr>
            <w:tcW w:type="dxa" w:w="2880"/>
          </w:tcPr>
          <w:p>
            <w:r>
              <w:t>REQ-2-04</w:t>
            </w:r>
          </w:p>
        </w:tc>
        <w:tc>
          <w:tcPr>
            <w:tcW w:type="dxa" w:w="2880"/>
          </w:tcPr>
          <w:p>
            <w:r>
              <w:t>LLM 인사이트 엔진</w:t>
            </w:r>
          </w:p>
        </w:tc>
        <w:tc>
          <w:tcPr>
            <w:tcW w:type="dxa" w:w="2880"/>
          </w:tcPr>
          <w:p>
            <w:r>
              <w:t>자연어 요약·인사이트 보고서 자동 생성, 모델 선정 및 프롬프트 엔지니어링</w:t>
            </w:r>
          </w:p>
        </w:tc>
      </w:tr>
      <w:tr>
        <w:tc>
          <w:tcPr>
            <w:tcW w:type="dxa" w:w="2880"/>
          </w:tcPr>
          <w:p>
            <w:r>
              <w:t>REQ-2-05</w:t>
            </w:r>
          </w:p>
        </w:tc>
        <w:tc>
          <w:tcPr>
            <w:tcW w:type="dxa" w:w="2880"/>
          </w:tcPr>
          <w:p>
            <w:r>
              <w:t>알림 모듈</w:t>
            </w:r>
          </w:p>
        </w:tc>
        <w:tc>
          <w:tcPr>
            <w:tcW w:type="dxa" w:w="2880"/>
          </w:tcPr>
          <w:p>
            <w:r>
              <w:t>임계치/예측 기반 알림, 독립 박스 패키징 및 인터페이스 표준화(타 시스템 재사용)</w:t>
            </w:r>
          </w:p>
        </w:tc>
      </w:tr>
      <w:tr>
        <w:tc>
          <w:tcPr>
            <w:tcW w:type="dxa" w:w="2880"/>
          </w:tcPr>
          <w:p>
            <w:r>
              <w:t>REQ-2-06</w:t>
            </w:r>
          </w:p>
        </w:tc>
        <w:tc>
          <w:tcPr>
            <w:tcW w:type="dxa" w:w="2880"/>
          </w:tcPr>
          <w:p>
            <w:r>
              <w:t>대응 추천</w:t>
            </w:r>
          </w:p>
        </w:tc>
        <w:tc>
          <w:tcPr>
            <w:tcW w:type="dxa" w:w="2880"/>
          </w:tcPr>
          <w:p>
            <w:r>
              <w:t>인력 재배치·업무 분배 최적화 추천</w:t>
            </w:r>
          </w:p>
        </w:tc>
      </w:tr>
      <w:tr>
        <w:tc>
          <w:tcPr>
            <w:tcW w:type="dxa" w:w="2880"/>
          </w:tcPr>
          <w:p>
            <w:r>
              <w:t>REQ-2-07</w:t>
            </w:r>
          </w:p>
        </w:tc>
        <w:tc>
          <w:tcPr>
            <w:tcW w:type="dxa" w:w="2880"/>
          </w:tcPr>
          <w:p>
            <w:r>
              <w:t>Agent 오케스트레이터</w:t>
            </w:r>
          </w:p>
        </w:tc>
        <w:tc>
          <w:tcPr>
            <w:tcW w:type="dxa" w:w="2880"/>
          </w:tcPr>
          <w:p>
            <w:r>
              <w:t>Workflow/Task Routing 기반 모듈 조율</w:t>
            </w:r>
          </w:p>
        </w:tc>
      </w:tr>
      <w:tr>
        <w:tc>
          <w:tcPr>
            <w:tcW w:type="dxa" w:w="2880"/>
          </w:tcPr>
          <w:p>
            <w:r>
              <w:t>REQ-2-08</w:t>
            </w:r>
          </w:p>
        </w:tc>
        <w:tc>
          <w:tcPr>
            <w:tcW w:type="dxa" w:w="2880"/>
          </w:tcPr>
          <w:p>
            <w:r>
              <w:t>통합 계층</w:t>
            </w:r>
          </w:p>
        </w:tc>
        <w:tc>
          <w:tcPr>
            <w:tcW w:type="dxa" w:w="2880"/>
          </w:tcPr>
          <w:p>
            <w:r>
              <w:t>REST API / Event Bus / Webhook 기반 EWACS 연동</w:t>
            </w:r>
          </w:p>
        </w:tc>
      </w:tr>
      <w:tr>
        <w:tc>
          <w:tcPr>
            <w:tcW w:type="dxa" w:w="2880"/>
          </w:tcPr>
          <w:p>
            <w:r>
              <w:t>REQ-2-09</w:t>
            </w:r>
          </w:p>
        </w:tc>
        <w:tc>
          <w:tcPr>
            <w:tcW w:type="dxa" w:w="2880"/>
          </w:tcPr>
          <w:p>
            <w:r>
              <w:t>출력 채널</w:t>
            </w:r>
          </w:p>
        </w:tc>
        <w:tc>
          <w:tcPr>
            <w:tcW w:type="dxa" w:w="2880"/>
          </w:tcPr>
          <w:p>
            <w:r>
              <w:t>EWACS Dashboard, Alert Notification, Insight Report, Admin Console</w:t>
            </w:r>
          </w:p>
        </w:tc>
      </w:tr>
    </w:tbl>
    <w:p>
      <w:pPr>
        <w:pStyle w:val="Heading1"/>
      </w:pPr>
      <w:r>
        <w:t>4. 비기능 요구사항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요구사항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성능</w:t>
            </w:r>
          </w:p>
        </w:tc>
        <w:tc>
          <w:tcPr>
            <w:tcW w:type="dxa" w:w="2880"/>
          </w:tcPr>
          <w:p>
            <w:r>
              <w:t>과제 1: 진단 단계에서 정의하는 최소 사양 충족(지연·처리량·GPU 효율). 과제 2: 통합 테스트에서 응답 시간·처리량·안정성 검증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보안</w:t>
            </w:r>
          </w:p>
        </w:tc>
        <w:tc>
          <w:tcPr>
            <w:tcW w:type="dxa" w:w="2880"/>
          </w:tcPr>
          <w:p>
            <w:r>
              <w:t>폐쇄망/온프레미스 운영, 외부 API 호출 없음, 익명화 데이터만 사용, 프롬프트·모델 가중치는 기밀 관리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운영</w:t>
            </w:r>
          </w:p>
        </w:tc>
        <w:tc>
          <w:tcPr>
            <w:tcW w:type="dxa" w:w="2880"/>
          </w:tcPr>
          <w:p>
            <w:r>
              <w:t>모니터링 체계, 장애 대응 절차, 운영 매뉴얼·교육 자료 제공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이식성</w:t>
            </w:r>
          </w:p>
        </w:tc>
        <w:tc>
          <w:tcPr>
            <w:tcW w:type="dxa" w:w="2880"/>
          </w:tcPr>
          <w:p>
            <w:r>
              <w:t>Docker/Kubernetes 기반 배포, GPU 노드 요구사항 명세, 해외 세관 e-PASS 배포 가능 수준</w:t>
            </w:r>
          </w:p>
        </w:tc>
      </w:tr>
      <w:tr>
        <w:tc>
          <w:tcPr>
            <w:tcW w:type="dxa" w:w="2880"/>
          </w:tcPr>
          <w:p>
            <w:r>
              <w:t>NFR-05</w:t>
            </w:r>
          </w:p>
        </w:tc>
        <w:tc>
          <w:tcPr>
            <w:tcW w:type="dxa" w:w="2880"/>
          </w:tcPr>
          <w:p>
            <w:r>
              <w:t>품질</w:t>
            </w:r>
          </w:p>
        </w:tc>
        <w:tc>
          <w:tcPr>
            <w:tcW w:type="dxa" w:w="2880"/>
          </w:tcPr>
          <w:p>
            <w:r>
              <w:t>오픈소스 라이선스 검토(상용 배포 시 위반 없음), 소스코드 Git 저장소 인도</w:t>
            </w:r>
          </w:p>
        </w:tc>
      </w:tr>
    </w:tbl>
    <w:p>
      <w:pPr>
        <w:pStyle w:val="Heading1"/>
      </w:pPr>
      <w:r>
        <w:t>5. 데이터 요구사항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요구사항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DAT-01</w:t>
            </w:r>
          </w:p>
        </w:tc>
        <w:tc>
          <w:tcPr>
            <w:tcW w:type="dxa" w:w="2880"/>
          </w:tcPr>
          <w:p>
            <w:r>
              <w:t>신고서 샘플</w:t>
            </w:r>
          </w:p>
        </w:tc>
        <w:tc>
          <w:tcPr>
            <w:tcW w:type="dxa" w:w="2880"/>
          </w:tcPr>
          <w:p>
            <w:r>
              <w:t>익명화된 신고서·첨부서류(Invoice, B/L, AWB, CO) 샘플 — CUPIA 제공</w:t>
            </w:r>
          </w:p>
        </w:tc>
      </w:tr>
      <w:tr>
        <w:tc>
          <w:tcPr>
            <w:tcW w:type="dxa" w:w="2880"/>
          </w:tcPr>
          <w:p>
            <w:r>
              <w:t>DAT-02</w:t>
            </w:r>
          </w:p>
        </w:tc>
        <w:tc>
          <w:tcPr>
            <w:tcW w:type="dxa" w:w="2880"/>
          </w:tcPr>
          <w:p>
            <w:r>
              <w:t>EWACS 데이터</w:t>
            </w:r>
          </w:p>
        </w:tc>
        <w:tc>
          <w:tcPr>
            <w:tcW w:type="dxa" w:w="2880"/>
          </w:tcPr>
          <w:p>
            <w:r>
              <w:t>EWACS DB, Customs Data, Work Metrics, HR/Schedule, External API — 파이프라인(ETL/Streaming/Feature Store) 구성</w:t>
            </w:r>
          </w:p>
        </w:tc>
      </w:tr>
      <w:tr>
        <w:tc>
          <w:tcPr>
            <w:tcW w:type="dxa" w:w="2880"/>
          </w:tcPr>
          <w:p>
            <w:r>
              <w:t>DAT-03</w:t>
            </w:r>
          </w:p>
        </w:tc>
        <w:tc>
          <w:tcPr>
            <w:tcW w:type="dxa" w:w="2880"/>
          </w:tcPr>
          <w:p>
            <w:r>
              <w:t>데이터 처리</w:t>
            </w:r>
          </w:p>
        </w:tc>
        <w:tc>
          <w:tcPr>
            <w:tcW w:type="dxa" w:w="2880"/>
          </w:tcPr>
          <w:p>
            <w:r>
              <w:t>원본 복원 시도 금지, 목적 외 사용 금지, 과업 종료 시 삭제 및 서면 확인</w:t>
            </w:r>
          </w:p>
        </w:tc>
      </w:tr>
    </w:tbl>
    <w:p>
      <w:pPr>
        <w:pStyle w:val="Heading1"/>
      </w:pPr>
      <w:r>
        <w:t>6. 범위 제외 사항</w:t>
      </w:r>
    </w:p>
    <w:p>
      <w:pPr>
        <w:pStyle w:val="ListBullet"/>
      </w:pPr>
      <w:r>
        <w:t>EWACS 기존 시스템의 하드웨어 교체 또는 인프라 확장</w:t>
      </w:r>
    </w:p>
    <w:p>
      <w:pPr>
        <w:pStyle w:val="ListBullet"/>
      </w:pPr>
      <w:r>
        <w:t>e-PASS 본체 시스템의 기능 변경 또는 개선</w:t>
      </w:r>
    </w:p>
    <w:p>
      <w:pPr>
        <w:pStyle w:val="ListBullet"/>
      </w:pPr>
      <w:r>
        <w:t>본 과업과 무관한 타 시스템과의 연동 개발</w:t>
      </w:r>
    </w:p>
    <w:p>
      <w:pPr>
        <w:pStyle w:val="ListBullet"/>
      </w:pPr>
      <w:r>
        <w:t>과제 1 안정화 기간(8~12월)의 유지보수 (별도 협의)</w:t>
      </w:r>
    </w:p>
    <w:p>
      <w:pPr>
        <w:pStyle w:val="Heading1"/>
      </w:pPr>
      <w:r>
        <w:t>7. 미결·협의 사항</w:t>
      </w:r>
    </w:p>
    <w:p>
      <w:pPr>
        <w:pStyle w:val="ListBullet"/>
      </w:pPr>
      <w:r>
        <w:t>연구 과제 vs 개발 과제 — 산출물 수준·완성도 기준</w:t>
      </w:r>
    </w:p>
    <w:p>
      <w:pPr>
        <w:pStyle w:val="ListBullet"/>
      </w:pPr>
      <w:r>
        <w:t>계약 형태(M/M 기반 vs 모듈별 정액) — CUPIA 예산 확인 후 확정</w:t>
      </w:r>
    </w:p>
    <w:p>
      <w:pPr>
        <w:pStyle w:val="ListBullet"/>
      </w:pPr>
      <w:r>
        <w:t>4월 착수 가능 여부, 데이터 제공 범위·익명화 수준</w:t>
      </w:r>
    </w:p>
    <w:p>
      <w:pPr>
        <w:pStyle w:val="ListBullet"/>
      </w:pPr>
      <w:r>
        <w:t>GPU 인프라(개발/테스트/운영) 확보 방안</w:t>
      </w:r>
    </w:p>
    <w:p>
      <w:pPr>
        <w:pStyle w:val="ListBullet"/>
      </w:pPr>
      <w:r>
        <w:t>OCR+vLLM 시스템 코드·프롬프트·모델 정보 공유 범위</w:t>
      </w:r>
    </w:p>
    <w:p>
      <w:pPr>
        <w:pStyle w:val="ListBullet"/>
      </w:pPr>
      <w:r>
        <w:t>EWACS 현행 문서 공유·접근 권한·담당자 지정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CUPIA AI 연구과제 2026 요구사항 정의서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