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2"/>
        </w:rPr>
        <w:t>CUPIA AI 연구 과제 2026</w:t>
      </w:r>
    </w:p>
    <w:p/>
    <w:p>
      <w:pPr>
        <w:jc w:val="center"/>
      </w:pPr>
      <w:r>
        <w:rPr>
          <w:b/>
          <w:sz w:val="44"/>
        </w:rPr>
        <w:t>수의계약 사유서 (안)</w:t>
      </w:r>
    </w:p>
    <w:p>
      <w:pPr>
        <w:spacing w:after="120"/>
        <w:jc w:val="center"/>
      </w:pPr>
      <w:r>
        <w:rPr>
          <w:b w:val="0"/>
          <w:sz w:val="22"/>
        </w:rPr>
        <w:t>계약관리 시행세칙 제33조 제1항 제1호 적용 검토</w:t>
      </w:r>
    </w:p>
    <w:p/>
    <w:tbl>
      <w:tblPr>
        <w:tblStyle w:val="TableGrid"/>
        <w:tblW w:type="auto" w:w="0"/>
        <w:tblLook w:firstColumn="1" w:firstRow="1" w:lastColumn="0" w:lastRow="0" w:noHBand="0" w:noVBand="1" w:val="04A0"/>
      </w:tblPr>
      <w:tblGrid>
        <w:gridCol w:w="4320"/>
        <w:gridCol w:w="4320"/>
      </w:tblGrid>
      <w:tr>
        <w:tc>
          <w:tcPr>
            <w:tcW w:type="dxa" w:w="1984"/>
            <w:shd w:fill="EEF2F6" w:val="clear"/>
          </w:tcPr>
          <w:p>
            <w:r>
              <w:rPr>
                <w:b/>
                <w:sz w:val="18"/>
              </w:rPr>
              <w:t>항목</w:t>
            </w:r>
          </w:p>
        </w:tc>
        <w:tc>
          <w:tcPr>
            <w:tcW w:type="dxa" w:w="7087"/>
            <w:shd w:fill="EEF2F6" w:val="clear"/>
          </w:tcPr>
          <w:p>
            <w:r>
              <w:rPr>
                <w:b/>
                <w:sz w:val="18"/>
              </w:rPr>
              <w:t>내용</w:t>
            </w:r>
          </w:p>
        </w:tc>
      </w:tr>
      <w:tr>
        <w:tc>
          <w:tcPr>
            <w:tcW w:type="dxa" w:w="1984"/>
          </w:tcPr>
          <w:p>
            <w:r>
              <w:rPr>
                <w:sz w:val="18"/>
              </w:rPr>
              <w:t>계약 건명</w:t>
            </w:r>
          </w:p>
        </w:tc>
        <w:tc>
          <w:tcPr>
            <w:tcW w:type="dxa" w:w="7087"/>
          </w:tcPr>
          <w:p>
            <w:r>
              <w:rPr>
                <w:sz w:val="18"/>
              </w:rPr>
              <w:t>CUPIA AI 연구 과제 2026 (e-PASS AI 모델 상품화 및 EWACS 복합 AI Agent 구축) 용역</w:t>
            </w:r>
          </w:p>
        </w:tc>
      </w:tr>
      <w:tr>
        <w:tc>
          <w:tcPr>
            <w:tcW w:type="dxa" w:w="1984"/>
          </w:tcPr>
          <w:p>
            <w:r>
              <w:rPr>
                <w:sz w:val="18"/>
              </w:rPr>
              <w:t>계약 상대자(안)</w:t>
            </w:r>
          </w:p>
        </w:tc>
        <w:tc>
          <w:tcPr>
            <w:tcW w:type="dxa" w:w="7087"/>
          </w:tcPr>
          <w:p>
            <w:r>
              <w:rPr>
                <w:sz w:val="18"/>
              </w:rPr>
              <w:t>(주)씨커스 (Seekers Inc.)</w:t>
            </w:r>
          </w:p>
        </w:tc>
      </w:tr>
      <w:tr>
        <w:tc>
          <w:tcPr>
            <w:tcW w:type="dxa" w:w="1984"/>
          </w:tcPr>
          <w:p>
            <w:r>
              <w:rPr>
                <w:sz w:val="18"/>
              </w:rPr>
              <w:t>적용 근거</w:t>
            </w:r>
          </w:p>
        </w:tc>
        <w:tc>
          <w:tcPr>
            <w:tcW w:type="dxa" w:w="7087"/>
          </w:tcPr>
          <w:p>
            <w:r>
              <w:rPr>
                <w:sz w:val="18"/>
              </w:rPr>
              <w:t>재단 「계약관리 시행세칙」 제33조 제1항 제1호 (특정인의 기술용역으로 인한 경쟁 불허)</w:t>
            </w:r>
          </w:p>
        </w:tc>
      </w:tr>
      <w:tr>
        <w:tc>
          <w:tcPr>
            <w:tcW w:type="dxa" w:w="1984"/>
          </w:tcPr>
          <w:p>
            <w:r>
              <w:rPr>
                <w:sz w:val="18"/>
              </w:rPr>
              <w:t>버전</w:t>
            </w:r>
          </w:p>
        </w:tc>
        <w:tc>
          <w:tcPr>
            <w:tcW w:type="dxa" w:w="7087"/>
          </w:tcPr>
          <w:p>
            <w:r>
              <w:rPr>
                <w:sz w:val="18"/>
              </w:rPr>
              <w:t>초안 v0.1 (2026-07-30)</w:t>
            </w:r>
          </w:p>
        </w:tc>
      </w:tr>
      <w:tr>
        <w:tc>
          <w:tcPr>
            <w:tcW w:type="dxa" w:w="1984"/>
          </w:tcPr>
          <w:p>
            <w:r>
              <w:rPr>
                <w:sz w:val="18"/>
              </w:rPr>
              <w:t>문서 성격</w:t>
            </w:r>
          </w:p>
        </w:tc>
        <w:tc>
          <w:tcPr>
            <w:tcW w:type="dxa" w:w="7087"/>
          </w:tcPr>
          <w:p>
            <w:r>
              <w:rPr>
                <w:sz w:val="18"/>
              </w:rPr>
              <w:t>재단 계약담당부서 검토용 초안 — 수행업체 작성분이며, 최종 사유서는 재단 명의로 확정</w:t>
            </w:r>
          </w:p>
        </w:tc>
      </w:tr>
      <w:tr>
        <w:tc>
          <w:tcPr>
            <w:tcW w:type="dxa" w:w="1984"/>
          </w:tcPr>
          <w:p>
            <w:r>
              <w:rPr>
                <w:sz w:val="18"/>
              </w:rPr>
              <w:t>관련 문서</w:t>
            </w:r>
          </w:p>
        </w:tc>
        <w:tc>
          <w:tcPr>
            <w:tcW w:type="dxa" w:w="7087"/>
          </w:tcPr>
          <w:p>
            <w:r>
              <w:rPr>
                <w:sz w:val="18"/>
              </w:rPr>
              <w:t>CUPIA-AI-2026-SOW-001 과업지시서 v3, AI기술내재화 PoC 결과 보고(2026-01), 계약 가이드라인 v0.1</w:t>
            </w:r>
          </w:p>
        </w:tc>
      </w:tr>
    </w:tbl>
    <w:p>
      <w:pPr>
        <w:spacing w:after="40"/>
      </w:pPr>
    </w:p>
    <w:p>
      <w:r>
        <w:br w:type="page"/>
      </w:r>
    </w:p>
    <w:p>
      <w:pPr>
        <w:pStyle w:val="Heading1"/>
      </w:pPr>
      <w:r>
        <w:t>1. 개요</w:t>
      </w:r>
    </w:p>
    <w:p>
      <w:pPr>
        <w:spacing w:after="120"/>
      </w:pPr>
      <w:r>
        <w:rPr>
          <w:b w:val="0"/>
        </w:rPr>
        <w:t>본 문서는 CUPIA AI 연구 과제 2026 용역 계약을 일반경쟁입찰에 의하지 아니하고 (주)씨커스와의 수의계약으로 체결하고자 하는 사유를 재단 「계약관리 시행세칙」(이하 세칙)의 기준에 따라 정리한 것이다. 세칙 제3조는 일반경쟁을 원칙으로 하되 특히 필요하다고 인정할 때 수의계약을 허용하며, 제33조 제1항 제1호는 "계약의 성질 또는 목적에 의하여 특정인의 기술용역 … 으로 인하여 경쟁을 불허하거나 현저하게 유리한 가격으로 계약할 수 있는 경우"를 수의계약 사유로 규정한다.</w:t>
      </w:r>
    </w:p>
    <w:p>
      <w:pPr>
        <w:spacing w:after="120"/>
      </w:pPr>
      <w:r>
        <w:rPr>
          <w:b w:val="0"/>
        </w:rPr>
        <w:t>본 건은 제1호의 두 요건, 즉 경쟁을 불허하는 특정인의 기술용역에 해당한다는 점(3장)과 수의계약이 현저하게 유리한 가격 조건을 형성한다는 점(4장)을 모두 충족하는 것으로 판단되며, 그 근거를 이하에서 상술한다.</w:t>
      </w:r>
    </w:p>
    <w:p>
      <w:pPr>
        <w:pStyle w:val="Heading1"/>
      </w:pPr>
      <w:r>
        <w:t>2. 세칙 제33조 제1항 각 호 해당 여부 검토</w:t>
      </w:r>
    </w:p>
    <w:tbl>
      <w:tblPr>
        <w:tblStyle w:val="TableGrid"/>
        <w:tblW w:type="auto" w:w="0"/>
        <w:tblLook w:firstColumn="1" w:firstRow="1" w:lastColumn="0" w:lastRow="0" w:noHBand="0" w:noVBand="1" w:val="04A0"/>
      </w:tblPr>
      <w:tblGrid>
        <w:gridCol w:w="2160"/>
        <w:gridCol w:w="2160"/>
        <w:gridCol w:w="2160"/>
        <w:gridCol w:w="2160"/>
      </w:tblGrid>
      <w:tr>
        <w:tc>
          <w:tcPr>
            <w:tcW w:type="dxa" w:w="794"/>
            <w:shd w:fill="EEF2F6" w:val="clear"/>
          </w:tcPr>
          <w:p>
            <w:r>
              <w:rPr>
                <w:b/>
                <w:sz w:val="18"/>
              </w:rPr>
              <w:t>호</w:t>
            </w:r>
          </w:p>
        </w:tc>
        <w:tc>
          <w:tcPr>
            <w:tcW w:type="dxa" w:w="2948"/>
            <w:shd w:fill="EEF2F6" w:val="clear"/>
          </w:tcPr>
          <w:p>
            <w:r>
              <w:rPr>
                <w:b/>
                <w:sz w:val="18"/>
              </w:rPr>
              <w:t>요건</w:t>
            </w:r>
          </w:p>
        </w:tc>
        <w:tc>
          <w:tcPr>
            <w:tcW w:type="dxa" w:w="1247"/>
            <w:shd w:fill="EEF2F6" w:val="clear"/>
          </w:tcPr>
          <w:p>
            <w:r>
              <w:rPr>
                <w:b/>
                <w:sz w:val="18"/>
              </w:rPr>
              <w:t>해당 여부</w:t>
            </w:r>
          </w:p>
        </w:tc>
        <w:tc>
          <w:tcPr>
            <w:tcW w:type="dxa" w:w="4309"/>
            <w:shd w:fill="EEF2F6" w:val="clear"/>
          </w:tcPr>
          <w:p>
            <w:r>
              <w:rPr>
                <w:b/>
                <w:sz w:val="18"/>
              </w:rPr>
              <w:t>판단</w:t>
            </w:r>
          </w:p>
        </w:tc>
      </w:tr>
      <w:tr>
        <w:tc>
          <w:tcPr>
            <w:tcW w:type="dxa" w:w="794"/>
          </w:tcPr>
          <w:p>
            <w:r>
              <w:rPr>
                <w:sz w:val="18"/>
              </w:rPr>
              <w:t>1호</w:t>
            </w:r>
          </w:p>
        </w:tc>
        <w:tc>
          <w:tcPr>
            <w:tcW w:type="dxa" w:w="2948"/>
          </w:tcPr>
          <w:p>
            <w:r>
              <w:rPr>
                <w:sz w:val="18"/>
              </w:rPr>
              <w:t>특정인의 기술용역으로 인한 경쟁 불허 또는 현저히 유리한 가격</w:t>
            </w:r>
          </w:p>
        </w:tc>
        <w:tc>
          <w:tcPr>
            <w:tcW w:type="dxa" w:w="1247"/>
          </w:tcPr>
          <w:p>
            <w:r>
              <w:rPr>
                <w:sz w:val="18"/>
              </w:rPr>
              <w:t>해당</w:t>
            </w:r>
          </w:p>
        </w:tc>
        <w:tc>
          <w:tcPr>
            <w:tcW w:type="dxa" w:w="4309"/>
          </w:tcPr>
          <w:p>
            <w:r>
              <w:rPr>
                <w:sz w:val="18"/>
              </w:rPr>
              <w:t>본 사유서의 적용 근거 — 3장·4장에서 상술</w:t>
            </w:r>
          </w:p>
        </w:tc>
      </w:tr>
      <w:tr>
        <w:tc>
          <w:tcPr>
            <w:tcW w:type="dxa" w:w="794"/>
          </w:tcPr>
          <w:p>
            <w:r>
              <w:rPr>
                <w:sz w:val="18"/>
              </w:rPr>
              <w:t>2호</w:t>
            </w:r>
          </w:p>
        </w:tc>
        <w:tc>
          <w:tcPr>
            <w:tcW w:type="dxa" w:w="2948"/>
          </w:tcPr>
          <w:p>
            <w:r>
              <w:rPr>
                <w:sz w:val="18"/>
              </w:rPr>
              <w:t>급박하여 경쟁에 부할 여유가 없는 경우</w:t>
            </w:r>
          </w:p>
        </w:tc>
        <w:tc>
          <w:tcPr>
            <w:tcW w:type="dxa" w:w="1247"/>
          </w:tcPr>
          <w:p>
            <w:r>
              <w:rPr>
                <w:sz w:val="18"/>
              </w:rPr>
              <w:t>보조적</w:t>
            </w:r>
          </w:p>
        </w:tc>
        <w:tc>
          <w:tcPr>
            <w:tcW w:type="dxa" w:w="4309"/>
          </w:tcPr>
          <w:p>
            <w:r>
              <w:rPr>
                <w:sz w:val="18"/>
              </w:rPr>
              <w:t>과제 1의 v1 런칭 마일스톤 등 일정 제약이 있으나 주된 사유로는 원용하지 않음 (5.4 참조)</w:t>
            </w:r>
          </w:p>
        </w:tc>
      </w:tr>
      <w:tr>
        <w:tc>
          <w:tcPr>
            <w:tcW w:type="dxa" w:w="794"/>
          </w:tcPr>
          <w:p>
            <w:r>
              <w:rPr>
                <w:sz w:val="18"/>
              </w:rPr>
              <w:t>3호</w:t>
            </w:r>
          </w:p>
        </w:tc>
        <w:tc>
          <w:tcPr>
            <w:tcW w:type="dxa" w:w="2948"/>
          </w:tcPr>
          <w:p>
            <w:r>
              <w:rPr>
                <w:sz w:val="18"/>
              </w:rPr>
              <w:t>예정가격 5천만원 이하의 공사·제조</w:t>
            </w:r>
          </w:p>
        </w:tc>
        <w:tc>
          <w:tcPr>
            <w:tcW w:type="dxa" w:w="1247"/>
          </w:tcPr>
          <w:p>
            <w:r>
              <w:rPr>
                <w:sz w:val="18"/>
              </w:rPr>
              <w:t>비해당</w:t>
            </w:r>
          </w:p>
        </w:tc>
        <w:tc>
          <w:tcPr>
            <w:tcW w:type="dxa" w:w="4309"/>
          </w:tcPr>
          <w:p>
            <w:r>
              <w:rPr>
                <w:sz w:val="18"/>
              </w:rPr>
              <w:t>본 건은 공사·제조가 아닌 용역</w:t>
            </w:r>
          </w:p>
        </w:tc>
      </w:tr>
      <w:tr>
        <w:tc>
          <w:tcPr>
            <w:tcW w:type="dxa" w:w="794"/>
          </w:tcPr>
          <w:p>
            <w:r>
              <w:rPr>
                <w:sz w:val="18"/>
              </w:rPr>
              <w:t>5호</w:t>
            </w:r>
          </w:p>
        </w:tc>
        <w:tc>
          <w:tcPr>
            <w:tcW w:type="dxa" w:w="2948"/>
          </w:tcPr>
          <w:p>
            <w:r>
              <w:rPr>
                <w:sz w:val="18"/>
              </w:rPr>
              <w:t>예정가격 3천만원 이하의 물품 구매·용역</w:t>
            </w:r>
          </w:p>
        </w:tc>
        <w:tc>
          <w:tcPr>
            <w:tcW w:type="dxa" w:w="1247"/>
          </w:tcPr>
          <w:p>
            <w:r>
              <w:rPr>
                <w:sz w:val="18"/>
              </w:rPr>
              <w:t>비해당</w:t>
            </w:r>
          </w:p>
        </w:tc>
        <w:tc>
          <w:tcPr>
            <w:tcW w:type="dxa" w:w="4309"/>
          </w:tcPr>
          <w:p>
            <w:r>
              <w:rPr>
                <w:sz w:val="18"/>
              </w:rPr>
              <w:t>총 31 M/M 규모의 과업 특성상 예정가격이 기준 금액을 초과할 것으로 예상</w:t>
            </w:r>
          </w:p>
        </w:tc>
      </w:tr>
      <w:tr>
        <w:tc>
          <w:tcPr>
            <w:tcW w:type="dxa" w:w="794"/>
          </w:tcPr>
          <w:p>
            <w:r>
              <w:rPr>
                <w:sz w:val="18"/>
              </w:rPr>
              <w:t>6호</w:t>
            </w:r>
          </w:p>
        </w:tc>
        <w:tc>
          <w:tcPr>
            <w:tcW w:type="dxa" w:w="2948"/>
          </w:tcPr>
          <w:p>
            <w:r>
              <w:rPr>
                <w:sz w:val="18"/>
              </w:rPr>
              <w:t>협력업체 선정·평가 지침에 의한 용역 도급</w:t>
            </w:r>
          </w:p>
        </w:tc>
        <w:tc>
          <w:tcPr>
            <w:tcW w:type="dxa" w:w="1247"/>
          </w:tcPr>
          <w:p>
            <w:r>
              <w:rPr>
                <w:sz w:val="18"/>
              </w:rPr>
              <w:t>확인 필요</w:t>
            </w:r>
          </w:p>
        </w:tc>
        <w:tc>
          <w:tcPr>
            <w:tcW w:type="dxa" w:w="4309"/>
          </w:tcPr>
          <w:p>
            <w:r>
              <w:rPr>
                <w:sz w:val="18"/>
              </w:rPr>
              <w:t>재단의 협력업체 지침 적용 대상 여부는 계약담당부서 확인 사항 — 해당 시 병렬 근거로 원용 가능</w:t>
            </w:r>
          </w:p>
        </w:tc>
      </w:tr>
      <w:tr>
        <w:tc>
          <w:tcPr>
            <w:tcW w:type="dxa" w:w="794"/>
          </w:tcPr>
          <w:p>
            <w:r>
              <w:rPr>
                <w:sz w:val="18"/>
              </w:rPr>
              <w:t>9호</w:t>
            </w:r>
          </w:p>
        </w:tc>
        <w:tc>
          <w:tcPr>
            <w:tcW w:type="dxa" w:w="2948"/>
          </w:tcPr>
          <w:p>
            <w:r>
              <w:rPr>
                <w:sz w:val="18"/>
              </w:rPr>
              <w:t>전문기술인력 용역계약(프리랜서)</w:t>
            </w:r>
          </w:p>
        </w:tc>
        <w:tc>
          <w:tcPr>
            <w:tcW w:type="dxa" w:w="1247"/>
          </w:tcPr>
          <w:p>
            <w:r>
              <w:rPr>
                <w:sz w:val="18"/>
              </w:rPr>
              <w:t>비해당</w:t>
            </w:r>
          </w:p>
        </w:tc>
        <w:tc>
          <w:tcPr>
            <w:tcW w:type="dxa" w:w="4309"/>
          </w:tcPr>
          <w:p>
            <w:r>
              <w:rPr>
                <w:sz w:val="18"/>
              </w:rPr>
              <w:t>본 건은 개인 프리랜서가 아닌 법인 대상 도급 용역</w:t>
            </w:r>
          </w:p>
        </w:tc>
      </w:tr>
    </w:tbl>
    <w:p>
      <w:pPr>
        <w:spacing w:after="40"/>
      </w:pPr>
    </w:p>
    <w:p>
      <w:pPr>
        <w:pStyle w:val="Heading1"/>
      </w:pPr>
      <w:r>
        <w:t>3. 경쟁을 불허하는 특정인의 기술용역에 해당하는 사유</w:t>
      </w:r>
    </w:p>
    <w:p>
      <w:pPr>
        <w:pStyle w:val="Heading2"/>
      </w:pPr>
      <w:r>
        <w:t>3.1 과업의 성질 — 공동 연구 과제로서 경쟁 조달과 부정합</w:t>
      </w:r>
    </w:p>
    <w:p>
      <w:pPr>
        <w:spacing w:after="120"/>
      </w:pPr>
      <w:r>
        <w:rPr>
          <w:b w:val="0"/>
        </w:rPr>
        <w:t>과업지시서(SOW) 1장은 본 과업의 성격을 "연구 과제 (공동 연구)"로 규정하고, 12조는 산출물의 지적재산권을 발주자와 수행업체가 공동 소유하도록 정하고 있다. 즉 본 건은 완성된 규격의 재화·용역을 조달하는 계약이 아니라, 양측이 기술과 자산을 상호 제공하며 성과를 공동 보유하는 연구 파트너십 계약이다. 이러한 계약은 상대방이 보유한 고유 기술이 계약 목적의 일부를 구성하므로, 가격 경쟁으로 상대방을 선정하는 방식과 구조적으로 맞지 않는다.</w:t>
      </w:r>
    </w:p>
    <w:p>
      <w:pPr>
        <w:spacing w:after="120"/>
      </w:pPr>
      <w:r>
        <w:rPr>
          <w:b w:val="0"/>
        </w:rPr>
        <w:t>또한 SOW 14조는 연구 과정의 기술적 불확실성을 감안한 유연한 대응을 명시하고 있다. 경쟁입찰은 사전에 확정된 과업 규격과 평가 기준을 전제로 하는데, 본 과업은 서비스 수준 진단(과제 1의 4월 단계)을 거쳐야 목표 사양 자체가 정의되는 구조여서, 입찰 시점에 비교 가능한 규격을 확정하기 어렵다.</w:t>
      </w:r>
    </w:p>
    <w:p>
      <w:pPr>
        <w:pStyle w:val="Heading2"/>
      </w:pPr>
      <w:r>
        <w:t>3.2 과제 2 — 수행업체 고유 기술이 과업 목적 자체를 구성</w:t>
      </w:r>
    </w:p>
    <w:p>
      <w:pPr>
        <w:spacing w:after="120"/>
      </w:pPr>
      <w:r>
        <w:rPr>
          <w:b w:val="0"/>
        </w:rPr>
        <w:t>SOW 2.1은 "수행업체인 씨커스는 AI Agent 기술에 전문성을 보유하고 있으며, 이를 EWACS에 접목하여 … 지능형 모니터링 체계로 전환하는 것을 본 과업의 핵심 목표로 한다"고 기술하고, 2.2 역시 "씨커스의 AI Agent 기술력을 활용하여" EWACS를 전환한다고 명시한다. 즉 과제 2(전체 31 M/M 중 22 M/M로 과업의 중심)는 불특정 업체가 수행할 일반 개발 용역이 아니라, 특정 업체가 보유한 AI Agent 기술을 재단 시스템에 이전·접목하는 것이 목적 그 자체인 과업이다. 과업의 목적에 특정인의 기술이 포함되어 있는 이상, 다른 업체로는 동일한 계약 목적을 달성할 수 없다.</w:t>
      </w:r>
    </w:p>
    <w:p>
      <w:pPr>
        <w:spacing w:after="120"/>
      </w:pPr>
      <w:r>
        <w:rPr>
          <w:b w:val="0"/>
        </w:rPr>
        <w:t>기술 내용 면에서도 과제 2는 예측 엔진, 동적 임계치 학습, 자동 원인 분석, LLM 인사이트, 대응 추천의 다섯 개 지능 모듈을 Agent Orchestrator로 통합 운영하는 복합 AI Agent 구축을 요구한다. 단일 모델 개발이 아닌 복수 모듈의 오케스트레이션 설계 역량이 필요한 특수 기술 분야로, 세칙 제33조 제1항 제1호의 "특정인의 기술용역"에 해당한다.</w:t>
      </w:r>
    </w:p>
    <w:p>
      <w:pPr>
        <w:pStyle w:val="Heading2"/>
      </w:pPr>
      <w:r>
        <w:t>3.3 과제 1 — 대상 시스템에 대한 사전 기술 이해와 특수 기술 스택</w:t>
      </w:r>
    </w:p>
    <w:p>
      <w:pPr>
        <w:spacing w:after="120"/>
      </w:pPr>
      <w:r>
        <w:rPr>
          <w:b w:val="0"/>
        </w:rPr>
        <w:t>과제 1의 대상인 OCR+vLLM 신고서 검증 시스템(RAG Codex)은 재단이 내부 PoC로 개발한 미공개 시스템으로, 외부에 일반적으로 알려진 제품이 아니다. 수행업체는 본 과제의 제안 과정에서 재단의 PoC 결과 보고와 시스템 자료를 검토하여 현행 시스템의 구조(OCR 앙상블, 좌표 임베딩, Two-Track RAG, vLLM 서빙 구성)와 한계(vLLM 의존도와 속도·정확도 트레이드오프)에 대한 이해를 이미 확보한 상태다. 타 업체가 수행할 경우 이 이해를 처음부터 다시 형성해야 하며, 이는 4개월(4~7월)로 계획된 과제 1의 기간 내 완수를 어렵게 한다.</w:t>
      </w:r>
    </w:p>
    <w:p>
      <w:pPr>
        <w:spacing w:after="120"/>
      </w:pPr>
      <w:r>
        <w:rPr>
          <w:b w:val="0"/>
        </w:rPr>
        <w:t>기술 환경 면에서도 과제 1은 외부 API를 일절 사용할 수 없는 폐쇄망 온프레미스 환경에서 오픈소스 LLM(gpt-oss-120b)의 서빙 최적화(양자화, Continuous Batching, KV Cache, 멀티 GPU 분산 추론)와 Docker/Kubernetes 패키징을 요구한다. 상용 API 기반 개발과는 구별되는 특수 역량으로, 수행 가능 업체의 범위가 좁다.</w:t>
      </w:r>
    </w:p>
    <w:p>
      <w:pPr>
        <w:pStyle w:val="Heading2"/>
      </w:pPr>
      <w:r>
        <w:t>3.4 보안 — 접근 업체 최소화의 필요</w:t>
      </w:r>
    </w:p>
    <w:p>
      <w:pPr>
        <w:spacing w:after="120"/>
      </w:pPr>
      <w:r>
        <w:rPr>
          <w:b w:val="0"/>
        </w:rPr>
        <w:t>본 과업은 통관 신고서 데이터(익명화 처리분 포함), 재단의 vLLM 프롬프트·모델 자산(SOW 11조에서 기밀 정보로 분류), EWACS 내부 시스템 정보에 대한 접근을 수반한다. 경쟁입찰을 진행하려면 입찰 참가자들에게 제안 작성에 필요한 수준의 시스템 정보를 공개해야 하는데, 이는 기밀 자산의 노출 범위를 넓힌다. 계약 목적 달성이 가능한 단일 업체와 수의계약을 체결하는 것이 정보 노출 면적을 최소화하는 방법이며, SOW 11조의 보안·비밀유지 체계(서약서, 3년 유지 의무, 데이터 삭제 확인)와도 부합한다.</w:t>
      </w:r>
    </w:p>
    <w:p>
      <w:pPr>
        <w:pStyle w:val="Heading1"/>
      </w:pPr>
      <w:r>
        <w:t>4. 현저하게 유리한 가격으로 계약할 수 있는 사유</w:t>
      </w:r>
    </w:p>
    <w:p>
      <w:pPr>
        <w:spacing w:after="120"/>
      </w:pPr>
      <w:r>
        <w:rPr>
          <w:b w:val="0"/>
        </w:rPr>
        <w:t>제1호 후단의 요건과 관련하여, 본 수의계약은 다음 세 가지 경로로 재단에 경제적으로 유리한 조건을 형성한다.</w:t>
      </w:r>
    </w:p>
    <w:p>
      <w:pPr>
        <w:spacing w:after="120"/>
      </w:pPr>
      <w:r>
        <w:rPr>
          <w:b w:val="0"/>
        </w:rPr>
        <w:t>첫째, 수행업체는 대상 시스템에 대한 사전 이해를 보유하고 있어 착수 시 시스템 분석·학습에 투입될 기간이 단축된다. 동일 산출물을 기준으로 하면 신규 업체 대비 낮은 총 투입공수(M/M)로 수행이 가능하며, 이는 원가계산 방식의 예정가격(세칙 제24조 제2항 제2호)에서 노무비 절감으로 직접 반영된다.</w:t>
      </w:r>
    </w:p>
    <w:p>
      <w:pPr>
        <w:spacing w:after="120"/>
      </w:pPr>
      <w:r>
        <w:rPr>
          <w:b w:val="0"/>
        </w:rPr>
        <w:t>둘째, 지적재산권 구조가 재단에 유리하다. SOW 12조에 따라 수행업체는 산출물의 공동 소유를 수용하고, 과업 수행 전부터 보유한 기존 기술에 대해서도 재단에 사용 라이선스를 부여한다. 통상의 용역 계약에서 수행업체 보유 기술의 라이선스는 별도 대가를 수반하는 항목이므로, 이를 포함한 계약 조건은 명목 금액 이상의 경제적 가치를 가진다.</w:t>
      </w:r>
    </w:p>
    <w:p>
      <w:pPr>
        <w:spacing w:after="120"/>
      </w:pPr>
      <w:r>
        <w:rPr>
          <w:b w:val="0"/>
        </w:rPr>
        <w:t>셋째, 과제 1과 과제 2를 단일 업체가 수행함으로써 공통 관리 비용(PM, 보고 체계, 보안 심사, 인프라 협의)이 한 번만 발생한다. 두 과제를 분리 발주할 경우 각각의 관리 공수와 업체 간 조정 비용이 추가된다.</w:t>
      </w:r>
    </w:p>
    <w:p>
      <w:pPr>
        <w:spacing w:after="120"/>
      </w:pPr>
      <w:r>
        <w:rPr>
          <w:b w:val="0"/>
        </w:rPr>
        <w:t>다만 "현저하게 유리한 가격"의 최종 판단은 재단이 작성하는 예정가격 조서와 수행업체 견적의 비교로 확정되므로, 본 장의 논리는 예정가격 조서 작성 시의 참고 사유로 제시한다.</w:t>
      </w:r>
    </w:p>
    <w:p>
      <w:pPr>
        <w:pStyle w:val="Heading1"/>
      </w:pPr>
      <w:r>
        <w:t>5. 대안(경쟁 방식) 검토 결과</w:t>
      </w:r>
    </w:p>
    <w:p>
      <w:pPr>
        <w:pStyle w:val="Heading2"/>
      </w:pPr>
      <w:r>
        <w:t>5.1 일반경쟁입찰 (세칙 제2장)</w:t>
      </w:r>
    </w:p>
    <w:p>
      <w:pPr>
        <w:spacing w:after="120"/>
      </w:pPr>
      <w:r>
        <w:rPr>
          <w:b w:val="0"/>
        </w:rPr>
        <w:t>일반경쟁은 예정가격 한도 내 최저가 입찰자를 낙찰자로 하는 방식이다(제27조 제1항). 연구 과제의 품질은 가격으로 평가되지 않으며, 기술평가를 병행하더라도 3.1에서 본 바와 같이 입찰 시점에 비교 평가 가능한 과업 규격을 확정할 수 없다. 또한 과업 목적에 특정 업체의 기술 접목이 명시된 상태에서 형식적 경쟁을 진행하는 것은 다른 참가자에게 실질적 낙찰 가능성이 없는 절차를 강요하는 결과가 된다.</w:t>
      </w:r>
    </w:p>
    <w:p>
      <w:pPr>
        <w:pStyle w:val="Heading2"/>
      </w:pPr>
      <w:r>
        <w:t>5.2 지명경쟁입찰 (세칙 제3장)</w:t>
      </w:r>
    </w:p>
    <w:p>
      <w:pPr>
        <w:spacing w:after="120"/>
      </w:pPr>
      <w:r>
        <w:rPr>
          <w:b w:val="0"/>
        </w:rPr>
        <w:t>지명경쟁은 3인 이상의 입찰자 지명을 요건으로 한다(제31조). 본 과업의 요건(복합 AI Agent 오케스트레이션 전문성, 폐쇄망 온프레미스 vLLM 서빙 경험, 통관 도메인과 대상 시스템에 대한 이해)을 동시에 충족하는 지명 대상 3인을 확보하기 어렵고, 지명 가능하더라도 5.1과 동일하게 과업 목적과의 부정합 문제가 남는다.</w:t>
      </w:r>
    </w:p>
    <w:p>
      <w:pPr>
        <w:pStyle w:val="Heading2"/>
      </w:pPr>
      <w:r>
        <w:t>5.3 과제 분리 발주</w:t>
      </w:r>
    </w:p>
    <w:p>
      <w:pPr>
        <w:spacing w:after="120"/>
      </w:pPr>
      <w:r>
        <w:rPr>
          <w:b w:val="0"/>
        </w:rPr>
        <w:t>과제 1만 분리하여 경쟁 발주하는 방안은 이론상 가능하나, 과제 1 역시 미공개 내부 시스템의 고도화라는 성격상 사전 정보 공유 없이는 제안이 불가능하고(3.3, 3.4), 두 과제의 인력·일정이 상호 연동된 SOW 구조(공통 PM, 4월 동시 착수)를 해체하는 비용이 발생한다(4장 셋째 논거의 역방향).</w:t>
      </w:r>
    </w:p>
    <w:p>
      <w:pPr>
        <w:pStyle w:val="Heading2"/>
      </w:pPr>
      <w:r>
        <w:t>5.4 일정 제약 (보조 사유)</w:t>
      </w:r>
    </w:p>
    <w:p>
      <w:pPr>
        <w:spacing w:after="120"/>
      </w:pPr>
      <w:r>
        <w:rPr>
          <w:b w:val="0"/>
        </w:rPr>
        <w:t>과제 1은 7월 v1 런칭, 과제 2는 12월 운영 전환이라는 고정 마일스톤을 가진다. 일반경쟁 절차(공고 7일, 참가 신청·평가·계약 체결)와 신규 업체의 시스템 학습 기간을 감안하면 경쟁 방식으로는 계획된 일정 준수가 곤란하다. 이는 제2호(급박)의 독립 사유로 원용하기보다, 제1호 판단을 보강하는 정황으로 제시한다.</w:t>
      </w:r>
    </w:p>
    <w:p>
      <w:pPr>
        <w:pStyle w:val="Heading1"/>
      </w:pPr>
      <w:r>
        <w:t>6. 수의계약 절차 요건 이행 계획</w:t>
      </w:r>
    </w:p>
    <w:tbl>
      <w:tblPr>
        <w:tblStyle w:val="TableGrid"/>
        <w:tblW w:type="auto" w:w="0"/>
        <w:tblLook w:firstColumn="1" w:firstRow="1" w:lastColumn="0" w:lastRow="0" w:noHBand="0" w:noVBand="1" w:val="04A0"/>
      </w:tblPr>
      <w:tblGrid>
        <w:gridCol w:w="2880"/>
        <w:gridCol w:w="2880"/>
        <w:gridCol w:w="2880"/>
      </w:tblGrid>
      <w:tr>
        <w:tc>
          <w:tcPr>
            <w:tcW w:type="dxa" w:w="1701"/>
            <w:shd w:fill="EEF2F6" w:val="clear"/>
          </w:tcPr>
          <w:p>
            <w:r>
              <w:rPr>
                <w:b/>
                <w:sz w:val="18"/>
              </w:rPr>
              <w:t>요건</w:t>
            </w:r>
          </w:p>
        </w:tc>
        <w:tc>
          <w:tcPr>
            <w:tcW w:type="dxa" w:w="2608"/>
            <w:shd w:fill="EEF2F6" w:val="clear"/>
          </w:tcPr>
          <w:p>
            <w:r>
              <w:rPr>
                <w:b/>
                <w:sz w:val="18"/>
              </w:rPr>
              <w:t>근거</w:t>
            </w:r>
          </w:p>
        </w:tc>
        <w:tc>
          <w:tcPr>
            <w:tcW w:type="dxa" w:w="4762"/>
            <w:shd w:fill="EEF2F6" w:val="clear"/>
          </w:tcPr>
          <w:p>
            <w:r>
              <w:rPr>
                <w:b/>
                <w:sz w:val="18"/>
              </w:rPr>
              <w:t>이행 방안</w:t>
            </w:r>
          </w:p>
        </w:tc>
      </w:tr>
      <w:tr>
        <w:tc>
          <w:tcPr>
            <w:tcW w:type="dxa" w:w="1701"/>
          </w:tcPr>
          <w:p>
            <w:r>
              <w:rPr>
                <w:sz w:val="18"/>
              </w:rPr>
              <w:t>예정가격 조서 작성</w:t>
            </w:r>
          </w:p>
        </w:tc>
        <w:tc>
          <w:tcPr>
            <w:tcW w:type="dxa" w:w="2608"/>
          </w:tcPr>
          <w:p>
            <w:r>
              <w:rPr>
                <w:sz w:val="18"/>
              </w:rPr>
              <w:t>제33조 2항 (1호 사유는 면제 대상 아님)</w:t>
            </w:r>
          </w:p>
        </w:tc>
        <w:tc>
          <w:tcPr>
            <w:tcW w:type="dxa" w:w="4762"/>
          </w:tcPr>
          <w:p>
            <w:r>
              <w:rPr>
                <w:sz w:val="18"/>
              </w:rPr>
              <w:t>재단 계약담당부서 작성 — 실례가격이 없는 계약이므로 원가계산 방식(제24조 2항 2호) 적용, 수행업체 견적서(M/M 노무비·제경비·이윤 구분)를 참고자료로 제출</w:t>
            </w:r>
          </w:p>
        </w:tc>
      </w:tr>
      <w:tr>
        <w:tc>
          <w:tcPr>
            <w:tcW w:type="dxa" w:w="1701"/>
          </w:tcPr>
          <w:p>
            <w:r>
              <w:rPr>
                <w:sz w:val="18"/>
              </w:rPr>
              <w:t>견적서 청구</w:t>
            </w:r>
          </w:p>
        </w:tc>
        <w:tc>
          <w:tcPr>
            <w:tcW w:type="dxa" w:w="2608"/>
          </w:tcPr>
          <w:p>
            <w:r>
              <w:rPr>
                <w:sz w:val="18"/>
              </w:rPr>
              <w:t>제36조 (원칙 2인 이상, 부득이한 경우 단일견적)</w:t>
            </w:r>
          </w:p>
        </w:tc>
        <w:tc>
          <w:tcPr>
            <w:tcW w:type="dxa" w:w="4762"/>
          </w:tcPr>
          <w:p>
            <w:r>
              <w:rPr>
                <w:sz w:val="18"/>
              </w:rPr>
              <w:t>본 사유서로 1호 해당(특정인의 기술용역)을 소명하여 단일견적 사유를 갖추고, 씨커스 견적서 제출</w:t>
            </w:r>
          </w:p>
        </w:tc>
      </w:tr>
      <w:tr>
        <w:tc>
          <w:tcPr>
            <w:tcW w:type="dxa" w:w="1701"/>
          </w:tcPr>
          <w:p>
            <w:r>
              <w:rPr>
                <w:sz w:val="18"/>
              </w:rPr>
              <w:t>계약서 작성</w:t>
            </w:r>
          </w:p>
        </w:tc>
        <w:tc>
          <w:tcPr>
            <w:tcW w:type="dxa" w:w="2608"/>
          </w:tcPr>
          <w:p>
            <w:r>
              <w:rPr>
                <w:sz w:val="18"/>
              </w:rPr>
              <w:t>제4조·제5조 (500만원 초과 용역 — 생략 불가)</w:t>
            </w:r>
          </w:p>
        </w:tc>
        <w:tc>
          <w:tcPr>
            <w:tcW w:type="dxa" w:w="4762"/>
          </w:tcPr>
          <w:p>
            <w:r>
              <w:rPr>
                <w:sz w:val="18"/>
              </w:rPr>
              <w:t>필수 기재 9항목 반영, 이사장 명의 — 계약 가이드라인 v0.1 3장 점검표 활용</w:t>
            </w:r>
          </w:p>
        </w:tc>
      </w:tr>
      <w:tr>
        <w:tc>
          <w:tcPr>
            <w:tcW w:type="dxa" w:w="1701"/>
          </w:tcPr>
          <w:p>
            <w:r>
              <w:rPr>
                <w:sz w:val="18"/>
              </w:rPr>
              <w:t>계약보증금</w:t>
            </w:r>
          </w:p>
        </w:tc>
        <w:tc>
          <w:tcPr>
            <w:tcW w:type="dxa" w:w="2608"/>
          </w:tcPr>
          <w:p>
            <w:r>
              <w:rPr>
                <w:sz w:val="18"/>
              </w:rPr>
              <w:t>제6조 2항 (수의계약 시 전부·일부 면제 가능)</w:t>
            </w:r>
          </w:p>
        </w:tc>
        <w:tc>
          <w:tcPr>
            <w:tcW w:type="dxa" w:w="4762"/>
          </w:tcPr>
          <w:p>
            <w:r>
              <w:rPr>
                <w:sz w:val="18"/>
              </w:rPr>
              <w:t>면제 여부를 계약 협상 시 결정, 미면제 시 보증보험증권 납부</w:t>
            </w:r>
          </w:p>
        </w:tc>
      </w:tr>
      <w:tr>
        <w:tc>
          <w:tcPr>
            <w:tcW w:type="dxa" w:w="1701"/>
          </w:tcPr>
          <w:p>
            <w:r>
              <w:rPr>
                <w:sz w:val="18"/>
              </w:rPr>
              <w:t>검수·지급</w:t>
            </w:r>
          </w:p>
        </w:tc>
        <w:tc>
          <w:tcPr>
            <w:tcW w:type="dxa" w:w="2608"/>
          </w:tcPr>
          <w:p>
            <w:r>
              <w:rPr>
                <w:sz w:val="18"/>
              </w:rPr>
              <w:t>제8조·제9조</w:t>
            </w:r>
          </w:p>
        </w:tc>
        <w:tc>
          <w:tcPr>
            <w:tcW w:type="dxa" w:w="4762"/>
          </w:tcPr>
          <w:p>
            <w:r>
              <w:rPr>
                <w:sz w:val="18"/>
              </w:rPr>
              <w:t>단계별 검수조서 작성, 검수 연동 분할 지급 — 계약 가이드라인 v0.1 6장 절차 적용</w:t>
            </w:r>
          </w:p>
        </w:tc>
      </w:tr>
    </w:tbl>
    <w:p>
      <w:pPr>
        <w:spacing w:after="40"/>
      </w:pPr>
    </w:p>
    <w:p>
      <w:pPr>
        <w:pStyle w:val="Heading1"/>
      </w:pPr>
      <w:r>
        <w:t>7. 결론</w:t>
      </w:r>
    </w:p>
    <w:p>
      <w:pPr>
        <w:spacing w:after="120"/>
      </w:pPr>
      <w:r>
        <w:rPr>
          <w:b w:val="0"/>
        </w:rPr>
        <w:t>본 과업은 ① 성과를 공동 소유하는 공동 연구 과제로서 경쟁 조달 방식과 구조적으로 맞지 않고, ② 과업 목적 자체에 (주)씨커스의 AI Agent 기술 접목이 명시되어 있으며, ③ 미공개 내부 시스템에 대한 사전 이해와 폐쇄망 온프레미스 LLM 서빙이라는 특수 역량을 요구하고, ④ 기밀 자산의 노출 최소화가 필요하다는 점에서, 세칙 제33조 제1항 제1호가 정한 "계약의 성질 또는 목적에 의하여 특정인의 기술용역으로 인하여 경쟁을 불허"하는 경우에 해당한다. 아울러 사전 이해에 따른 투입공수 절감, 공동 IP와 기존 기술 라이선스 부여, 통합 수행에 따른 관리 비용 절감으로 "현저하게 유리한 가격" 요건도 뒷받침된다.</w:t>
      </w:r>
    </w:p>
    <w:p>
      <w:pPr>
        <w:spacing w:after="120"/>
      </w:pPr>
      <w:r>
        <w:rPr>
          <w:b w:val="0"/>
        </w:rPr>
        <w:t>이에 본 계약을 (주)씨커스와의 수의계약으로 체결하고, 제33조 제2항에 따른 예정가격 조서 작성 등 6장의 절차 요건을 이행하고자 한다.</w:t>
      </w:r>
    </w:p>
    <w:p>
      <w:pPr>
        <w:pStyle w:val="Heading1"/>
      </w:pPr>
      <w:r>
        <w:t>8. 첨부 근거자료 목록</w:t>
      </w:r>
    </w:p>
    <w:tbl>
      <w:tblPr>
        <w:tblStyle w:val="TableGrid"/>
        <w:tblW w:type="auto" w:w="0"/>
        <w:tblLook w:firstColumn="1" w:firstRow="1" w:lastColumn="0" w:lastRow="0" w:noHBand="0" w:noVBand="1" w:val="04A0"/>
      </w:tblPr>
      <w:tblGrid>
        <w:gridCol w:w="2160"/>
        <w:gridCol w:w="2160"/>
        <w:gridCol w:w="2160"/>
        <w:gridCol w:w="2160"/>
      </w:tblGrid>
      <w:tr>
        <w:tc>
          <w:tcPr>
            <w:tcW w:type="dxa" w:w="680"/>
            <w:shd w:fill="EEF2F6" w:val="clear"/>
          </w:tcPr>
          <w:p>
            <w:r>
              <w:rPr>
                <w:b/>
                <w:sz w:val="18"/>
              </w:rPr>
              <w:t>번호</w:t>
            </w:r>
          </w:p>
        </w:tc>
        <w:tc>
          <w:tcPr>
            <w:tcW w:type="dxa" w:w="2948"/>
            <w:shd w:fill="EEF2F6" w:val="clear"/>
          </w:tcPr>
          <w:p>
            <w:r>
              <w:rPr>
                <w:b/>
                <w:sz w:val="18"/>
              </w:rPr>
              <w:t>자료</w:t>
            </w:r>
          </w:p>
        </w:tc>
        <w:tc>
          <w:tcPr>
            <w:tcW w:type="dxa" w:w="3628"/>
            <w:shd w:fill="EEF2F6" w:val="clear"/>
          </w:tcPr>
          <w:p>
            <w:r>
              <w:rPr>
                <w:b/>
                <w:sz w:val="18"/>
              </w:rPr>
              <w:t>입증 내용</w:t>
            </w:r>
          </w:p>
        </w:tc>
        <w:tc>
          <w:tcPr>
            <w:tcW w:type="dxa" w:w="1814"/>
            <w:shd w:fill="EEF2F6" w:val="clear"/>
          </w:tcPr>
          <w:p>
            <w:r>
              <w:rPr>
                <w:b/>
                <w:sz w:val="18"/>
              </w:rPr>
              <w:t>비고</w:t>
            </w:r>
          </w:p>
        </w:tc>
      </w:tr>
      <w:tr>
        <w:tc>
          <w:tcPr>
            <w:tcW w:type="dxa" w:w="680"/>
          </w:tcPr>
          <w:p>
            <w:r>
              <w:rPr>
                <w:sz w:val="18"/>
              </w:rPr>
              <w:t>1</w:t>
            </w:r>
          </w:p>
        </w:tc>
        <w:tc>
          <w:tcPr>
            <w:tcW w:type="dxa" w:w="2948"/>
          </w:tcPr>
          <w:p>
            <w:r>
              <w:rPr>
                <w:sz w:val="18"/>
              </w:rPr>
              <w:t>과업지시서 (CUPIA-AI-2026-SOW-001 v3)</w:t>
            </w:r>
          </w:p>
        </w:tc>
        <w:tc>
          <w:tcPr>
            <w:tcW w:type="dxa" w:w="3628"/>
          </w:tcPr>
          <w:p>
            <w:r>
              <w:rPr>
                <w:sz w:val="18"/>
              </w:rPr>
              <w:t>과업 성격(공동 연구), 수행업체 기술 전제(2.1·2.2), 공동 IP(12조), 보안(11조)</w:t>
            </w:r>
          </w:p>
        </w:tc>
        <w:tc>
          <w:tcPr>
            <w:tcW w:type="dxa" w:w="1814"/>
          </w:tcPr>
          <w:p>
            <w:r>
              <w:rPr>
                <w:sz w:val="18"/>
              </w:rPr>
              <w:t>확정본 기준</w:t>
            </w:r>
          </w:p>
        </w:tc>
      </w:tr>
      <w:tr>
        <w:tc>
          <w:tcPr>
            <w:tcW w:type="dxa" w:w="680"/>
          </w:tcPr>
          <w:p>
            <w:r>
              <w:rPr>
                <w:sz w:val="18"/>
              </w:rPr>
              <w:t>2</w:t>
            </w:r>
          </w:p>
        </w:tc>
        <w:tc>
          <w:tcPr>
            <w:tcW w:type="dxa" w:w="2948"/>
          </w:tcPr>
          <w:p>
            <w:r>
              <w:rPr>
                <w:sz w:val="18"/>
              </w:rPr>
              <w:t>AI기술내재화 개념증명(PoC) 결과 보고 (2026-01)</w:t>
            </w:r>
          </w:p>
        </w:tc>
        <w:tc>
          <w:tcPr>
            <w:tcW w:type="dxa" w:w="3628"/>
          </w:tcPr>
          <w:p>
            <w:r>
              <w:rPr>
                <w:sz w:val="18"/>
              </w:rPr>
              <w:t>대상 시스템이 미공개 내부 PoC임과 고도화 필요성</w:t>
            </w:r>
          </w:p>
        </w:tc>
        <w:tc>
          <w:tcPr>
            <w:tcW w:type="dxa" w:w="1814"/>
          </w:tcPr>
          <w:p>
            <w:r>
              <w:rPr>
                <w:sz w:val="18"/>
              </w:rPr>
              <w:t>재단 내부 자료</w:t>
            </w:r>
          </w:p>
        </w:tc>
      </w:tr>
      <w:tr>
        <w:tc>
          <w:tcPr>
            <w:tcW w:type="dxa" w:w="680"/>
          </w:tcPr>
          <w:p>
            <w:r>
              <w:rPr>
                <w:sz w:val="18"/>
              </w:rPr>
              <w:t>3</w:t>
            </w:r>
          </w:p>
        </w:tc>
        <w:tc>
          <w:tcPr>
            <w:tcW w:type="dxa" w:w="2948"/>
          </w:tcPr>
          <w:p>
            <w:r>
              <w:rPr>
                <w:sz w:val="18"/>
              </w:rPr>
              <w:t>RAG Codex 시스템 자료 (v2.0, 2025-11)</w:t>
            </w:r>
          </w:p>
        </w:tc>
        <w:tc>
          <w:tcPr>
            <w:tcW w:type="dxa" w:w="3628"/>
          </w:tcPr>
          <w:p>
            <w:r>
              <w:rPr>
                <w:sz w:val="18"/>
              </w:rPr>
              <w:t>대상 시스템의 기술 구성과 특수성</w:t>
            </w:r>
          </w:p>
        </w:tc>
        <w:tc>
          <w:tcPr>
            <w:tcW w:type="dxa" w:w="1814"/>
          </w:tcPr>
          <w:p>
            <w:r>
              <w:rPr>
                <w:sz w:val="18"/>
              </w:rPr>
              <w:t>재단 내부 자료</w:t>
            </w:r>
          </w:p>
        </w:tc>
      </w:tr>
      <w:tr>
        <w:tc>
          <w:tcPr>
            <w:tcW w:type="dxa" w:w="680"/>
          </w:tcPr>
          <w:p>
            <w:r>
              <w:rPr>
                <w:sz w:val="18"/>
              </w:rPr>
              <w:t>4</w:t>
            </w:r>
          </w:p>
        </w:tc>
        <w:tc>
          <w:tcPr>
            <w:tcW w:type="dxa" w:w="2948"/>
          </w:tcPr>
          <w:p>
            <w:r>
              <w:rPr>
                <w:sz w:val="18"/>
              </w:rPr>
              <w:t>수행 제안서 (씨커스, v0.3)</w:t>
            </w:r>
          </w:p>
        </w:tc>
        <w:tc>
          <w:tcPr>
            <w:tcW w:type="dxa" w:w="3628"/>
          </w:tcPr>
          <w:p>
            <w:r>
              <w:rPr>
                <w:sz w:val="18"/>
              </w:rPr>
              <w:t>수행업체의 기술 이해도와 수행 방안</w:t>
            </w:r>
          </w:p>
        </w:tc>
        <w:tc>
          <w:tcPr>
            <w:tcW w:type="dxa" w:w="1814"/>
          </w:tcPr>
          <w:p>
            <w:r>
              <w:rPr>
                <w:sz w:val="18"/>
              </w:rPr>
              <w:t>-</w:t>
            </w:r>
          </w:p>
        </w:tc>
      </w:tr>
      <w:tr>
        <w:tc>
          <w:tcPr>
            <w:tcW w:type="dxa" w:w="680"/>
          </w:tcPr>
          <w:p>
            <w:r>
              <w:rPr>
                <w:sz w:val="18"/>
              </w:rPr>
              <w:t>5</w:t>
            </w:r>
          </w:p>
        </w:tc>
        <w:tc>
          <w:tcPr>
            <w:tcW w:type="dxa" w:w="2948"/>
          </w:tcPr>
          <w:p>
            <w:r>
              <w:rPr>
                <w:sz w:val="18"/>
              </w:rPr>
              <w:t>씨커스 AI Agent 관련 실적·보유 기술 증빙</w:t>
            </w:r>
          </w:p>
        </w:tc>
        <w:tc>
          <w:tcPr>
            <w:tcW w:type="dxa" w:w="3628"/>
          </w:tcPr>
          <w:p>
            <w:r>
              <w:rPr>
                <w:sz w:val="18"/>
              </w:rPr>
              <w:t>특정인의 기술용역 해당성 보강</w:t>
            </w:r>
          </w:p>
        </w:tc>
        <w:tc>
          <w:tcPr>
            <w:tcW w:type="dxa" w:w="1814"/>
          </w:tcPr>
          <w:p>
            <w:r>
              <w:rPr>
                <w:sz w:val="18"/>
              </w:rPr>
              <w:t>수행업체 제출 — 실적증명서·기술소개서 등 [보완 필요]</w:t>
            </w:r>
          </w:p>
        </w:tc>
      </w:tr>
      <w:tr>
        <w:tc>
          <w:tcPr>
            <w:tcW w:type="dxa" w:w="680"/>
          </w:tcPr>
          <w:p>
            <w:r>
              <w:rPr>
                <w:sz w:val="18"/>
              </w:rPr>
              <w:t>6</w:t>
            </w:r>
          </w:p>
        </w:tc>
        <w:tc>
          <w:tcPr>
            <w:tcW w:type="dxa" w:w="2948"/>
          </w:tcPr>
          <w:p>
            <w:r>
              <w:rPr>
                <w:sz w:val="18"/>
              </w:rPr>
              <w:t>견적서 / 비용 산정서</w:t>
            </w:r>
          </w:p>
        </w:tc>
        <w:tc>
          <w:tcPr>
            <w:tcW w:type="dxa" w:w="3628"/>
          </w:tcPr>
          <w:p>
            <w:r>
              <w:rPr>
                <w:sz w:val="18"/>
              </w:rPr>
              <w:t>가격의 적정성 (예정가격 조서 대비)</w:t>
            </w:r>
          </w:p>
        </w:tc>
        <w:tc>
          <w:tcPr>
            <w:tcW w:type="dxa" w:w="1814"/>
          </w:tcPr>
          <w:p>
            <w:r>
              <w:rPr>
                <w:sz w:val="18"/>
              </w:rPr>
              <w:t>관리대장 CT-03</w:t>
            </w:r>
          </w:p>
        </w:tc>
      </w:tr>
    </w:tbl>
    <w:p>
      <w:pPr>
        <w:spacing w:after="40"/>
      </w:pPr>
    </w:p>
    <w:p>
      <w:pPr>
        <w:spacing w:after="0"/>
      </w:pPr>
      <w:r>
        <w:rPr>
          <w:b w:val="0"/>
        </w:rPr>
        <w:t>※ 본 문서는 수행업체가 작성한 검토용 초안이다. 수의계약 체결 여부와 사유서의 최종 문안은 재단 계약담당부서의 판단에 따르며, 5번 근거자료(실적·보유 기술 증빙)는 회사 확정 자료로 보완이 필요하다.</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