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360" w:after="240" w:line="240" w:lineRule="auto"/>
      </w:pPr>
      <w:r>
        <w:rPr>
          <w:rFonts w:ascii="Microsoft YaHei" w:hAnsi="Microsoft YaHei" w:eastAsia="微软雅黑"/>
          <w:b/>
          <w:color w:val="1F4E78"/>
          <w:sz w:val="48"/>
        </w:rPr>
        <w:t>13_预拌粉规格与代工厂交付包（v1）</w:t>
      </w:r>
    </w:p>
    <w:p/>
    <w:p>
      <w:pPr>
        <w:spacing w:before="120" w:after="120"/>
        <w:ind w:left="432" w:right="432"/>
        <w:shd w:fill="E7F3FF"/>
      </w:pPr>
      <w:r>
        <w:rPr>
          <w:i/>
          <w:color w:val="4472C4"/>
        </w:rPr>
        <w:t>用途：给总部/代工厂看的“配方与生产要求”。</w:t>
      </w:r>
    </w:p>
    <w:p>
      <w:pPr>
        <w:spacing w:before="120" w:after="120"/>
        <w:ind w:left="432" w:right="432"/>
        <w:shd w:fill="E7F3FF"/>
      </w:pPr>
      <w:r>
        <w:rPr>
          <w:i/>
          <w:color w:val="4472C4"/>
        </w:rPr>
        <w:t>重点：</w:t>
      </w:r>
      <w:r>
        <w:rPr>
          <w:b/>
          <w:i/>
          <w:color w:val="4472C4"/>
        </w:rPr>
        <w:t>解释为什么这样配</w:t>
      </w:r>
      <w:r>
        <w:rPr>
          <w:i/>
          <w:color w:val="4472C4"/>
        </w:rPr>
        <w:t>（结构工程），并提供</w:t>
      </w:r>
      <w:r>
        <w:rPr>
          <w:b/>
          <w:i/>
          <w:color w:val="4472C4"/>
        </w:rPr>
        <w:t>可复制的规格 + 版本管理</w:t>
      </w:r>
      <w:r>
        <w:rPr>
          <w:i/>
          <w:color w:val="4472C4"/>
        </w:rPr>
        <w:t>。</w:t>
      </w:r>
    </w:p>
    <w:p>
      <w:pPr>
        <w:spacing w:before="120" w:after="120"/>
        <w:ind w:left="432" w:right="432"/>
        <w:shd w:fill="E7F3FF"/>
      </w:pPr>
      <w:r>
        <w:rPr>
          <w:i/>
          <w:color w:val="4472C4"/>
        </w:rPr>
        <w:t>保密：这是商业核心。门店只能拿到“袋装 SKU + 操作卡”，不能看到配方百分比（可选策略）。</w:t>
      </w:r>
    </w:p>
    <w:p/>
    <w:p>
      <w:pPr>
        <w:spacing w:before="120" w:after="120"/>
        <w:pBdr>
          <w:bottom w:val="single" w:sz="6" w:space="1" w:color="CCCCCC"/>
        </w:pBdr>
      </w:pPr>
    </w:p>
    <w:p/>
    <w:p>
      <w:pPr>
        <w:spacing w:before="240" w:after="160"/>
      </w:pPr>
      <w:r>
        <w:rPr>
          <w:rFonts w:ascii="Microsoft YaHei" w:hAnsi="Microsoft YaHei" w:eastAsia="微软雅黑"/>
          <w:b/>
          <w:color w:val="4472C4"/>
          <w:sz w:val="36"/>
        </w:rPr>
        <w:t>0. 生产与保密原则（写给代工厂/总部）</w:t>
      </w:r>
    </w:p>
    <w:p>
      <w:pPr>
        <w:pStyle w:val="ListBullet"/>
      </w:pPr>
      <w:r>
        <w:t>预拌粉只允许在总部/代工厂生产与封装</w:t>
      </w:r>
    </w:p>
    <w:p>
      <w:pPr>
        <w:pStyle w:val="ListBullet"/>
      </w:pPr>
      <w:r>
        <w:t>每袋必须带：SKU + 版本号 + 批次号 + 净重 + 生产日期</w:t>
      </w:r>
    </w:p>
    <w:p>
      <w:pPr>
        <w:pStyle w:val="ListBullet"/>
      </w:pPr>
      <w:r>
        <w:t>版本管理：</w:t>
      </w:r>
    </w:p>
    <w:p>
      <w:pPr>
        <w:pStyle w:val="ListBullet"/>
      </w:pPr>
      <w:r>
        <w:t>CH-P01（巧克力粉 v1）</w:t>
      </w:r>
    </w:p>
    <w:p>
      <w:pPr>
        <w:pStyle w:val="ListBullet"/>
      </w:pPr>
      <w:r>
        <w:t>MT-P01（抹茶粉 v1）</w:t>
      </w:r>
    </w:p>
    <w:p>
      <w:pPr>
        <w:pStyle w:val="ListBullet"/>
      </w:pPr>
      <w:r>
        <w:t>任何改动都必须升级版本号（P02/P03…）</w:t>
      </w:r>
    </w:p>
    <w:p/>
    <w:p>
      <w:pPr>
        <w:spacing w:before="120" w:after="120"/>
        <w:pBdr>
          <w:bottom w:val="single" w:sz="6" w:space="1" w:color="CCCCCC"/>
        </w:pBdr>
      </w:pPr>
    </w:p>
    <w:p/>
    <w:p>
      <w:pPr>
        <w:spacing w:before="240" w:after="160"/>
      </w:pPr>
      <w:r>
        <w:rPr>
          <w:rFonts w:ascii="Microsoft YaHei" w:hAnsi="Microsoft YaHei" w:eastAsia="微软雅黑"/>
          <w:b/>
          <w:color w:val="4472C4"/>
          <w:sz w:val="36"/>
        </w:rPr>
        <w:t>1. “Base 50 Soft”类型判别（必须写进交付包）</w:t>
      </w:r>
    </w:p>
    <w:p>
      <w:pPr>
        <w:spacing w:before="120" w:after="120"/>
        <w:ind w:left="432" w:right="432"/>
        <w:shd w:fill="E7F3FF"/>
      </w:pPr>
      <w:r>
        <w:rPr>
          <w:i/>
          <w:color w:val="4472C4"/>
        </w:rPr>
        <w:t>因为这决定投料量差 10 倍以上。</w:t>
      </w:r>
    </w:p>
    <w:p/>
    <w:p>
      <w:pPr>
        <w:spacing w:before="240" w:after="160"/>
      </w:pPr>
      <w:r>
        <w:rPr>
          <w:rFonts w:ascii="Microsoft YaHei" w:hAnsi="Microsoft YaHei" w:eastAsia="微软雅黑"/>
          <w:b/>
          <w:color w:val="5B9BD5"/>
          <w:sz w:val="28"/>
        </w:rPr>
        <w:t>1.1 判别方法（看包装即可）</w:t>
      </w:r>
    </w:p>
    <w:p>
      <w:pPr>
        <w:pStyle w:val="ListBullet"/>
      </w:pPr>
      <w:r>
        <w:t>若推荐用量写的是：</w:t>
      </w:r>
      <w:r>
        <w:rPr>
          <w:b/>
          <w:color w:val="1F4E78"/>
        </w:rPr>
        <w:t>2–5 g/kg</w:t>
      </w:r>
      <w:r>
        <w:t xml:space="preserve"> 或 </w:t>
      </w:r>
      <w:r>
        <w:rPr>
          <w:b/>
          <w:color w:val="1F4E78"/>
        </w:rPr>
        <w:t>0.2–0.5%</w:t>
      </w:r>
      <w:r>
        <w:t>，基本属于：</w:t>
      </w:r>
    </w:p>
    <w:p>
      <w:r>
        <w:t>✅ A 类：稳定/乳化复配粉（gums + mono/diglycerides）</w:t>
      </w:r>
    </w:p>
    <w:p>
      <w:pPr>
        <w:pStyle w:val="ListBullet"/>
      </w:pPr>
      <w:r>
        <w:t>若推荐用量写的是：</w:t>
      </w:r>
      <w:r>
        <w:rPr>
          <w:b/>
          <w:color w:val="1F4E78"/>
        </w:rPr>
        <w:t>20–50 g/kg</w:t>
      </w:r>
      <w:r>
        <w:t xml:space="preserve"> 或 </w:t>
      </w:r>
      <w:r>
        <w:rPr>
          <w:b/>
          <w:color w:val="1F4E78"/>
        </w:rPr>
        <w:t>2–5%</w:t>
      </w:r>
      <w:r>
        <w:t>，基本属于：</w:t>
      </w:r>
    </w:p>
    <w:p>
      <w:r>
        <w:t>✅ B 类：基底粉（含大量乳固体/糖/纤维等）</w:t>
      </w:r>
    </w:p>
    <w:p/>
    <w:p>
      <w:pPr>
        <w:spacing w:before="240" w:after="160"/>
      </w:pPr>
      <w:r>
        <w:rPr>
          <w:rFonts w:ascii="Microsoft YaHei" w:hAnsi="Microsoft YaHei" w:eastAsia="微软雅黑"/>
          <w:b/>
          <w:color w:val="5B9BD5"/>
          <w:sz w:val="28"/>
        </w:rPr>
        <w:t>1.2 v1 的写法（不确定时的“双口径”）</w:t>
      </w:r>
    </w:p>
    <w:p>
      <w:pPr>
        <w:pStyle w:val="ListBullet"/>
      </w:pPr>
      <w:r>
        <w:t>先以包装推荐用量为准</w:t>
      </w:r>
    </w:p>
    <w:p>
      <w:pPr>
        <w:pStyle w:val="ListBullet"/>
      </w:pPr>
      <w:r>
        <w:t>若仍不确定：先用“中位投料”试验 1 缸，用 QC 两项锁定：</w:t>
      </w:r>
    </w:p>
    <w:p>
      <w:pPr>
        <w:pStyle w:val="ListBullet"/>
      </w:pPr>
      <w:r>
        <w:t>10 分钟融化盘是否出水</w:t>
      </w:r>
    </w:p>
    <w:p>
      <w:pPr>
        <w:pStyle w:val="ListBullet"/>
      </w:pPr>
      <w:r>
        <w:t>尖角是否干爽挺立</w:t>
      </w:r>
    </w:p>
    <w:p>
      <w:pPr>
        <w:pStyle w:val="ListBullet"/>
      </w:pPr>
      <w:r>
        <w:t>一旦锁定，必须在 v1.1 里定死为唯一口径</w:t>
      </w:r>
    </w:p>
    <w:p/>
    <w:p>
      <w:pPr>
        <w:spacing w:before="120" w:after="120"/>
        <w:pBdr>
          <w:bottom w:val="single" w:sz="6" w:space="1" w:color="CCCCCC"/>
        </w:pBdr>
      </w:pPr>
    </w:p>
    <w:p/>
    <w:p>
      <w:pPr>
        <w:spacing w:before="240" w:after="160"/>
      </w:pPr>
      <w:r>
        <w:rPr>
          <w:rFonts w:ascii="Microsoft YaHei" w:hAnsi="Microsoft YaHei" w:eastAsia="微软雅黑"/>
          <w:b/>
          <w:color w:val="4472C4"/>
          <w:sz w:val="36"/>
        </w:rPr>
        <w:t>2. 目标产出（代工厂必须理解的“最终奶浆结构”）</w:t>
      </w:r>
    </w:p>
    <w:p>
      <w:r>
        <w:t>每袋对应门店一次投料，目标最终奶浆（每缸）：</w:t>
      </w:r>
    </w:p>
    <w:p>
      <w:pPr>
        <w:pStyle w:val="ListBullet"/>
      </w:pPr>
      <w:r>
        <w:t xml:space="preserve">约 </w:t>
      </w:r>
      <w:r>
        <w:rPr>
          <w:b/>
          <w:color w:val="1F4E78"/>
        </w:rPr>
        <w:t>5–6 L</w:t>
      </w:r>
      <w:r>
        <w:t>（视粉体溶胀与桶标刻度）</w:t>
      </w:r>
    </w:p>
    <w:p>
      <w:pPr>
        <w:pStyle w:val="ListBullet"/>
      </w:pPr>
      <w:r>
        <w:t>进机温度目标：</w:t>
      </w:r>
      <w:r>
        <w:rPr>
          <w:b/>
          <w:color w:val="1F4E78"/>
        </w:rPr>
        <w:t>≤4°C</w:t>
      </w:r>
    </w:p>
    <w:p>
      <w:pPr>
        <w:pStyle w:val="ListBullet"/>
      </w:pPr>
      <w:r>
        <w:t>泵机 Overrun：</w:t>
      </w:r>
      <w:r>
        <w:rPr>
          <w:b/>
          <w:color w:val="1F4E78"/>
        </w:rPr>
        <w:t>40–60%</w:t>
      </w:r>
    </w:p>
    <w:p/>
    <w:p>
      <w:pPr>
        <w:spacing w:before="120" w:after="120"/>
        <w:pBdr>
          <w:bottom w:val="single" w:sz="6" w:space="1" w:color="CCCCCC"/>
        </w:pBdr>
      </w:pPr>
    </w:p>
    <w:p/>
    <w:p>
      <w:pPr>
        <w:spacing w:before="240" w:after="160"/>
      </w:pPr>
      <w:r>
        <w:rPr>
          <w:rFonts w:ascii="Microsoft YaHei" w:hAnsi="Microsoft YaHei" w:eastAsia="微软雅黑"/>
          <w:b/>
          <w:color w:val="4472C4"/>
          <w:sz w:val="36"/>
        </w:rPr>
        <w:t>3. 配方：SKU-01 巧克力预混粉（CH-P01）</w:t>
      </w:r>
    </w:p>
    <w:p/>
    <w:p>
      <w:pPr>
        <w:spacing w:before="240" w:after="160"/>
      </w:pPr>
      <w:r>
        <w:rPr>
          <w:rFonts w:ascii="Microsoft YaHei" w:hAnsi="Microsoft YaHei" w:eastAsia="微软雅黑"/>
          <w:b/>
          <w:color w:val="5B9BD5"/>
          <w:sz w:val="28"/>
        </w:rPr>
        <w:t>3.1 你的原始草案（V0｜保留不删）</w:t>
      </w:r>
    </w:p>
    <w:p>
      <w:pPr>
        <w:pStyle w:val="ListBullet"/>
      </w:pPr>
      <w:r>
        <w:t>Sacarosa：750g</w:t>
      </w:r>
    </w:p>
    <w:p>
      <w:pPr>
        <w:pStyle w:val="ListBullet"/>
      </w:pPr>
      <w:r>
        <w:t>Dextrosa：200g</w:t>
      </w:r>
    </w:p>
    <w:p>
      <w:pPr>
        <w:pStyle w:val="ListBullet"/>
      </w:pPr>
      <w:r>
        <w:t>SMP：250g</w:t>
      </w:r>
    </w:p>
    <w:p>
      <w:pPr>
        <w:pStyle w:val="ListBullet"/>
      </w:pPr>
      <w:r>
        <w:t>Cacao 22/24 alcalinizado：300g</w:t>
      </w:r>
    </w:p>
    <w:p>
      <w:pPr>
        <w:pStyle w:val="ListBullet"/>
      </w:pPr>
      <w:r>
        <w:t>Base 50 Soft：50g</w:t>
      </w:r>
    </w:p>
    <w:p>
      <w:pPr>
        <w:pStyle w:val="ListBullet"/>
      </w:pPr>
      <w:r>
        <w:t>合计：1550g</w:t>
      </w:r>
    </w:p>
    <w:p/>
    <w:p>
      <w:pPr>
        <w:spacing w:before="120" w:after="120"/>
        <w:ind w:left="432" w:right="432"/>
        <w:shd w:fill="E7F3FF"/>
      </w:pPr>
      <w:r>
        <w:rPr>
          <w:i/>
          <w:color w:val="4472C4"/>
        </w:rPr>
        <w:t>结构测算（按门店投料：1.5L热水+2L牛奶+0.5L奶油）：</w:t>
      </w:r>
    </w:p>
    <w:p>
      <w:pPr>
        <w:spacing w:before="120" w:after="120"/>
        <w:ind w:left="432" w:right="432"/>
        <w:shd w:fill="E7F3FF"/>
      </w:pPr>
      <w:r>
        <w:rPr>
          <w:i/>
          <w:color w:val="4472C4"/>
        </w:rPr>
        <w:t xml:space="preserve">总固形物约 36%，脂肪约 5.6%，糖（含乳糖）约 19% —— </w:t>
      </w:r>
      <w:r>
        <w:rPr>
          <w:b/>
          <w:i/>
          <w:color w:val="4472C4"/>
        </w:rPr>
        <w:t>结构强、能堆塔</w:t>
      </w:r>
      <w:r>
        <w:rPr>
          <w:i/>
          <w:color w:val="4472C4"/>
        </w:rPr>
        <w:t>。</w:t>
      </w:r>
    </w:p>
    <w:p/>
    <w:p>
      <w:pPr>
        <w:spacing w:before="240" w:after="160"/>
      </w:pPr>
      <w:r>
        <w:rPr>
          <w:rFonts w:ascii="Microsoft YaHei" w:hAnsi="Microsoft YaHei" w:eastAsia="微软雅黑"/>
          <w:b/>
          <w:color w:val="5B9BD5"/>
          <w:sz w:val="28"/>
        </w:rPr>
        <w:t>3.2 v1 推荐（CH-P01｜在 V0 上的最小修正）</w:t>
      </w:r>
    </w:p>
    <w:p>
      <w:pPr>
        <w:spacing w:before="120" w:after="120"/>
        <w:ind w:left="432" w:right="432"/>
        <w:shd w:fill="E7F3FF"/>
      </w:pPr>
      <w:r>
        <w:rPr>
          <w:i/>
          <w:color w:val="4472C4"/>
        </w:rPr>
        <w:t>目的：保持“高级体验感”与 pump 适配，同时降低拖尾甜腻与胶感风险。</w:t>
      </w:r>
    </w:p>
    <w:p>
      <w:pPr>
        <w:spacing w:before="120" w:after="120"/>
        <w:ind w:left="432" w:right="432"/>
        <w:shd w:fill="E7F3FF"/>
      </w:pPr>
      <w:r>
        <w:rPr>
          <w:i/>
          <w:color w:val="4472C4"/>
        </w:rPr>
        <w:t>说明：Base 50 Soft 的投料量必须按其类型与说明书校准（见第 1 节）。</w:t>
      </w:r>
    </w:p>
    <w:p/>
    <w:p>
      <w:pPr>
        <w:pStyle w:val="ListBullet"/>
      </w:pPr>
      <w:r>
        <w:t>Sacarosa：</w:t>
      </w:r>
      <w:r>
        <w:rPr>
          <w:b/>
          <w:color w:val="1F4E78"/>
        </w:rPr>
        <w:t>700–750g</w:t>
      </w:r>
      <w:r>
        <w:t>（按甜度目标微调）</w:t>
      </w:r>
    </w:p>
    <w:p>
      <w:pPr>
        <w:pStyle w:val="ListBullet"/>
      </w:pPr>
      <w:r>
        <w:t>Dextrosa：</w:t>
      </w:r>
      <w:r>
        <w:rPr>
          <w:b/>
          <w:color w:val="1F4E78"/>
        </w:rPr>
        <w:t>200g</w:t>
      </w:r>
      <w:r>
        <w:t>（保持）</w:t>
      </w:r>
    </w:p>
    <w:p>
      <w:pPr>
        <w:pStyle w:val="ListBullet"/>
      </w:pPr>
      <w:r>
        <w:t>SMP：</w:t>
      </w:r>
      <w:r>
        <w:rPr>
          <w:b/>
          <w:color w:val="1F4E78"/>
        </w:rPr>
        <w:t>250g</w:t>
      </w:r>
      <w:r>
        <w:t>（保持）</w:t>
      </w:r>
    </w:p>
    <w:p>
      <w:pPr>
        <w:pStyle w:val="ListBullet"/>
      </w:pPr>
      <w:r>
        <w:t>Cacao 22/24 alcalinizado：</w:t>
      </w:r>
      <w:r>
        <w:rPr>
          <w:b/>
          <w:color w:val="1F4E78"/>
        </w:rPr>
        <w:t>300g</w:t>
      </w:r>
      <w:r>
        <w:t>（保持）</w:t>
      </w:r>
    </w:p>
    <w:p>
      <w:pPr>
        <w:pStyle w:val="ListBullet"/>
      </w:pPr>
      <w:r>
        <w:t>Base 50 Soft：</w:t>
      </w:r>
      <w:r>
        <w:rPr>
          <w:b/>
          <w:color w:val="1F4E78"/>
        </w:rPr>
        <w:t>按说明书投料</w:t>
      </w:r>
      <w:r>
        <w:t>（若为 A 类通常远低于 50g/袋；若为 B 类则可能更高）</w:t>
      </w:r>
    </w:p>
    <w:p/>
    <w:p>
      <w:pPr>
        <w:spacing w:before="120" w:after="120"/>
        <w:ind w:left="432" w:right="432"/>
        <w:shd w:fill="E7F3FF"/>
      </w:pPr>
      <w:r>
        <w:rPr>
          <w:i/>
          <w:color w:val="4472C4"/>
        </w:rPr>
        <w:t>说明：你要“中偏甜但不齁”，通常把甜度从“靠糖”转成“靠结构与香气”，更稳。</w:t>
      </w:r>
    </w:p>
    <w:p/>
    <w:p>
      <w:pPr>
        <w:spacing w:before="120" w:after="120"/>
        <w:pBdr>
          <w:bottom w:val="single" w:sz="6" w:space="1" w:color="CCCCCC"/>
        </w:pBdr>
      </w:pPr>
    </w:p>
    <w:p/>
    <w:p>
      <w:pPr>
        <w:spacing w:before="240" w:after="160"/>
      </w:pPr>
      <w:r>
        <w:rPr>
          <w:rFonts w:ascii="Microsoft YaHei" w:hAnsi="Microsoft YaHei" w:eastAsia="微软雅黑"/>
          <w:b/>
          <w:color w:val="4472C4"/>
          <w:sz w:val="36"/>
        </w:rPr>
        <w:t>4. 配方：SKU-02 抹茶预混粉（MT-P01）</w:t>
      </w:r>
    </w:p>
    <w:p/>
    <w:p>
      <w:pPr>
        <w:spacing w:before="240" w:after="160"/>
      </w:pPr>
      <w:r>
        <w:rPr>
          <w:rFonts w:ascii="Microsoft YaHei" w:hAnsi="Microsoft YaHei" w:eastAsia="微软雅黑"/>
          <w:b/>
          <w:color w:val="5B9BD5"/>
          <w:sz w:val="28"/>
        </w:rPr>
        <w:t>4.1 你原始草案的关键问题（必须在交付包解释）</w:t>
      </w:r>
    </w:p>
    <w:p>
      <w:r>
        <w:t>你写的抹茶粉 60g，“约 4.5%”是</w:t>
      </w:r>
      <w:r>
        <w:rPr>
          <w:b/>
          <w:color w:val="1F4E78"/>
        </w:rPr>
        <w:t>占粉包</w:t>
      </w:r>
      <w:r>
        <w:t>而不是占最终奶浆。</w:t>
      </w:r>
    </w:p>
    <w:p>
      <w:r>
        <w:t xml:space="preserve">按门店投料（1.5L热水+2.5L牛奶+0.5L奶油）最终奶浆约 5.85kg，抹茶仅约 </w:t>
      </w:r>
      <w:r>
        <w:rPr>
          <w:b/>
          <w:color w:val="1F4E78"/>
        </w:rPr>
        <w:t>1.0%</w:t>
      </w:r>
      <w:r>
        <w:t>，会偏淡。</w:t>
      </w:r>
    </w:p>
    <w:p/>
    <w:p>
      <w:pPr>
        <w:spacing w:before="240" w:after="160"/>
      </w:pPr>
      <w:r>
        <w:rPr>
          <w:rFonts w:ascii="Microsoft YaHei" w:hAnsi="Microsoft YaHei" w:eastAsia="微软雅黑"/>
          <w:b/>
          <w:color w:val="5B9BD5"/>
          <w:sz w:val="28"/>
        </w:rPr>
        <w:t>4.2 v1 推荐（MT-P01｜满足“浓郁不苦、偏甜有茶香”）</w:t>
      </w:r>
    </w:p>
    <w:p>
      <w:pPr>
        <w:spacing w:before="120" w:after="120"/>
        <w:ind w:left="432" w:right="432"/>
        <w:shd w:fill="E7F3FF"/>
      </w:pPr>
      <w:r>
        <w:rPr>
          <w:i/>
          <w:color w:val="4472C4"/>
        </w:rPr>
        <w:t>核心策略：</w:t>
      </w:r>
    </w:p>
    <w:p>
      <w:pPr>
        <w:spacing w:before="120" w:after="120"/>
        <w:ind w:left="432" w:right="432"/>
        <w:shd w:fill="E7F3FF"/>
      </w:pPr>
      <w:r>
        <w:rPr>
          <w:i/>
          <w:color w:val="4472C4"/>
        </w:rPr>
        <w:t xml:space="preserve">- 把抹茶拉到 </w:t>
      </w:r>
      <w:r>
        <w:rPr>
          <w:b/>
          <w:i/>
          <w:color w:val="4472C4"/>
        </w:rPr>
        <w:t>1.4–1.6%（最终奶浆口径）</w:t>
      </w:r>
    </w:p>
    <w:p>
      <w:pPr>
        <w:spacing w:before="120" w:after="120"/>
        <w:ind w:left="432" w:right="432"/>
        <w:shd w:fill="E7F3FF"/>
      </w:pPr>
      <w:r>
        <w:rPr>
          <w:i/>
          <w:color w:val="4472C4"/>
        </w:rPr>
        <w:t>- 用 SMP 与适当脂肪托住茶香，避免青腥与苦直冲</w:t>
      </w:r>
    </w:p>
    <w:p>
      <w:pPr>
        <w:spacing w:before="120" w:after="120"/>
        <w:ind w:left="432" w:right="432"/>
        <w:shd w:fill="E7F3FF"/>
      </w:pPr>
      <w:r>
        <w:rPr>
          <w:i/>
          <w:color w:val="4472C4"/>
        </w:rPr>
        <w:t>- 控温 Warm Mix（40–50°C 温牛奶）</w:t>
      </w:r>
    </w:p>
    <w:p/>
    <w:p>
      <w:r>
        <w:t xml:space="preserve">建议袋重仍为 </w:t>
      </w:r>
      <w:r>
        <w:rPr>
          <w:b/>
          <w:color w:val="1F4E78"/>
        </w:rPr>
        <w:t>1.35 kg</w:t>
      </w:r>
      <w:r>
        <w:t>，只做“袋内替换”：</w:t>
      </w:r>
    </w:p>
    <w:p>
      <w:pPr>
        <w:pStyle w:val="ListBullet"/>
      </w:pPr>
      <w:r>
        <w:t>Sacarosa：</w:t>
      </w:r>
      <w:r>
        <w:rPr>
          <w:b/>
          <w:color w:val="1F4E78"/>
        </w:rPr>
        <w:t>770g</w:t>
      </w:r>
      <w:r>
        <w:t>（原 800g 下调，甜更干净）</w:t>
      </w:r>
    </w:p>
    <w:p>
      <w:pPr>
        <w:pStyle w:val="ListBullet"/>
      </w:pPr>
      <w:r>
        <w:t>Dextrosa：</w:t>
      </w:r>
      <w:r>
        <w:rPr>
          <w:b/>
          <w:color w:val="1F4E78"/>
        </w:rPr>
        <w:t>150g</w:t>
      </w:r>
      <w:r>
        <w:t>（保持）</w:t>
      </w:r>
    </w:p>
    <w:p>
      <w:pPr>
        <w:pStyle w:val="ListBullet"/>
      </w:pPr>
      <w:r>
        <w:t>SMP：</w:t>
      </w:r>
      <w:r>
        <w:rPr>
          <w:b/>
          <w:color w:val="1F4E78"/>
        </w:rPr>
        <w:t>300g</w:t>
      </w:r>
      <w:r>
        <w:t>（保持）</w:t>
      </w:r>
    </w:p>
    <w:p>
      <w:pPr>
        <w:pStyle w:val="ListBullet"/>
      </w:pPr>
      <w:r>
        <w:t>Matcha：</w:t>
      </w:r>
      <w:r>
        <w:rPr>
          <w:b/>
          <w:color w:val="1F4E78"/>
        </w:rPr>
        <w:t>90g</w:t>
      </w:r>
      <w:r>
        <w:t>（替代原 60g，最终约 1.5%）</w:t>
      </w:r>
    </w:p>
    <w:p>
      <w:pPr>
        <w:pStyle w:val="ListBullet"/>
      </w:pPr>
      <w:r>
        <w:t>Base 50 Soft：</w:t>
      </w:r>
      <w:r>
        <w:rPr>
          <w:b/>
          <w:color w:val="1F4E78"/>
        </w:rPr>
        <w:t>按说明书投料</w:t>
      </w:r>
      <w:r>
        <w:t>（并注意类型口径）</w:t>
      </w:r>
    </w:p>
    <w:p/>
    <w:p>
      <w:pPr>
        <w:spacing w:before="120" w:after="120"/>
        <w:ind w:left="432" w:right="432"/>
        <w:shd w:fill="E7F3FF"/>
      </w:pPr>
      <w:r>
        <w:rPr>
          <w:i/>
          <w:color w:val="4472C4"/>
        </w:rPr>
        <w:t>若你想更浓但仍不苦：优先用“抹茶品质 + SMP 托底 + 40–50°C 温控”，不要靠堆糖去盖苦。</w:t>
      </w:r>
    </w:p>
    <w:p/>
    <w:p>
      <w:pPr>
        <w:spacing w:before="120" w:after="120"/>
        <w:pBdr>
          <w:bottom w:val="single" w:sz="6" w:space="1" w:color="CCCCCC"/>
        </w:pBdr>
      </w:pPr>
    </w:p>
    <w:p/>
    <w:p>
      <w:pPr>
        <w:spacing w:before="240" w:after="160"/>
      </w:pPr>
      <w:r>
        <w:rPr>
          <w:rFonts w:ascii="Microsoft YaHei" w:hAnsi="Microsoft YaHei" w:eastAsia="微软雅黑"/>
          <w:b/>
          <w:color w:val="4472C4"/>
          <w:sz w:val="36"/>
        </w:rPr>
        <w:t>5. 代工厂生产要求（必须写清）</w:t>
      </w:r>
    </w:p>
    <w:p>
      <w:pPr>
        <w:spacing w:before="240" w:after="160"/>
      </w:pPr>
      <w:r>
        <w:rPr>
          <w:rFonts w:ascii="Microsoft YaHei" w:hAnsi="Microsoft YaHei" w:eastAsia="微软雅黑"/>
          <w:b/>
          <w:color w:val="5B9BD5"/>
          <w:sz w:val="28"/>
        </w:rPr>
        <w:t>5.1 混粉工艺</w:t>
      </w:r>
    </w:p>
    <w:p>
      <w:pPr>
        <w:pStyle w:val="ListBullet"/>
      </w:pPr>
      <w:r>
        <w:t>先混同粒径/同密度粉（糖类+SMP），再加入抹茶/可可，最后加入稳定乳化体系（避免分层）</w:t>
      </w:r>
    </w:p>
    <w:p>
      <w:pPr>
        <w:pStyle w:val="ListBullet"/>
      </w:pPr>
      <w:r>
        <w:t>混合均匀度要求：抽样 3 点检测颜色一致性（目测也可作为最低标准）</w:t>
      </w:r>
    </w:p>
    <w:p/>
    <w:p>
      <w:pPr>
        <w:spacing w:before="240" w:after="160"/>
      </w:pPr>
      <w:r>
        <w:rPr>
          <w:rFonts w:ascii="Microsoft YaHei" w:hAnsi="Microsoft YaHei" w:eastAsia="微软雅黑"/>
          <w:b/>
          <w:color w:val="5B9BD5"/>
          <w:sz w:val="28"/>
        </w:rPr>
        <w:t>5.2 结块与防潮</w:t>
      </w:r>
    </w:p>
    <w:p>
      <w:pPr>
        <w:pStyle w:val="ListBullet"/>
      </w:pPr>
      <w:r>
        <w:t>抹茶/可可易吸潮结团：包装必须阻隔潮气</w:t>
      </w:r>
    </w:p>
    <w:p>
      <w:pPr>
        <w:pStyle w:val="ListBullet"/>
      </w:pPr>
      <w:r>
        <w:t>建议：铝箔复合袋 + 充氮（可选）</w:t>
      </w:r>
    </w:p>
    <w:p>
      <w:pPr>
        <w:pStyle w:val="ListBullet"/>
      </w:pPr>
      <w:r>
        <w:t>必须标注：阴凉干燥处保存；开封后尽快使用</w:t>
      </w:r>
    </w:p>
    <w:p/>
    <w:p>
      <w:pPr>
        <w:spacing w:before="240" w:after="160"/>
      </w:pPr>
      <w:r>
        <w:rPr>
          <w:rFonts w:ascii="Microsoft YaHei" w:hAnsi="Microsoft YaHei" w:eastAsia="微软雅黑"/>
          <w:b/>
          <w:color w:val="5B9BD5"/>
          <w:sz w:val="28"/>
        </w:rPr>
        <w:t>5.3 过敏原/标签（法规角度）</w:t>
      </w:r>
    </w:p>
    <w:p>
      <w:pPr>
        <w:pStyle w:val="ListBullet"/>
      </w:pPr>
      <w:r>
        <w:t>必须明确：乳成分（奶粉）、可能含大豆卵磷脂（若稳定乳化体系含）等</w:t>
      </w:r>
    </w:p>
    <w:p>
      <w:pPr>
        <w:pStyle w:val="ListBullet"/>
      </w:pPr>
      <w:r>
        <w:t>批次追溯：批号必须可回溯到原料批次</w:t>
      </w:r>
    </w:p>
    <w:p/>
    <w:p>
      <w:pPr>
        <w:spacing w:before="120" w:after="120"/>
        <w:pBdr>
          <w:bottom w:val="single" w:sz="6" w:space="1" w:color="CCCCCC"/>
        </w:pBdr>
      </w:pPr>
    </w:p>
    <w:p/>
    <w:p>
      <w:pPr>
        <w:spacing w:before="240" w:after="160"/>
      </w:pPr>
      <w:r>
        <w:rPr>
          <w:rFonts w:ascii="Microsoft YaHei" w:hAnsi="Microsoft YaHei" w:eastAsia="微软雅黑"/>
          <w:b/>
          <w:color w:val="4472C4"/>
          <w:sz w:val="36"/>
        </w:rPr>
        <w:t>6. 出厂验收（总部对代工厂）</w:t>
      </w:r>
    </w:p>
    <w:p>
      <w:r>
        <w:t>每批次抽样做 1 次“门店模拟混合”：</w:t>
      </w:r>
    </w:p>
    <w:p>
      <w:pPr>
        <w:pStyle w:val="ListBullet"/>
      </w:pPr>
      <w:r>
        <w:t>目测：无明显结块</w:t>
      </w:r>
    </w:p>
    <w:p>
      <w:pPr>
        <w:pStyle w:val="ListBullet"/>
      </w:pPr>
      <w:r>
        <w:t>均质后：无颗粒</w:t>
      </w:r>
    </w:p>
    <w:p>
      <w:pPr>
        <w:pStyle w:val="ListBullet"/>
      </w:pPr>
      <w:r>
        <w:t>冷却到 ≤4°C 后：尖角合格 + 10 分钟融化盘不出水</w:t>
      </w:r>
    </w:p>
    <w:p/>
    <w:p>
      <w:pPr>
        <w:spacing w:before="120" w:after="120"/>
        <w:pBdr>
          <w:bottom w:val="single" w:sz="6" w:space="1" w:color="CCCCCC"/>
        </w:pBdr>
      </w:pPr>
    </w:p>
    <w:p/>
    <w:p>
      <w:pPr>
        <w:spacing w:before="240" w:after="160"/>
      </w:pPr>
      <w:r>
        <w:rPr>
          <w:rFonts w:ascii="Microsoft YaHei" w:hAnsi="Microsoft YaHei" w:eastAsia="微软雅黑"/>
          <w:b/>
          <w:color w:val="4472C4"/>
          <w:sz w:val="36"/>
        </w:rPr>
        <w:t>7. 本文件作业（你拿到 Base 50 Soft 后立刻完成）</w:t>
      </w:r>
    </w:p>
    <w:p>
      <w:r>
        <w:t>把 Base 50 Soft 的：</w:t>
      </w:r>
    </w:p>
    <w:p>
      <w:r>
        <w:t>1) 成分表</w:t>
      </w:r>
    </w:p>
    <w:p>
      <w:r>
        <w:t>2) 推荐投料用量</w:t>
      </w:r>
    </w:p>
    <w:p>
      <w:r>
        <w:t>3) 用途说明（soft-serve / helado / crema…）</w:t>
      </w:r>
    </w:p>
    <w:p>
      <w:r>
        <w:t>以照片形式加到本文件附录。</w:t>
      </w:r>
    </w:p>
    <w:p>
      <w:pPr>
        <w:spacing w:before="120" w:after="120"/>
        <w:ind w:left="432" w:right="432"/>
        <w:shd w:fill="E7F3FF"/>
      </w:pPr>
      <w:r>
        <w:rPr>
          <w:i/>
          <w:color w:val="4472C4"/>
        </w:rPr>
        <w:t>加完后我可以把 CH/MT 两个配方的“Base 50”投料量定死为唯一口径（v1.1）。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60" w:line="276" w:lineRule="auto"/>
    </w:pPr>
    <w:rPr>
      <w:rFonts w:ascii="Calibri" w:hAnsi="Calibri" w:eastAsia="微软雅黑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