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28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2760"/>
        <w:gridCol w:w="2760"/>
      </w:tblGrid>
      <w:tr w14:paraId="64BE85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EDF26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23B47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自动判定结果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0E42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配套带出内容</w:t>
            </w:r>
          </w:p>
        </w:tc>
      </w:tr>
      <w:tr w14:paraId="436FF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67A5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满足以下任意一条：&lt;br&gt;1.有履约/回款/验收风险&lt;br&gt;2.安全/合规/重大故障&lt;br&gt;3.省级硬性督办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775E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一级A类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C6EC5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紧急红线、资源优先保障、可加急</w:t>
            </w:r>
          </w:p>
        </w:tc>
      </w:tr>
      <w:tr w14:paraId="6AA39D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E9DCE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不满足一级A，且满足：&lt;br&gt;战略项目/标杆客户/核心产品线迭代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5388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一级B类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A2DF1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战略迭代、纳入月度计划、禁止临时插单</w:t>
            </w:r>
          </w:p>
        </w:tc>
      </w:tr>
      <w:tr w14:paraId="253BE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F0DC9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不满足一级，且为：&lt;br&gt;常规营收项目/可复用技术建设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6B27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二级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E9F6D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正常均衡排期、按项目价值优先</w:t>
            </w:r>
          </w:p>
        </w:tc>
      </w:tr>
      <w:tr w14:paraId="17520F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2382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不满足一/二级，且为：&lt;br&gt;专属定制/未签约样板/无刚性节点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FB45A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三级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01CCC">
            <w:pPr>
              <w:spacing w:before="120" w:after="120" w:line="288" w:lineRule="auto"/>
              <w:ind w:left="0"/>
              <w:jc w:val="left"/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8"/>
                <w:szCs w:val="28"/>
              </w:rPr>
              <w:t>错峰处理、不占用主线资源、不加急</w:t>
            </w:r>
          </w:p>
        </w:tc>
      </w:tr>
    </w:tbl>
    <w:p w14:paraId="15B8FC4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CF6BF6"/>
    <w:rsid w:val="E7CF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2026-06-09T10:47:00Z</dcterms:created>
  <dc:creator>饭粒</dc:creator>
  <cp:lastModifiedBy>饭粒</cp:lastModifiedBy>
  <dcterms:modified xsi:type="dcterms:W3CDTF">2026-06-09T10:47:47Z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DAABCDFD728A2E7AB97E276A408D415B_41</vt:lpwstr>
  </property>
</Properties>
</file>