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sz w:val="28"/>
          <w:szCs w:val="21"/>
          <w:lang w:val="en-US" w:eastAsia="zh-CN"/>
        </w:rPr>
      </w:pPr>
      <w:r>
        <w:rPr>
          <w:rFonts w:hint="eastAsia"/>
          <w:sz w:val="28"/>
          <w:szCs w:val="21"/>
          <w:lang w:val="en-US" w:eastAsia="zh-CN"/>
        </w:rPr>
        <w:t>新功能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240" w:lineRule="auto"/>
        <w:textAlignment w:val="auto"/>
        <w:rPr>
          <w:rFonts w:hint="default"/>
          <w:sz w:val="22"/>
          <w:szCs w:val="20"/>
          <w:lang w:val="en-US" w:eastAsia="zh-CN"/>
        </w:rPr>
      </w:pPr>
      <w:r>
        <w:rPr>
          <w:rFonts w:hint="eastAsia"/>
          <w:sz w:val="22"/>
          <w:szCs w:val="20"/>
          <w:lang w:val="en-US" w:eastAsia="zh-CN"/>
        </w:rPr>
        <w:t>获取平均灰度值</w:t>
      </w:r>
    </w:p>
    <w:p>
      <w:pPr>
        <w:jc w:val="center"/>
      </w:pPr>
      <w:r>
        <w:drawing>
          <wp:inline distT="0" distB="0" distL="114300" distR="114300">
            <wp:extent cx="3200400" cy="3057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图1 灰度值获取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分为两个功能--单图像灰度，批处理灰度；同自动处理模式类似，分为对图像和对文件夹批量操作两个模块。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单图像灰度：选取需要计算的图像；在结果存储文件夹下的grayValue{时间戳}.txt可以查看图片灰度值详情。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批文件灰度：选取需要计算的文件夹；在结果存储文件夹下的grayValue{时间戳}.txt可以查看文件下所有图片灰度值详情。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184775" cy="1156335"/>
            <wp:effectExtent l="9525" t="9525" r="25400" b="1524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r="6611"/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11563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图2 灰度值文件详情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F97B5A"/>
    <w:multiLevelType w:val="singleLevel"/>
    <w:tmpl w:val="F6F97B5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F22366"/>
    <w:rsid w:val="413A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2022-02-28T07:00:57Z</dcterms:created>
  <dc:creator>mulin</dc:creator>
  <cp:lastModifiedBy>*仿似朝花/一丝星光</cp:lastModifiedBy>
  <dcterms:modified xsi:type="dcterms:W3CDTF">2022-02-28T08:23:17Z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7D32AC5F283445D59BC260004671DBF4</vt:lpwstr>
  </property>
</Properties>
</file>