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60" w:lineRule="auto"/>
      </w:pPr>
      <w:r>
        <w:rPr>
          <w:rFonts w:ascii="Calibri" w:eAsia="等线" w:hAnsi="Calibri"/>
          <w:b/>
          <w:bCs/>
          <w:sz w:val="32"/>
          <w:szCs w:val="32"/>
        </w:rPr>
        <w:t xml:space="preserve">四个开源模型（Llama 2、Qwen2、Mixtral、DeepSeek-V3）对比摘要</w:t>
      </w:r>
    </w:p>
    <w:p>
      <w:pPr>
        <w:spacing w:line="360" w:lineRule="auto"/>
      </w:pPr>
      <w:r>
        <w:rPr>
          <w:rFonts w:ascii="Calibri" w:eAsia="等线" w:hAnsi="Calibri"/>
          <w:b/>
          <w:bCs/>
          <w:sz w:val="20"/>
          <w:szCs w:val="20"/>
        </w:rPr>
        <w:t xml:space="preserve">一句话结论：## 摘要与范围说明</w:t>
      </w:r>
    </w:p>
    <w:p>
      <w:pPr>
        <w:spacing w:line="360" w:lineRule="auto"/>
      </w:pPr>
      <w:r>
        <w:rPr>
          <w:rFonts w:ascii="Calibri" w:eAsia="等线" w:hAnsi="Calibri"/>
          <w:b/>
          <w:bCs/>
          <w:sz w:val="28"/>
          <w:szCs w:val="28"/>
        </w:rPr>
        <w:t xml:space="preserve">交付信息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任务目标：在这两份材料的基础上写一份『四个开源模型（Llama 2、Qwen2、Mixtral、DeepSeek-V3）对比摘要』。若材料未覆盖某个模型或某个维度，必须在正文明确写出『本文档未覆盖 X，因为导入材料缺少 Y』，不得用其他来源或常识补齐。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交付等级：成品（accepted）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版本：v2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生成时间：2026-09-28 08:56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执行方式：research / auto · 模型 deepseek-v4-flash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引用：96 条（未解析 0）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来源：可用 2 / 总 2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用量：9 次调用 · $0.029 · 84.2828s</w:t>
      </w:r>
    </w:p>
    <w:p>
      <w:pPr>
        <w:spacing w:line="360" w:lineRule="auto"/>
      </w:pPr>
      <w:r>
        <w:rPr>
          <w:rFonts w:ascii="Calibri" w:eAsia="等线" w:hAnsi="Calibri"/>
          <w:b/>
          <w:bCs/>
          <w:sz w:val="28"/>
          <w:szCs w:val="28"/>
        </w:rPr>
        <w:t xml:space="preserve">正文</w:t>
      </w:r>
    </w:p>
    <w:p>
      <w:pPr>
        <w:spacing w:line="360" w:lineRule="auto"/>
      </w:pPr>
      <w:r>
        <w:rPr>
          <w:rFonts w:ascii="Calibri" w:eAsia="等线" w:hAnsi="Calibri"/>
          <w:b/>
          <w:bCs/>
          <w:sz w:val="28"/>
          <w:szCs w:val="28"/>
        </w:rPr>
        <w:t xml:space="preserve">四个开源模型（Llama 2、Qwen2、Mixtral、DeepSeek-V3）对比摘要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/>
      </w:r>
    </w:p>
    <w:p>
      <w:pPr>
        <w:spacing w:line="360" w:lineRule="auto"/>
      </w:pPr>
      <w:r>
        <w:rPr>
          <w:rFonts w:ascii="Calibri" w:eAsia="等线" w:hAnsi="Calibri"/>
          <w:b/>
          <w:bCs/>
          <w:sz w:val="28"/>
          <w:szCs w:val="28"/>
        </w:rPr>
        <w:t xml:space="preserve">摘要与范围说明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本摘要拟对比 Llama 2、Qwen2、Mixtral、DeepSeek-V3，但仅依据导入材料与给定证据。材料含 Llama 2 为预训练与微调大语言模型集合、参数规模7亿至700亿 [E-001]〔事实〕；含 Qwen2 系列包含0.5至720亿参数基础与指令微调语言模型 [E-009]〔事实〕。覆盖声明存在内部不一致：资料称未覆盖 Qwen2，因导入材料缺少 Qwen2 相关来源 [E-005]〔事实〕；明确未覆盖 Mixtral 因缺少 Mixtral 相关来源 [E-006]〔事实〕；明确未覆盖 DeepSeek-V3 因缺少 DeepSeek-V3 相关来源 [E-007]〔事实〕；另称未覆盖 Llama 2、Mixtral、DeepSeek-V3，因导入材料仅含 Qwen2 技术报告 [E-016]〔事实〕。E-016 与 E-001 对 Llama 2 是否被覆盖直接矛盾，且与 E-009 的 Qwen2 数据、E-005 的未覆盖 Qwen2 声明共同显示覆盖状态冲突；冲突开放，未裁决 [E-016][E-001][E-009][E-005]〔推断〕。因此本文档未覆盖 Mixtral，因为导入材料缺少 Mixtral 相关来源 [E-006]〔事实〕；未覆盖 DeepSeek-V3，因为导入材料缺少 DeepSeek-V3 相关来源 [E-007]〔事实〕。Llama 2 与 Qwen2 的覆盖状态待裁决；材料不足以完成四模型统一对比 [E-008]〔推断〕。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/>
      </w:r>
    </w:p>
    <w:p>
      <w:pPr>
        <w:spacing w:line="360" w:lineRule="auto"/>
      </w:pPr>
      <w:r>
        <w:rPr>
          <w:rFonts w:ascii="Calibri" w:eAsia="等线" w:hAnsi="Calibri"/>
          <w:b/>
          <w:bCs/>
          <w:sz w:val="28"/>
          <w:szCs w:val="28"/>
        </w:rPr>
        <w:t xml:space="preserve">Llama 2 模型概况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材料含 Llama 2 为预训练与微调大语言模型集合，参数规模7亿至700亿 [E-001]〔事实〕。其微调模型名为 Llama 2-Chat，针对对话场景优化 [E-002]〔事实〕。评估方面，材料称 Llama 2 在多数测试基准上优于开源聊天模型 [E-003]〔事实〕；但材料未给出具体开源聊天模型清单、基准名称与评测设置，故不能过度外推 [E-003]〔推断〕。基于有用性与安全性人工评估，材料称 Llama 2 或可替代闭源模型 [E-004]〔事实〕。另据覆盖声明，资料称未覆盖 Llama 2，因导入材料仅含 Qwen2 技术报告 [E-016]〔事实〕；该声明与上述概况条目冲突，未裁决 [E-016][E-001]〔推断〕。未裁决前，本文档保留上述条目，但将其视为与覆盖声明冲突的待裁决条目，而非已最终确认覆盖 [E-016][E-001]〔推断〕。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/>
      </w:r>
    </w:p>
    <w:p>
      <w:pPr>
        <w:spacing w:line="360" w:lineRule="auto"/>
      </w:pPr>
      <w:r>
        <w:rPr>
          <w:rFonts w:ascii="Calibri" w:eAsia="等线" w:hAnsi="Calibri"/>
          <w:b/>
          <w:bCs/>
          <w:sz w:val="28"/>
          <w:szCs w:val="28"/>
        </w:rPr>
        <w:t xml:space="preserve">Qwen2 模型概况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材料称 Qwen2 系列包含0.5至720亿参数的基础与指令微调语言模型 [E-009]〔事实〕，并包含稠密模型和一个混合专家模型 [E-010]〔事实〕。但资料又称未覆盖 Qwen2，因导入材料缺少 Qwen2 相关来源 [E-005]〔事实〕；该声明与 [E-009]、[E-010] 提供的 Qwen2 数据冲突，未裁决 [E-005][E-009][E-010]〔推断〕。因此，本文档将 Qwen2 概况作为“存在数据但覆盖声明冲突”的条目呈现，不据此宣布 Qwen2 已最终纳入统一对比 [E-005][E-009]〔推断〕。混合专家模型的具体配置与表现材料未给出；本文档未覆盖该配置，因为导入材料缺少 Qwen2 混合专家模型的详细规格与评测材料 [E-010]〔推断〕。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/>
      </w:r>
    </w:p>
    <w:p>
      <w:pPr>
        <w:spacing w:line="360" w:lineRule="auto"/>
      </w:pPr>
      <w:r>
        <w:rPr>
          <w:rFonts w:ascii="Calibri" w:eAsia="等线" w:hAnsi="Calibri"/>
          <w:b/>
          <w:bCs/>
          <w:sz w:val="28"/>
          <w:szCs w:val="28"/>
        </w:rPr>
        <w:t xml:space="preserve">Qwen2-72B 基准表现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基础模型：MMLU 84.2 [E-011]〔事实〕；GPQA 37.9 [E-012]〔事实〕；HumanEval 64.6 [E-013]〔事实〕；GSM8K 89.5、BBH 82.4 [E-014]〔事实〕。指令模型 Qwen2-72B-Instruct：MT-Bench 9.1、Arena-Hard 48.1、LiveCodeBench 35.7 [E-015]〔事实〕。以上仅覆盖所引证据列出的基准；材料未给出统一评测设置，也未给出与 Llama 2 或其他模型的同基准对照，故这些得分不能直接跨模型比较 [E-011][E-015]〔推断〕。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/>
      </w:r>
    </w:p>
    <w:p>
      <w:pPr>
        <w:spacing w:line="360" w:lineRule="auto"/>
      </w:pPr>
      <w:r>
        <w:rPr>
          <w:rFonts w:ascii="Calibri" w:eAsia="等线" w:hAnsi="Calibri"/>
          <w:b/>
          <w:bCs/>
          <w:sz w:val="28"/>
          <w:szCs w:val="28"/>
        </w:rPr>
        <w:t xml:space="preserve">Mixtral 覆盖情况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本文档未覆盖 Mixtral，因为导入材料缺少 Mixtral 相关来源 [E-006]〔事实〕；资料还称导入材料仅含 Qwen2 技术报告，未覆盖 Mixtral [E-016]〔事实〕。因此 Mixtral 的规模、基准表现、训练配置等均不可从现有材料得出 [E-006][E-016]〔推断〕。材料仅声明缺少相关来源，未提供是否完全缺失的进一步核验 [E-006][E-016]〔推断〕。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/>
      </w:r>
    </w:p>
    <w:p>
      <w:pPr>
        <w:spacing w:line="360" w:lineRule="auto"/>
      </w:pPr>
      <w:r>
        <w:rPr>
          <w:rFonts w:ascii="Calibri" w:eAsia="等线" w:hAnsi="Calibri"/>
          <w:b/>
          <w:bCs/>
          <w:sz w:val="28"/>
          <w:szCs w:val="28"/>
        </w:rPr>
        <w:t xml:space="preserve">DeepSeek-V3 覆盖情况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本文档未覆盖 DeepSeek-V3，因为导入材料缺少 DeepSeek-V3 相关来源 [E-007]〔事实〕；资料还称导入材料仅含 Qwen2 技术报告，未覆盖 DeepSeek-V3 [E-016]〔事实〕。因此 DeepSeek-V3 的规模、基准表现、架构与评测数据不可从现有材料得出 [E-007][E-016]〔推断〕。材料仅声明缺少相关来源，未提供是否完全缺失的进一步核验 [E-007][E-016]〔推断〕。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/>
      </w:r>
    </w:p>
    <w:p>
      <w:pPr>
        <w:spacing w:line="360" w:lineRule="auto"/>
      </w:pPr>
      <w:r>
        <w:rPr>
          <w:rFonts w:ascii="Calibri" w:eAsia="等线" w:hAnsi="Calibri"/>
          <w:b/>
          <w:bCs/>
          <w:sz w:val="28"/>
          <w:szCs w:val="28"/>
        </w:rPr>
        <w:t xml:space="preserve">跨模型统一对比缺口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本资料未给出 Llama 2 与其余三个模型在统一维度上的对比数据 [E-008]〔事实〕。该条范围是 Llama 2 与其余三个模型的统一维度对比，并非明确覆盖四模型两两全部组合 [E-008]〔推断〕。因此，Llama 2 参与的统一对比已缺失，四模型统一对比表在现有材料中不可得 [E-008]〔推断〕。本文档也未覆盖 Llama 2 与 Qwen2 在相同基准上的得分对比，因为导入材料缺少两模型共同基准的对照数据材料 [E-008]〔推断〕。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/>
      </w:r>
    </w:p>
    <w:p>
      <w:pPr>
        <w:spacing w:line="360" w:lineRule="auto"/>
      </w:pPr>
      <w:r>
        <w:rPr>
          <w:rFonts w:ascii="Calibri" w:eAsia="等线" w:hAnsi="Calibri"/>
          <w:b/>
          <w:bCs/>
          <w:sz w:val="28"/>
          <w:szCs w:val="28"/>
        </w:rPr>
        <w:t xml:space="preserve">材料冲突与未决事项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存在覆盖声明冲突一：资料称未覆盖 Qwen2，因导入材料缺少 Qwen2 相关来源 [E-005]〔事实〕；但资料给出 Qwen2 系列规模与类型数据 [E-009][E-010]〔事实〕。冲突开放，未获新证据前不作裁决 [E-005][E-009][E-010]〔事实〕。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存在覆盖声明冲突二：资料称未覆盖 Llama 2、Mixtral、DeepSeek-V3，因导入材料仅含 Qwen2 技术报告 [E-016]〔事实〕；但资料又含 Llama 2 概况条目 [E-001]〔事实〕，并含 Qwen2 数据 [E-009]〔事实〕。该冲突未裁决 [E-016][E-001][E-009]〔事实〕。其影响是：Llama 2 条目在未裁决前保留但降级为待裁决覆盖下的条目；Qwen2 是否应视为已覆盖亦未裁决 [E-016][E-001][E-009]〔推断〕。Mixtral 与 DeepSeek-V3 的未覆盖声明与 [E-006]、[E-007] 一致 [E-006][E-007]〔事实〕。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/>
      </w:r>
    </w:p>
    <w:p>
      <w:pPr>
        <w:spacing w:line="360" w:lineRule="auto"/>
      </w:pPr>
      <w:r>
        <w:rPr>
          <w:rFonts w:ascii="Calibri" w:eAsia="等线" w:hAnsi="Calibri"/>
          <w:b/>
          <w:bCs/>
          <w:sz w:val="28"/>
          <w:szCs w:val="28"/>
        </w:rPr>
        <w:t xml:space="preserve">待补问题与结论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待补问题：Mixtral 的模型规模与基准表现，缺少 Mixtral 技术报告或官方模型卡等来源材料；据 [E-006]、[E-016]，导入材料声明缺少相关来源 [E-006][E-016]〔事实〕。DeepSeek-V3 的模型规模与基准表现，缺少 DeepSeek-V3 技术报告或官方模型卡等来源材料；据 [E-007]、[E-016]，导入材料声明缺少相关来源 [E-007][E-016]〔事实〕。四模型在统一基准上的对比数据，缺少覆盖四个模型的统一评测结果材料；[E-008] 已显示 Llama 2 与其余三个模型在统一维度上的对比数据未给出 [E-008]〔事实〕。Llama 2 与 Qwen2 在相同基准上的得分对比，缺少两模型共同基准的对照数据材料 [E-008]〔推断〕。Qwen2 混合专家模型具体配置与表现，缺少详细规格与评测材料 [E-010]〔推断〕。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基于现有材料，可列 Llama 2 概况条目、Qwen2 概况及 Qwen2-72B 部分基准，但覆盖声明内部冲突；资料声明仅含 Qwen2 技术报告且未覆盖 Llama 2、Mixtral、DeepSeek-V3 [E-016]〔事实〕；且未给出 Llama 2 与其余三个模型的统一维度对比数据 [E-008]〔事实〕。因此现有材料不足以完成四个开源模型的完整、统一、可裁决对比 [E-016][E-008]〔推断〕。可操作结论：先裁决覆盖冲突，再补齐缺失来源与统一评测材料，之后更新对比结论 [E-005][E-009][E-016][E-008]〔推断〕。</w:t>
      </w:r>
    </w:p>
    <w:p>
      <w:pPr>
        <w:spacing w:line="360" w:lineRule="auto"/>
      </w:pPr>
      <w:r>
        <w:rPr>
          <w:rFonts w:ascii="Calibri" w:eAsia="等线" w:hAnsi="Calibri"/>
          <w:b/>
          <w:bCs/>
          <w:sz w:val="28"/>
          <w:szCs w:val="28"/>
        </w:rPr>
        <w:t xml:space="preserve">局限与未决问题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双层审校通过（引用可定位、章节齐全、无阻塞问题）</w:t>
      </w:r>
    </w:p>
    <w:p>
      <w:pPr>
        <w:spacing w:line="360" w:lineRule="auto"/>
      </w:pPr>
      <w:r>
        <w:rPr>
          <w:rFonts w:ascii="Calibri" w:eAsia="等线" w:hAnsi="Calibri"/>
          <w:b/>
          <w:bCs/>
          <w:sz w:val="28"/>
          <w:szCs w:val="28"/>
        </w:rPr>
        <w:t xml:space="preserve">参考来源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1. 网页来源（src_85af6a51） · 第 12 段 · 获取 2026-09-28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2. 网页来源（src_15931136） · 第 12 段 · 获取 2026-09-28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3. 网页来源（src_85af6a51） · 获取 2026-09-28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4. 网页来源（src_85af6a51） · 获取 2026-09-28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5. 网页来源（src_85af6a51） · 获取 2026-09-28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6. 网页来源（src_15931136） · 第 12 段 · 获取 2026-09-28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7. 网页来源（src_85af6a51） · 第 12 段 · 获取 2026-09-28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8. 网页来源（src_85af6a51） · 第 12 段 · 获取 2026-09-28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9. 网页来源（src_85af6a51） · 第 12 段 · 获取 2026-09-28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10. 网页来源（src_85af6a51） · 第 12 段 · 获取 2026-09-28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11. 网页来源（src_15931136） · 第 12 段 · 获取 2026-09-28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12. 网页来源（src_15931136） · 第 12 段 · 获取 2026-09-28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13. 网页来源（src_15931136） · 第 12 段 · 获取 2026-09-28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14. 网页来源（src_15931136） · 第 12 段 · 获取 2026-09-28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15. 网页来源（src_15931136） · 第 12 段 · 获取 2026-09-28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16. 网页来源（src_15931136） · 第 12 段 · 获取 2026-09-28</w:t>
      </w:r>
    </w:p>
    <w:p>
      <w:pPr>
        <w:spacing w:line="360" w:lineRule="auto"/>
      </w:pPr>
      <w:r>
        <w:rPr>
          <w:rFonts w:ascii="Calibri" w:eAsia="等线" w:hAnsi="Calibri"/>
          <w:b/>
          <w:bCs/>
          <w:sz w:val="28"/>
          <w:szCs w:val="28"/>
        </w:rPr>
        <w:t xml:space="preserve">附录 B：来源清单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网页来源（src_85af6a51）（文件 · ok · 获取 2026-09-28）</w:t>
      </w:r>
    </w:p>
    <w:p>
      <w:pPr>
        <w:spacing w:line="360" w:lineRule="auto"/>
      </w:pPr>
      <w:r>
        <w:rPr>
          <w:rFonts w:ascii="Calibri" w:eAsia="等线" w:hAnsi="Calibri"/>
          <w:sz w:val="22"/>
          <w:szCs w:val="22"/>
        </w:rPr>
        <w:t xml:space="preserve">网页来源（src_15931136）（文件 · ok · 获取 2026-09-28）</w:t>
      </w:r>
    </w:p>
    <w:sectPr>
      <w:pgSz w:w="11906" w:h="16838"/>
      <w:pgMar w:top="1440" w:right="1440" w:bottom="1440" w:left="1440"/>
    </w:sectPr>
  </w:body>
</w:document>
</file>