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jwp87j3qdg3u" w:id="0"/>
      <w:bookmarkEnd w:id="0"/>
      <w:r w:rsidDel="00000000" w:rsidR="00000000" w:rsidRPr="00000000">
        <w:rPr>
          <w:rFonts w:ascii="Arial Unicode MS" w:cs="Arial Unicode MS" w:eastAsia="Arial Unicode MS" w:hAnsi="Arial Unicode MS"/>
          <w:rtl w:val="0"/>
        </w:rPr>
        <w:t xml:space="preserve">贸易业务财务分析月度报告（2026年2月）</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作为财务总监，通过对2026年2月财务报表的深度穿透，本月经营状况揭示了一个严峻的信号：公司目前正陷入“结构性亏损”与“流动性枯竭”的双重困境。当前的经营模式在毛利空间与费用结构的错配下，已表现出极高的脆弱性。以下是基于数据的专业诊断。</w:t>
      </w:r>
    </w:p>
    <w:p w:rsidR="00000000" w:rsidDel="00000000" w:rsidP="00000000" w:rsidRDefault="00000000" w:rsidRPr="00000000" w14:paraId="00000003">
      <w:pPr>
        <w:pStyle w:val="Heading5"/>
        <w:rPr/>
      </w:pPr>
      <w:bookmarkStart w:colFirst="0" w:colLast="0" w:name="_m0vwcjihygkl" w:id="1"/>
      <w:bookmarkEnd w:id="1"/>
      <w:r w:rsidDel="00000000" w:rsidR="00000000" w:rsidRPr="00000000">
        <w:rPr>
          <w:rFonts w:ascii="Arial Unicode MS" w:cs="Arial Unicode MS" w:eastAsia="Arial Unicode MS" w:hAnsi="Arial Unicode MS"/>
          <w:rtl w:val="0"/>
        </w:rPr>
        <w:t xml:space="preserve">1. 经营成果深度分析：盈利性的挑战与症结</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本月虽然录得近 782 万元的营业收入，但利润端表现极度匮乏，核心经营指标呈全面赤字。| 核心财务指标 | 金额 (人民币/元) | 占收入比例 / 利润率 || ------ | ------ | ------ || </w:t>
      </w:r>
      <w:r w:rsidDel="00000000" w:rsidR="00000000" w:rsidRPr="00000000">
        <w:rPr>
          <w:rFonts w:ascii="Arial Unicode MS" w:cs="Arial Unicode MS" w:eastAsia="Arial Unicode MS" w:hAnsi="Arial Unicode MS"/>
          <w:b w:val="1"/>
          <w:bCs w:val="1"/>
          <w:rtl w:val="0"/>
        </w:rPr>
        <w:t xml:space="preserve">营业收入</w:t>
      </w:r>
      <w:r w:rsidDel="00000000" w:rsidR="00000000" w:rsidRPr="00000000">
        <w:rPr>
          <w:rtl w:val="0"/>
        </w:rPr>
        <w:t xml:space="preserve"> | 7,822,973.81 | 100.00% || </w:t>
      </w:r>
      <w:r w:rsidDel="00000000" w:rsidR="00000000" w:rsidRPr="00000000">
        <w:rPr>
          <w:rFonts w:ascii="Arial Unicode MS" w:cs="Arial Unicode MS" w:eastAsia="Arial Unicode MS" w:hAnsi="Arial Unicode MS"/>
          <w:b w:val="1"/>
          <w:bCs w:val="1"/>
          <w:rtl w:val="0"/>
        </w:rPr>
        <w:t xml:space="preserve">营业成本</w:t>
      </w:r>
      <w:r w:rsidDel="00000000" w:rsidR="00000000" w:rsidRPr="00000000">
        <w:rPr>
          <w:rtl w:val="0"/>
        </w:rPr>
        <w:t xml:space="preserve"> | 7,117,265.07 | 90.98% || </w:t>
      </w:r>
      <w:r w:rsidDel="00000000" w:rsidR="00000000" w:rsidRPr="00000000">
        <w:rPr>
          <w:rFonts w:ascii="Arial Unicode MS" w:cs="Arial Unicode MS" w:eastAsia="Arial Unicode MS" w:hAnsi="Arial Unicode MS"/>
          <w:b w:val="1"/>
          <w:bCs w:val="1"/>
          <w:rtl w:val="0"/>
        </w:rPr>
        <w:t xml:space="preserve">毛利 (收入 - 成本)</w:t>
      </w:r>
      <w:r w:rsidDel="00000000" w:rsidR="00000000" w:rsidRPr="00000000">
        <w:rPr>
          <w:rtl w:val="0"/>
        </w:rPr>
        <w:t xml:space="preserve"> | 705,708.74 | </w:t>
      </w:r>
      <w:r w:rsidDel="00000000" w:rsidR="00000000" w:rsidRPr="00000000">
        <w:rPr>
          <w:rFonts w:ascii="Arial Unicode MS" w:cs="Arial Unicode MS" w:eastAsia="Arial Unicode MS" w:hAnsi="Arial Unicode MS"/>
          <w:b w:val="1"/>
          <w:bCs w:val="1"/>
          <w:rtl w:val="0"/>
        </w:rPr>
        <w:t xml:space="preserve">9.02% (毛利率)</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三项期间费用合计</w:t>
      </w:r>
      <w:r w:rsidDel="00000000" w:rsidR="00000000" w:rsidRPr="00000000">
        <w:rPr>
          <w:rtl w:val="0"/>
        </w:rPr>
        <w:t xml:space="preserve"> | 1,471,748.63 | 18.81% || </w:t>
      </w:r>
      <w:r w:rsidDel="00000000" w:rsidR="00000000" w:rsidRPr="00000000">
        <w:rPr>
          <w:rFonts w:ascii="Arial Unicode MS" w:cs="Arial Unicode MS" w:eastAsia="Arial Unicode MS" w:hAnsi="Arial Unicode MS"/>
          <w:b w:val="1"/>
          <w:bCs w:val="1"/>
          <w:rtl w:val="0"/>
        </w:rPr>
        <w:t xml:space="preserve">营业利润</w:t>
      </w:r>
      <w:r w:rsidDel="00000000" w:rsidR="00000000" w:rsidRPr="00000000">
        <w:rPr>
          <w:rtl w:val="0"/>
        </w:rPr>
        <w:t xml:space="preserve"> | -770,976.04 | -9.86% || </w:t>
      </w:r>
      <w:r w:rsidDel="00000000" w:rsidR="00000000" w:rsidRPr="00000000">
        <w:rPr>
          <w:rFonts w:ascii="Arial Unicode MS" w:cs="Arial Unicode MS" w:eastAsia="Arial Unicode MS" w:hAnsi="Arial Unicode MS"/>
          <w:b w:val="1"/>
          <w:bCs w:val="1"/>
          <w:rtl w:val="0"/>
        </w:rPr>
        <w:t xml:space="preserve">净利润</w:t>
      </w:r>
      <w:r w:rsidDel="00000000" w:rsidR="00000000" w:rsidRPr="00000000">
        <w:rPr>
          <w:rtl w:val="0"/>
        </w:rPr>
        <w:t xml:space="preserve"> | -768,735.58 | -9.83% |</w:t>
      </w:r>
    </w:p>
    <w:p w:rsidR="00000000" w:rsidDel="00000000" w:rsidP="00000000" w:rsidRDefault="00000000" w:rsidRPr="00000000" w14:paraId="00000005">
      <w:pPr>
        <w:rPr>
          <w:b w:val="1"/>
          <w:bCs w:val="1"/>
        </w:rPr>
      </w:pPr>
      <w:r w:rsidDel="00000000" w:rsidR="00000000" w:rsidRPr="00000000">
        <w:rPr>
          <w:rFonts w:ascii="Arial Unicode MS" w:cs="Arial Unicode MS" w:eastAsia="Arial Unicode MS" w:hAnsi="Arial Unicode MS"/>
          <w:b w:val="1"/>
          <w:bCs w:val="1"/>
          <w:rtl w:val="0"/>
        </w:rPr>
        <w:t xml:space="preserve">经营逻辑诊断与保本点分析：</w:t>
      </w:r>
    </w:p>
    <w:p w:rsidR="00000000" w:rsidDel="00000000" w:rsidP="00000000" w:rsidRDefault="00000000" w:rsidRPr="00000000" w14:paraId="00000006">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管理费用失控：</w:t>
      </w:r>
      <w:r w:rsidDel="00000000" w:rsidR="00000000" w:rsidRPr="00000000">
        <w:rPr>
          <w:rFonts w:ascii="Arial Unicode MS" w:cs="Arial Unicode MS" w:eastAsia="Arial Unicode MS" w:hAnsi="Arial Unicode MS"/>
          <w:rtl w:val="0"/>
        </w:rPr>
        <w:t xml:space="preserve">  管理费用高达 92.7 万，不仅是最大的支出项，且已完全吞噬了 70.5 万的毛利总额。这意味着目前的管理成本结构与低毛利的贸易模式在本质上是互不兼容的。</w:t>
      </w:r>
    </w:p>
    <w:p w:rsidR="00000000" w:rsidDel="00000000" w:rsidP="00000000" w:rsidRDefault="00000000" w:rsidRPr="00000000" w14:paraId="00000007">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营运保本分析 (Breakeven Analysis)：</w:t>
      </w:r>
      <w:r w:rsidDel="00000000" w:rsidR="00000000" w:rsidRPr="00000000">
        <w:rPr>
          <w:rFonts w:ascii="Arial Unicode MS" w:cs="Arial Unicode MS" w:eastAsia="Arial Unicode MS" w:hAnsi="Arial Unicode MS"/>
          <w:rtl w:val="0"/>
        </w:rPr>
        <w:t xml:space="preserve">  在目前 9.02% 的毛利率水平下，若要覆盖本月约 147.7 万元的运营开支（含税金），公司单月营业收入必须达到约  </w:t>
      </w:r>
      <w:r w:rsidDel="00000000" w:rsidR="00000000" w:rsidRPr="00000000">
        <w:rPr>
          <w:rFonts w:ascii="Arial Unicode MS" w:cs="Arial Unicode MS" w:eastAsia="Arial Unicode MS" w:hAnsi="Arial Unicode MS"/>
          <w:b w:val="1"/>
          <w:bCs w:val="1"/>
          <w:rtl w:val="0"/>
        </w:rPr>
        <w:t xml:space="preserve">1,637 万元</w:t>
      </w:r>
      <w:r w:rsidDel="00000000" w:rsidR="00000000" w:rsidRPr="00000000">
        <w:rPr>
          <w:rFonts w:ascii="Arial Unicode MS" w:cs="Arial Unicode MS" w:eastAsia="Arial Unicode MS" w:hAnsi="Arial Unicode MS"/>
          <w:rtl w:val="0"/>
        </w:rPr>
        <w:t xml:space="preserve"> 。目前的销售规模仅达到保本点的 47.7%，管理层必须意识到，要么实现业绩翻倍，要么必须立即砍掉 50% 的固定成本。</w:t>
      </w:r>
    </w:p>
    <w:p w:rsidR="00000000" w:rsidDel="00000000" w:rsidP="00000000" w:rsidRDefault="00000000" w:rsidRPr="00000000" w14:paraId="00000008">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费用侵蚀：</w:t>
      </w:r>
      <w:r w:rsidDel="00000000" w:rsidR="00000000" w:rsidRPr="00000000">
        <w:rPr>
          <w:rFonts w:ascii="Arial Unicode MS" w:cs="Arial Unicode MS" w:eastAsia="Arial Unicode MS" w:hAnsi="Arial Unicode MS"/>
          <w:rtl w:val="0"/>
        </w:rPr>
        <w:t xml:space="preserve">  销售费用（54.4 万）占收入比重过高，在低毛利环境下，获客边际效益极低。</w:t>
      </w:r>
      <w:r w:rsidDel="00000000" w:rsidR="00000000" w:rsidRPr="00000000">
        <w:rPr>
          <w:rFonts w:ascii="Arial Unicode MS" w:cs="Arial Unicode MS" w:eastAsia="Arial Unicode MS" w:hAnsi="Arial Unicode MS"/>
          <w:b w:val="1"/>
          <w:bCs w:val="1"/>
          <w:rtl w:val="0"/>
        </w:rPr>
        <w:t xml:space="preserve">总结性见解：</w:t>
      </w:r>
      <w:r w:rsidDel="00000000" w:rsidR="00000000" w:rsidRPr="00000000">
        <w:rPr>
          <w:rFonts w:ascii="Arial Unicode MS" w:cs="Arial Unicode MS" w:eastAsia="Arial Unicode MS" w:hAnsi="Arial Unicode MS"/>
          <w:rtl w:val="0"/>
        </w:rPr>
        <w:t xml:space="preserve">  当前的毛利水平根本无法覆盖结构化的运营支出。这种“面子收入、里子亏损”的现状，正持续侵蚀公司的净资产。</w:t>
      </w:r>
      <w:r w:rsidDel="00000000" w:rsidR="00000000" w:rsidRPr="00000000">
        <w:rPr>
          <w:rFonts w:ascii="Arial Unicode MS" w:cs="Arial Unicode MS" w:eastAsia="Arial Unicode MS" w:hAnsi="Arial Unicode MS"/>
          <w:b w:val="1"/>
          <w:bCs w:val="1"/>
          <w:rtl w:val="0"/>
        </w:rPr>
        <w:t xml:space="preserve">过渡句：</w:t>
      </w:r>
      <w:r w:rsidDel="00000000" w:rsidR="00000000" w:rsidRPr="00000000">
        <w:rPr>
          <w:rFonts w:ascii="Arial Unicode MS" w:cs="Arial Unicode MS" w:eastAsia="Arial Unicode MS" w:hAnsi="Arial Unicode MS"/>
          <w:rtl w:val="0"/>
        </w:rPr>
        <w:t xml:space="preserve">  在分析完利润端的压力后，我们需要进入资产负债表，审视公司的资产结构是否稳健。</w:t>
      </w:r>
    </w:p>
    <w:p w:rsidR="00000000" w:rsidDel="00000000" w:rsidP="00000000" w:rsidRDefault="00000000" w:rsidRPr="00000000" w14:paraId="00000009">
      <w:pPr>
        <w:pStyle w:val="Heading5"/>
        <w:rPr/>
      </w:pPr>
      <w:bookmarkStart w:colFirst="0" w:colLast="0" w:name="_fgbvu3591mr8" w:id="2"/>
      <w:bookmarkEnd w:id="2"/>
      <w:r w:rsidDel="00000000" w:rsidR="00000000" w:rsidRPr="00000000">
        <w:rPr>
          <w:rFonts w:ascii="Arial Unicode MS" w:cs="Arial Unicode MS" w:eastAsia="Arial Unicode MS" w:hAnsi="Arial Unicode MS"/>
          <w:rtl w:val="0"/>
        </w:rPr>
        <w:t xml:space="preserve">2. 资产质量与资本结构分析：营运资本的沉淀风险</w:t>
      </w:r>
    </w:p>
    <w:p w:rsidR="00000000" w:rsidDel="00000000" w:rsidP="00000000" w:rsidRDefault="00000000" w:rsidRPr="00000000" w14:paraId="0000000A">
      <w:pPr>
        <w:rPr>
          <w:b w:val="1"/>
          <w:bCs w:val="1"/>
        </w:rPr>
      </w:pPr>
      <w:r w:rsidDel="00000000" w:rsidR="00000000" w:rsidRPr="00000000">
        <w:rPr>
          <w:rFonts w:ascii="Arial Unicode MS" w:cs="Arial Unicode MS" w:eastAsia="Arial Unicode MS" w:hAnsi="Arial Unicode MS"/>
          <w:rtl w:val="0"/>
        </w:rPr>
        <w:t xml:space="preserve">资产负债表反映了典型的“资产重叠与流动性锁定”风险，资产负债率虽在安全范围，但资产的含金量存疑。</w:t>
      </w:r>
      <w:r w:rsidDel="00000000" w:rsidR="00000000" w:rsidRPr="00000000">
        <w:rPr>
          <w:rFonts w:ascii="Arial Unicode MS" w:cs="Arial Unicode MS" w:eastAsia="Arial Unicode MS" w:hAnsi="Arial Unicode MS"/>
          <w:b w:val="1"/>
          <w:bCs w:val="1"/>
          <w:rtl w:val="0"/>
        </w:rPr>
        <w:t xml:space="preserve">资产负债概览：</w:t>
      </w:r>
    </w:p>
    <w:p w:rsidR="00000000" w:rsidDel="00000000" w:rsidP="00000000" w:rsidRDefault="00000000" w:rsidRPr="00000000" w14:paraId="0000000B">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资产总计：</w:t>
      </w:r>
      <w:r w:rsidDel="00000000" w:rsidR="00000000" w:rsidRPr="00000000">
        <w:rPr>
          <w:rFonts w:ascii="Arial Unicode MS" w:cs="Arial Unicode MS" w:eastAsia="Arial Unicode MS" w:hAnsi="Arial Unicode MS"/>
          <w:rtl w:val="0"/>
        </w:rPr>
        <w:t xml:space="preserve">  20,238,738.75 元</w:t>
      </w:r>
    </w:p>
    <w:p w:rsidR="00000000" w:rsidDel="00000000" w:rsidP="00000000" w:rsidRDefault="00000000" w:rsidRPr="00000000" w14:paraId="0000000C">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负债合计：</w:t>
      </w:r>
      <w:r w:rsidDel="00000000" w:rsidR="00000000" w:rsidRPr="00000000">
        <w:rPr>
          <w:rFonts w:ascii="Arial Unicode MS" w:cs="Arial Unicode MS" w:eastAsia="Arial Unicode MS" w:hAnsi="Arial Unicode MS"/>
          <w:rtl w:val="0"/>
        </w:rPr>
        <w:t xml:space="preserve">  8,639,680.52 元</w:t>
      </w:r>
    </w:p>
    <w:p w:rsidR="00000000" w:rsidDel="00000000" w:rsidP="00000000" w:rsidRDefault="00000000" w:rsidRPr="00000000" w14:paraId="0000000D">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资产负债率：</w:t>
      </w:r>
      <w:r w:rsidDel="00000000" w:rsidR="00000000" w:rsidRPr="00000000">
        <w:rPr>
          <w:rtl w:val="0"/>
        </w:rPr>
        <w:t xml:space="preserve">   </w:t>
      </w:r>
      <w:r w:rsidDel="00000000" w:rsidR="00000000" w:rsidRPr="00000000">
        <w:rPr>
          <w:b w:val="1"/>
          <w:bCs w:val="1"/>
          <w:rtl w:val="0"/>
        </w:rPr>
        <w:t xml:space="preserve">42.69%</w:t>
      </w:r>
    </w:p>
    <w:p w:rsidR="00000000" w:rsidDel="00000000" w:rsidP="00000000" w:rsidRDefault="00000000" w:rsidRPr="00000000" w14:paraId="0000000E">
      <w:pPr>
        <w:numPr>
          <w:ilvl w:val="0"/>
          <w:numId w:val="1"/>
        </w:numPr>
        <w:ind w:left="720" w:hanging="360"/>
        <w:rPr>
          <w:u w:val="none"/>
        </w:rPr>
      </w:pPr>
      <w:r w:rsidDel="00000000" w:rsidR="00000000" w:rsidRPr="00000000">
        <w:rPr>
          <w:rFonts w:ascii="Arial Unicode MS" w:cs="Arial Unicode MS" w:eastAsia="Arial Unicode MS" w:hAnsi="Arial Unicode MS"/>
          <w:rtl w:val="0"/>
        </w:rPr>
        <w:t xml:space="preserve">尽管杠杆率尚可，但超过 75% 的流动资产被锁定在回款和存货环节，流动性承受巨大压力。</w:t>
      </w:r>
      <w:r w:rsidDel="00000000" w:rsidR="00000000" w:rsidRPr="00000000">
        <w:rPr>
          <w:rFonts w:ascii="Arial Unicode MS" w:cs="Arial Unicode MS" w:eastAsia="Arial Unicode MS" w:hAnsi="Arial Unicode MS"/>
          <w:b w:val="1"/>
          <w:bCs w:val="1"/>
          <w:rtl w:val="0"/>
        </w:rPr>
        <w:t xml:space="preserve">核心资产风险透视：</w:t>
      </w:r>
    </w:p>
    <w:p w:rsidR="00000000" w:rsidDel="00000000" w:rsidP="00000000" w:rsidRDefault="00000000" w:rsidRPr="00000000" w14:paraId="0000000F">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信用敞口超预警：</w:t>
      </w:r>
      <w:r w:rsidDel="00000000" w:rsidR="00000000" w:rsidRPr="00000000">
        <w:rPr>
          <w:rFonts w:ascii="Arial Unicode MS" w:cs="Arial Unicode MS" w:eastAsia="Arial Unicode MS" w:hAnsi="Arial Unicode MS"/>
          <w:rtl w:val="0"/>
        </w:rPr>
        <w:t xml:space="preserve">  必须注意到，除**应收账款（925 万）**外，还有  </w:t>
      </w:r>
      <w:r w:rsidDel="00000000" w:rsidR="00000000" w:rsidRPr="00000000">
        <w:rPr>
          <w:rFonts w:ascii="Arial Unicode MS" w:cs="Arial Unicode MS" w:eastAsia="Arial Unicode MS" w:hAnsi="Arial Unicode MS"/>
          <w:b w:val="1"/>
          <w:bCs w:val="1"/>
          <w:rtl w:val="0"/>
        </w:rPr>
        <w:t xml:space="preserve">151.4 万的应收票据</w:t>
      </w:r>
      <w:r w:rsidDel="00000000" w:rsidR="00000000" w:rsidRPr="00000000">
        <w:rPr>
          <w:rFonts w:ascii="Arial Unicode MS" w:cs="Arial Unicode MS" w:eastAsia="Arial Unicode MS" w:hAnsi="Arial Unicode MS"/>
          <w:rtl w:val="0"/>
        </w:rPr>
        <w:t xml:space="preserve"> 。广义应收款项合计高达  </w:t>
      </w:r>
      <w:r w:rsidDel="00000000" w:rsidR="00000000" w:rsidRPr="00000000">
        <w:rPr>
          <w:rFonts w:ascii="Arial Unicode MS" w:cs="Arial Unicode MS" w:eastAsia="Arial Unicode MS" w:hAnsi="Arial Unicode MS"/>
          <w:b w:val="1"/>
          <w:bCs w:val="1"/>
          <w:rtl w:val="0"/>
        </w:rPr>
        <w:t xml:space="preserve">1,076.4 万</w:t>
      </w:r>
      <w:r w:rsidDel="00000000" w:rsidR="00000000" w:rsidRPr="00000000">
        <w:rPr>
          <w:rFonts w:ascii="Arial Unicode MS" w:cs="Arial Unicode MS" w:eastAsia="Arial Unicode MS" w:hAnsi="Arial Unicode MS"/>
          <w:rtl w:val="0"/>
        </w:rPr>
        <w:t xml:space="preserve"> ，占总资产的  </w:t>
      </w:r>
      <w:r w:rsidDel="00000000" w:rsidR="00000000" w:rsidRPr="00000000">
        <w:rPr>
          <w:b w:val="1"/>
          <w:bCs w:val="1"/>
          <w:rtl w:val="0"/>
        </w:rPr>
        <w:t xml:space="preserve">53.18%</w:t>
      </w:r>
      <w:r w:rsidDel="00000000" w:rsidR="00000000" w:rsidRPr="00000000">
        <w:rPr>
          <w:rFonts w:ascii="Arial Unicode MS" w:cs="Arial Unicode MS" w:eastAsia="Arial Unicode MS" w:hAnsi="Arial Unicode MS"/>
          <w:rtl w:val="0"/>
        </w:rPr>
        <w:t xml:space="preserve"> 。公司一半以上的身家都系于客户的信用之上。</w:t>
      </w:r>
    </w:p>
    <w:p w:rsidR="00000000" w:rsidDel="00000000" w:rsidP="00000000" w:rsidRDefault="00000000" w:rsidRPr="00000000" w14:paraId="0000001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存货数据异常：</w:t>
      </w:r>
      <w:r w:rsidDel="00000000" w:rsidR="00000000" w:rsidRPr="00000000">
        <w:rPr>
          <w:rFonts w:ascii="Arial Unicode MS" w:cs="Arial Unicode MS" w:eastAsia="Arial Unicode MS" w:hAnsi="Arial Unicode MS"/>
          <w:rtl w:val="0"/>
        </w:rPr>
        <w:t xml:space="preserve">  报表显示总存货为 599.1 万，但明细中“库存商品”却录得 671.4 万。这种账实不符或分类逻辑的错位（约 72 万差异）暗示了存货估值风险或潜在的库损未及时转账，需立即复核。</w:t>
      </w:r>
    </w:p>
    <w:p w:rsidR="00000000" w:rsidDel="00000000" w:rsidP="00000000" w:rsidRDefault="00000000" w:rsidRPr="00000000" w14:paraId="00000011">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极端流动性匹配风险：</w:t>
      </w:r>
      <w:r w:rsidDel="00000000" w:rsidR="00000000" w:rsidRPr="00000000">
        <w:rPr>
          <w:rFonts w:ascii="Arial Unicode MS" w:cs="Arial Unicode MS" w:eastAsia="Arial Unicode MS" w:hAnsi="Arial Unicode MS"/>
          <w:rtl w:val="0"/>
        </w:rPr>
        <w:t xml:space="preserve">  虽然应付账款（928.9 万）与应收账款（925 万）看似平衡，但这种匹配是脆弱的。一旦主要债务人延迟付款，由于缺乏现金缓冲，公司将立即陷入对供应商违约的连锁反应中。</w:t>
      </w:r>
    </w:p>
    <w:p w:rsidR="00000000" w:rsidDel="00000000" w:rsidP="00000000" w:rsidRDefault="00000000" w:rsidRPr="00000000" w14:paraId="00000012">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税务与薪酬异常：</w:t>
      </w:r>
      <w:r w:rsidDel="00000000" w:rsidR="00000000" w:rsidRPr="00000000">
        <w:rPr>
          <w:rFonts w:ascii="Arial Unicode MS" w:cs="Arial Unicode MS" w:eastAsia="Arial Unicode MS" w:hAnsi="Arial Unicode MS"/>
          <w:rtl w:val="0"/>
        </w:rPr>
        <w:t xml:space="preserve">  应交税费（-45.4 万）与应付职工薪酬（-40.3 万）均为负数，反映了存在预缴或过度支付现象。</w:t>
      </w:r>
      <w:r w:rsidDel="00000000" w:rsidR="00000000" w:rsidRPr="00000000">
        <w:rPr>
          <w:rFonts w:ascii="Arial Unicode MS" w:cs="Arial Unicode MS" w:eastAsia="Arial Unicode MS" w:hAnsi="Arial Unicode MS"/>
          <w:b w:val="1"/>
          <w:bCs w:val="1"/>
          <w:rtl w:val="0"/>
        </w:rPr>
        <w:t xml:space="preserve">总结性见解：</w:t>
      </w:r>
      <w:r w:rsidDel="00000000" w:rsidR="00000000" w:rsidRPr="00000000">
        <w:rPr>
          <w:rFonts w:ascii="Arial Unicode MS" w:cs="Arial Unicode MS" w:eastAsia="Arial Unicode MS" w:hAnsi="Arial Unicode MS"/>
          <w:rtl w:val="0"/>
        </w:rPr>
        <w:t xml:space="preserve">  资产结构表现为“虚重、实空”，超过 53% 的资产处于外部风险管控之下，资产周转率已出现停滞迹象。</w:t>
      </w:r>
      <w:r w:rsidDel="00000000" w:rsidR="00000000" w:rsidRPr="00000000">
        <w:rPr>
          <w:rFonts w:ascii="Arial Unicode MS" w:cs="Arial Unicode MS" w:eastAsia="Arial Unicode MS" w:hAnsi="Arial Unicode MS"/>
          <w:b w:val="1"/>
          <w:bCs w:val="1"/>
          <w:rtl w:val="0"/>
        </w:rPr>
        <w:t xml:space="preserve">过渡句：</w:t>
      </w:r>
      <w:r w:rsidDel="00000000" w:rsidR="00000000" w:rsidRPr="00000000">
        <w:rPr>
          <w:rFonts w:ascii="Arial Unicode MS" w:cs="Arial Unicode MS" w:eastAsia="Arial Unicode MS" w:hAnsi="Arial Unicode MS"/>
          <w:rtl w:val="0"/>
        </w:rPr>
        <w:t xml:space="preserve">  账面资产虽然庞大，但能否转化为现金才是贸易公司生存的关键。</w:t>
      </w:r>
    </w:p>
    <w:p w:rsidR="00000000" w:rsidDel="00000000" w:rsidP="00000000" w:rsidRDefault="00000000" w:rsidRPr="00000000" w14:paraId="00000013">
      <w:pPr>
        <w:pStyle w:val="Heading5"/>
        <w:rPr/>
      </w:pPr>
      <w:bookmarkStart w:colFirst="0" w:colLast="0" w:name="_adlpz9mrue2h" w:id="3"/>
      <w:bookmarkEnd w:id="3"/>
      <w:r w:rsidDel="00000000" w:rsidR="00000000" w:rsidRPr="00000000">
        <w:rPr>
          <w:rFonts w:ascii="Arial Unicode MS" w:cs="Arial Unicode MS" w:eastAsia="Arial Unicode MS" w:hAnsi="Arial Unicode MS"/>
          <w:rtl w:val="0"/>
        </w:rPr>
        <w:t xml:space="preserve">3. 现金流与营运效率：血液循环的预警</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现金流量表显示公司正处于失血状态，现金流与利润的背离揭示了经营质量的恶化。</w:t>
      </w:r>
    </w:p>
    <w:p w:rsidR="00000000" w:rsidDel="00000000" w:rsidP="00000000" w:rsidRDefault="00000000" w:rsidRPr="00000000" w14:paraId="00000015">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经营活动产生的现金流量净额：-3,202,691.25 元</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现金失血速率：</w:t>
      </w:r>
      <w:r w:rsidDel="00000000" w:rsidR="00000000" w:rsidRPr="00000000">
        <w:rPr>
          <w:rFonts w:ascii="Arial Unicode MS" w:cs="Arial Unicode MS" w:eastAsia="Arial Unicode MS" w:hAnsi="Arial Unicode MS"/>
          <w:rtl w:val="0"/>
        </w:rPr>
        <w:t xml:space="preserve">  期初现金余额为 657.4 万，而本月净流出达 320.3 万。这意味着 </w:t>
      </w:r>
      <w:r w:rsidDel="00000000" w:rsidR="00000000" w:rsidRPr="00000000">
        <w:rPr>
          <w:rFonts w:ascii="Arial Unicode MS" w:cs="Arial Unicode MS" w:eastAsia="Arial Unicode MS" w:hAnsi="Arial Unicode MS"/>
          <w:b w:val="1"/>
          <w:bCs w:val="1"/>
          <w:rtl w:val="0"/>
        </w:rPr>
        <w:t xml:space="preserve">公司在短短 28 天内挥发了 48.7% 的现金储备</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入不敷出的收支链：</w:t>
      </w:r>
      <w:r w:rsidDel="00000000" w:rsidR="00000000" w:rsidRPr="00000000">
        <w:rPr>
          <w:rFonts w:ascii="Arial Unicode MS" w:cs="Arial Unicode MS" w:eastAsia="Arial Unicode MS" w:hAnsi="Arial Unicode MS"/>
          <w:rtl w:val="0"/>
        </w:rPr>
        <w:t xml:space="preserve">  本月销售收现仅 463.5 万，而购货付现却高达 679.5 万。这种经营性现金流的严重倒挂，反映了公司在通过消耗自有原始资金来垫付供应链的运作。</w:t>
      </w:r>
    </w:p>
    <w:p w:rsidR="00000000" w:rsidDel="00000000" w:rsidP="00000000" w:rsidRDefault="00000000" w:rsidRPr="00000000" w14:paraId="00000018">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生存余量预测：</w:t>
      </w:r>
      <w:r w:rsidDel="00000000" w:rsidR="00000000" w:rsidRPr="00000000">
        <w:rPr>
          <w:rFonts w:ascii="Arial Unicode MS" w:cs="Arial Unicode MS" w:eastAsia="Arial Unicode MS" w:hAnsi="Arial Unicode MS"/>
          <w:rtl w:val="0"/>
        </w:rPr>
        <w:t xml:space="preserve">  以当前月均 320 万的失血速度看，期末 337.1 万的现金余额 </w:t>
      </w:r>
      <w:r w:rsidDel="00000000" w:rsidR="00000000" w:rsidRPr="00000000">
        <w:rPr>
          <w:rFonts w:ascii="Arial Unicode MS" w:cs="Arial Unicode MS" w:eastAsia="Arial Unicode MS" w:hAnsi="Arial Unicode MS"/>
          <w:b w:val="1"/>
          <w:bCs w:val="1"/>
          <w:rtl w:val="0"/>
        </w:rPr>
        <w:t xml:space="preserve">仅能支撑公司继续运作约 1 个月</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总结性见解：</w:t>
      </w:r>
      <w:r w:rsidDel="00000000" w:rsidR="00000000" w:rsidRPr="00000000">
        <w:rPr>
          <w:rFonts w:ascii="Arial Unicode MS" w:cs="Arial Unicode MS" w:eastAsia="Arial Unicode MS" w:hAnsi="Arial Unicode MS"/>
          <w:rtl w:val="0"/>
        </w:rPr>
        <w:t xml:space="preserve">  公司正面临“增收不增现”的极端困境。当前的运营模式是在消耗前期的资金积淀，资金链的安全边际已触碰红线。</w:t>
      </w:r>
      <w:r w:rsidDel="00000000" w:rsidR="00000000" w:rsidRPr="00000000">
        <w:rPr>
          <w:rFonts w:ascii="Arial Unicode MS" w:cs="Arial Unicode MS" w:eastAsia="Arial Unicode MS" w:hAnsi="Arial Unicode MS"/>
          <w:b w:val="1"/>
          <w:bCs w:val="1"/>
          <w:rtl w:val="0"/>
        </w:rPr>
        <w:t xml:space="preserve">过渡句：</w:t>
      </w:r>
      <w:r w:rsidDel="00000000" w:rsidR="00000000" w:rsidRPr="00000000">
        <w:rPr>
          <w:rFonts w:ascii="Arial Unicode MS" w:cs="Arial Unicode MS" w:eastAsia="Arial Unicode MS" w:hAnsi="Arial Unicode MS"/>
          <w:rtl w:val="0"/>
        </w:rPr>
        <w:t xml:space="preserve">  基于上述数据反映的经营与现金流问题，必须采取针对性的管理措施。</w:t>
      </w:r>
    </w:p>
    <w:p w:rsidR="00000000" w:rsidDel="00000000" w:rsidP="00000000" w:rsidRDefault="00000000" w:rsidRPr="00000000" w14:paraId="00000019">
      <w:pPr>
        <w:pStyle w:val="Heading5"/>
        <w:rPr/>
      </w:pPr>
      <w:bookmarkStart w:colFirst="0" w:colLast="0" w:name="_97vop0pt59k" w:id="4"/>
      <w:bookmarkEnd w:id="4"/>
      <w:r w:rsidDel="00000000" w:rsidR="00000000" w:rsidRPr="00000000">
        <w:rPr>
          <w:rFonts w:ascii="Arial Unicode MS" w:cs="Arial Unicode MS" w:eastAsia="Arial Unicode MS" w:hAnsi="Arial Unicode MS"/>
          <w:rtl w:val="0"/>
        </w:rPr>
        <w:t xml:space="preserve">4. 财务诊断结论与管理建议</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综合多维度分析，公司目前处于**“账面技术性生存，实际经营性危急”**的状态。核心矛盾在于：极低的资产周转效率与高昂的固定管理成本之间无法调和。建议管理层立即采取以下“外科手术式”措施：</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强制性回款与信用冻结：</w:t>
      </w:r>
      <w:r w:rsidDel="00000000" w:rsidR="00000000" w:rsidRPr="00000000">
        <w:rPr>
          <w:rFonts w:ascii="Arial Unicode MS" w:cs="Arial Unicode MS" w:eastAsia="Arial Unicode MS" w:hAnsi="Arial Unicode MS"/>
          <w:rtl w:val="0"/>
        </w:rPr>
        <w:t xml:space="preserve">  针对合计  </w:t>
      </w:r>
      <w:r w:rsidDel="00000000" w:rsidR="00000000" w:rsidRPr="00000000">
        <w:rPr>
          <w:rFonts w:ascii="Arial Unicode MS" w:cs="Arial Unicode MS" w:eastAsia="Arial Unicode MS" w:hAnsi="Arial Unicode MS"/>
          <w:b w:val="1"/>
          <w:bCs w:val="1"/>
          <w:rtl w:val="0"/>
        </w:rPr>
        <w:t xml:space="preserve">1,076 万</w:t>
      </w:r>
      <w:r w:rsidDel="00000000" w:rsidR="00000000" w:rsidRPr="00000000">
        <w:rPr>
          <w:rFonts w:ascii="Arial Unicode MS" w:cs="Arial Unicode MS" w:eastAsia="Arial Unicode MS" w:hAnsi="Arial Unicode MS"/>
          <w:rtl w:val="0"/>
        </w:rPr>
        <w:t xml:space="preserve">  的广义应收款，应立即执行账龄分级，对逾期客户实行“零容忍”限发货策略。考虑引入**应收账款保理（Factoring）**融资，以填补 320 万的现金缺口。</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成本结构重组：</w:t>
      </w:r>
      <w:r w:rsidDel="00000000" w:rsidR="00000000" w:rsidRPr="00000000">
        <w:rPr>
          <w:rFonts w:ascii="Arial Unicode MS" w:cs="Arial Unicode MS" w:eastAsia="Arial Unicode MS" w:hAnsi="Arial Unicode MS"/>
          <w:rtl w:val="0"/>
        </w:rPr>
        <w:t xml:space="preserve">  鉴于管理费用（92.7 万）已严重背离经营规模，建议启动紧急成本削减，重点审查人力成本与非业务性开支，力争在 30 天内将固定支出压降至毛利覆盖范围。</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存货变现与数据合规：</w:t>
      </w:r>
      <w:r w:rsidDel="00000000" w:rsidR="00000000" w:rsidRPr="00000000">
        <w:rPr>
          <w:rFonts w:ascii="Arial Unicode MS" w:cs="Arial Unicode MS" w:eastAsia="Arial Unicode MS" w:hAnsi="Arial Unicode MS"/>
          <w:rtl w:val="0"/>
        </w:rPr>
        <w:t xml:space="preserve">  针对  </w:t>
      </w:r>
      <w:r w:rsidDel="00000000" w:rsidR="00000000" w:rsidRPr="00000000">
        <w:rPr>
          <w:rFonts w:ascii="Arial Unicode MS" w:cs="Arial Unicode MS" w:eastAsia="Arial Unicode MS" w:hAnsi="Arial Unicode MS"/>
          <w:b w:val="1"/>
          <w:bCs w:val="1"/>
          <w:rtl w:val="0"/>
        </w:rPr>
        <w:t xml:space="preserve">671.4 万</w:t>
      </w:r>
      <w:r w:rsidDel="00000000" w:rsidR="00000000" w:rsidRPr="00000000">
        <w:rPr>
          <w:rFonts w:ascii="Arial Unicode MS" w:cs="Arial Unicode MS" w:eastAsia="Arial Unicode MS" w:hAnsi="Arial Unicode MS"/>
          <w:rtl w:val="0"/>
        </w:rPr>
        <w:t xml:space="preserve">  的库存商品进行实地盘点，查明 72 万元的数据差错原因，并对呆滞库存实施强制降价套现，优先保障资金回笼而非账面利润。</w:t>
      </w:r>
      <w:r w:rsidDel="00000000" w:rsidR="00000000" w:rsidRPr="00000000">
        <w:rPr>
          <w:rFonts w:ascii="Arial Unicode MS" w:cs="Arial Unicode MS" w:eastAsia="Arial Unicode MS" w:hAnsi="Arial Unicode MS"/>
          <w:b w:val="1"/>
          <w:bCs w:val="1"/>
          <w:rtl w:val="0"/>
        </w:rPr>
        <w:t xml:space="preserve">核心洞察：</w:t>
      </w:r>
      <w:r w:rsidDel="00000000" w:rsidR="00000000" w:rsidRPr="00000000">
        <w:rPr>
          <w:rFonts w:ascii="Arial Unicode MS" w:cs="Arial Unicode MS" w:eastAsia="Arial Unicode MS" w:hAnsi="Arial Unicode MS"/>
          <w:rtl w:val="0"/>
        </w:rPr>
        <w:t xml:space="preserve">  公司目前虽有资产支撑，但已失去自我造血能力。若无法在下月通过回款和成本压缩扭转现金流负值，公司将面临实质性的信用违约风险。</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