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Google Sans" w:hAnsi="Google Sans"/>
          <w:rFonts w:ascii="Google Sans" w:hAnsi="Google Sans" w:cs="Google Sans"/>
          <w:b/>
          <w:color w:val="123456"/>
          <w:sz w:val="44"/>
        </w:rPr>
        <w:t>ANGAVERITAS PLATFORM</w:t>
      </w:r>
    </w:p>
    <w:p>
      <w:pPr>
        <w:spacing w:after="240"/>
      </w:pPr>
      <w:r>
        <w:rPr>
          <w:rFonts w:ascii="Google Sans" w:hAnsi="Google Sans"/>
          <w:rFonts w:ascii="Google Sans" w:hAnsi="Google Sans" w:cs="Google Sans"/>
          <w:color w:val="1E73BE"/>
          <w:sz w:val="26"/>
        </w:rPr>
        <w:t>Web Application &amp; Customer Journey Technical Implementation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color w:val="123456"/>
                <w:sz w:val="17"/>
              </w:rPr>
              <w:t>Document Version:</w:t>
            </w:r>
          </w:p>
        </w:tc>
        <w:tc>
          <w:tcPr>
            <w:tcW w:type="dxa" w:w="2340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 w:val="0"/>
                <w:sz w:val="17"/>
              </w:rPr>
              <w:t>1.0.0 (Production Blueprint)</w:t>
            </w:r>
          </w:p>
        </w:tc>
        <w:tc>
          <w:tcPr>
            <w:tcW w:type="dxa" w:w="2340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color w:val="123456"/>
                <w:sz w:val="17"/>
              </w:rPr>
              <w:t>Document Status:</w:t>
            </w:r>
          </w:p>
        </w:tc>
        <w:tc>
          <w:tcPr>
            <w:tcW w:type="dxa" w:w="2340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 w:val="0"/>
                <w:sz w:val="17"/>
              </w:rPr>
              <w:t>Approved for Engineering</w:t>
            </w:r>
          </w:p>
        </w:tc>
      </w:tr>
      <w:tr>
        <w:tc>
          <w:tcPr>
            <w:tcW w:type="dxa" w:w="2340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color w:val="123456"/>
                <w:sz w:val="17"/>
              </w:rPr>
              <w:t>Target Platform:</w:t>
            </w:r>
          </w:p>
        </w:tc>
        <w:tc>
          <w:tcPr>
            <w:tcW w:type="dxa" w:w="2340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 w:val="0"/>
                <w:sz w:val="17"/>
              </w:rPr>
              <w:t>AngaVeritas Web &amp; Mobile PWA</w:t>
            </w:r>
          </w:p>
        </w:tc>
        <w:tc>
          <w:tcPr>
            <w:tcW w:type="dxa" w:w="2340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color w:val="123456"/>
                <w:sz w:val="17"/>
              </w:rPr>
              <w:t>Date:</w:t>
            </w:r>
          </w:p>
        </w:tc>
        <w:tc>
          <w:tcPr>
            <w:tcW w:type="dxa" w:w="2340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 w:val="0"/>
                <w:sz w:val="17"/>
              </w:rPr>
              <w:t>May / August 2026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Google Sans" w:hAnsi="Google Sans"/>
          <w:rFonts w:ascii="Google Sans" w:hAnsi="Google Sans" w:cs="Google Sans"/>
          <w:b/>
          <w:color w:val="123456"/>
          <w:sz w:val="30"/>
        </w:rPr>
        <w:t>1. Executive Technical Summary &amp; Architecture Overview</w:t>
      </w:r>
    </w:p>
    <w:p>
      <w:r>
        <w:rPr>
          <w:rFonts w:ascii="Google Sans" w:hAnsi="Google Sans"/>
          <w:rFonts w:ascii="Google Sans" w:hAnsi="Google Sans" w:cs="Google Sans"/>
        </w:rPr>
        <w:t>AngaVeritas is a specialized Kenyan investment intelligence and ground verification platform built to eliminate information asymmetry for local and diaspora investors. The platform bridges physical on-the-ground reality in Kenya with high-trust, data-driven remote visibility. To support this mandate, the web application is architected around three core pillars: (1) An interactive, transparent 6-step Pricing Calculator and onboarding workflow, (2) An investor mission-control Dashboard integrating map intelligence, project timelines, and timestamped/geotagged multi-media archives, and (3) A rigorous Field Agent &amp; QA review infrastructure designed to produce verified intelligence reports.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73BE"/>
              <w:top w:val="none"/>
              <w:right w:val="none"/>
              <w:bottom w:val="none"/>
            </w:tcBorders>
          </w:tcPr>
          <w:p>
            <w:pPr>
              <w:spacing w:after="0" w:line="276" w:lineRule="auto"/>
            </w:pPr>
            <w:r>
              <w:rPr>
                <w:rFonts w:ascii="Google Sans" w:hAnsi="Google Sans"/>
                <w:rFonts w:ascii="Google Sans" w:hAnsi="Google Sans" w:cs="Google Sans"/>
                <w:b/>
                <w:color w:val="123456"/>
                <w:sz w:val="19"/>
              </w:rPr>
              <w:t>CORE ENGINEERING PRINCIPLE</w:t>
              <w:br/>
            </w:r>
            <w:r>
              <w:rPr>
                <w:rFonts w:ascii="Google Sans" w:hAnsi="Google Sans"/>
                <w:rFonts w:ascii="Google Sans" w:hAnsi="Google Sans" w:cs="Google Sans"/>
                <w:color w:val="282828"/>
                <w:sz w:val="18"/>
              </w:rPr>
              <w:t>Architecture Philosophy: The application is designed offline-first for field operations and high-availability, low-latency for diaspora investors worldwide. It emphasizes data integrity, non-repudiation of field findings (GPS + timestamped EXIF validation), and a deterministic pricing algorithm that converts complex logistics into instant, transparent estimates.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Google Sans" w:hAnsi="Google Sans"/>
          <w:rFonts w:ascii="Google Sans" w:hAnsi="Google Sans" w:cs="Google Sans"/>
          <w:b/>
          <w:color w:val="123456"/>
          <w:sz w:val="30"/>
        </w:rPr>
        <w:t>2. Technology Stack &amp; Language Justification</w:t>
      </w:r>
    </w:p>
    <w:p>
      <w:r>
        <w:rPr>
          <w:rFonts w:ascii="Google Sans" w:hAnsi="Google Sans"/>
          <w:rFonts w:ascii="Google Sans" w:hAnsi="Google Sans" w:cs="Google Sans"/>
        </w:rPr>
        <w:t>The platform stack is selected to ensure developer velocity, exceptional UI responsiveness, strict type safety, and resilient background job processing across intermittent field network conditions in Kenya.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592"/>
        <w:gridCol w:w="4608"/>
      </w:tblGrid>
      <w:tr>
        <w:tc>
          <w:tcPr>
            <w:tcW w:type="dxa" w:w="3120"/>
            <w:shd w:fill="12345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20"/>
            <w:shd w:fill="12345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color w:val="FFFFFF"/>
                <w:sz w:val="18"/>
              </w:rPr>
              <w:t>Selected Technology</w:t>
            </w:r>
          </w:p>
        </w:tc>
        <w:tc>
          <w:tcPr>
            <w:tcW w:type="dxa" w:w="3120"/>
            <w:shd w:fill="12345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color w:val="FFFFFF"/>
                <w:sz w:val="18"/>
              </w:rPr>
              <w:t>Architectural Rationale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sz w:val="17"/>
              </w:rPr>
              <w:t>Frontend Web &amp; PWA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Next.js 14+ (React, TypeScript, Tailwind CSS, Shadcn UI)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Server-side rendering for SEO content/blog, rich client-side interactivity for Calculator &amp; Dashboard, PWA support for mobile inspection access.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sz w:val="17"/>
              </w:rPr>
              <w:t>Backend API &amp; Logic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Node.js (TypeScript) / Python (FastAPI Engine)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Node.js/FastAPI provides high concurrency for API routing, auth, and async data ingestion. Python powers report compilation, geocoding math, and data pipelines.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sz w:val="17"/>
              </w:rPr>
              <w:t>Database &amp; Storage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PostgreSQL (PostGIS) + Cloud Object Storage (S3/GCS)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PostgreSQL provides relational integrity for accounts, projects, and billing. PostGIS enables spatial distance queries and multi-county routing. S3 holds encrypted evidence.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sz w:val="17"/>
              </w:rPr>
              <w:t>Background &amp; Queues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Redis + Celery / BullMQ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Asynchronous processing of heavy tasks: video transcoding, automated PDF report generation, WhatsApp/SMS/Email notifications, and geocoding rate-limiting.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sz w:val="17"/>
              </w:rPr>
              <w:t>Maps &amp; Geolocation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Mapbox GL JS / Leaflet &amp; Google Distance Matrix API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Interactive vector mapping on client dashboard showing project health pins across Kenyan counties; precise distance &amp; travel cost calculations via Google Maps API.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Google Sans" w:hAnsi="Google Sans"/>
          <w:rFonts w:ascii="Google Sans" w:hAnsi="Google Sans" w:cs="Google Sans"/>
          <w:b/>
          <w:color w:val="123456"/>
          <w:sz w:val="30"/>
        </w:rPr>
        <w:t>3. End-to-End Customer Journey Workflow &amp; State Machine</w:t>
      </w:r>
    </w:p>
    <w:p>
      <w:r>
        <w:rPr>
          <w:rFonts w:ascii="Google Sans" w:hAnsi="Google Sans"/>
          <w:rFonts w:ascii="Google Sans" w:hAnsi="Google Sans" w:cs="Google Sans"/>
        </w:rPr>
        <w:t>The application implements the 10-stage Customer Experience Framework, ensuring that every transition from lead acquisition to long-term monitoring is deterministic, auditable, and confidence-building.</w:t>
      </w:r>
    </w:p>
    <w:p>
      <w:pPr>
        <w:spacing w:after="60" w:before="4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 xml:space="preserve">• Stage 1 — Awareness &amp; Discovery: </w:t>
      </w:r>
      <w:r>
        <w:rPr>
          <w:rFonts w:ascii="Google Sans" w:hAnsi="Google Sans"/>
          <w:rFonts w:ascii="Google Sans" w:hAnsi="Google Sans" w:cs="Google Sans"/>
          <w:sz w:val="18"/>
        </w:rPr>
        <w:t>SEO landing pages, blog engine ('5 mistakes diaspora investors make in Kenya'), trust badge architecture, sample report viewports, and lead magnet download tracking.</w:t>
      </w:r>
    </w:p>
    <w:p>
      <w:pPr>
        <w:spacing w:after="60" w:before="4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 xml:space="preserve">• Stage 2 — Lead Capture &amp; Inquiries: </w:t>
      </w:r>
      <w:r>
        <w:rPr>
          <w:rFonts w:ascii="Google Sans" w:hAnsi="Google Sans"/>
          <w:rFonts w:ascii="Google Sans" w:hAnsi="Google Sans" w:cs="Google Sans"/>
          <w:sz w:val="18"/>
        </w:rPr>
        <w:t>Multi-channel inquiry ingestion (interactive calculator widget, WhatsApp click-to-chat integration, direct consultation booking). Automated lead qualification scoring in CRM.</w:t>
      </w:r>
    </w:p>
    <w:p>
      <w:pPr>
        <w:spacing w:after="60" w:before="4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 xml:space="preserve">• Stage 3 — Consultation &amp; Scope Definition: </w:t>
      </w:r>
      <w:r>
        <w:rPr>
          <w:rFonts w:ascii="Google Sans" w:hAnsi="Google Sans"/>
          <w:rFonts w:ascii="Google Sans" w:hAnsi="Google Sans" w:cs="Google Sans"/>
          <w:sz w:val="18"/>
        </w:rPr>
        <w:t>Dynamic proposal generator converting calculator inputs into a structured Scope of Work (SOW), transparent cost breakdown, Terms of Service, and digital signature capture.</w:t>
      </w:r>
    </w:p>
    <w:p>
      <w:pPr>
        <w:spacing w:after="60" w:before="4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 xml:space="preserve">• Stage 4 — Seamless Client Onboarding: </w:t>
      </w:r>
      <w:r>
        <w:rPr>
          <w:rFonts w:ascii="Google Sans" w:hAnsi="Google Sans"/>
          <w:rFonts w:ascii="Google Sans" w:hAnsi="Google Sans" w:cs="Google Sans"/>
          <w:sz w:val="18"/>
        </w:rPr>
        <w:t>Self-service onboarding wizard: automated workspace creation, project profile configuration, stakeholder contact directory, initial document upload vault, and role assignment.</w:t>
      </w:r>
    </w:p>
    <w:p>
      <w:pPr>
        <w:spacing w:after="60" w:before="4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 xml:space="preserve">• Stage 5 — Planning &amp; Pre-Field Intelligence: </w:t>
      </w:r>
      <w:r>
        <w:rPr>
          <w:rFonts w:ascii="Google Sans" w:hAnsi="Google Sans"/>
          <w:rFonts w:ascii="Google Sans" w:hAnsi="Google Sans" w:cs="Google Sans"/>
          <w:sz w:val="18"/>
        </w:rPr>
        <w:t>Internal analyst workflow: county risk profiling, satellite imagery cross-referencing, route optimization, field agent assignment, and checklist dispatch.</w:t>
      </w:r>
    </w:p>
    <w:p>
      <w:pPr>
        <w:spacing w:after="60" w:before="4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 xml:space="preserve">• Stage 6 — Field Verification Execution: </w:t>
      </w:r>
      <w:r>
        <w:rPr>
          <w:rFonts w:ascii="Google Sans" w:hAnsi="Google Sans"/>
          <w:rFonts w:ascii="Google Sans" w:hAnsi="Google Sans" w:cs="Google Sans"/>
          <w:sz w:val="18"/>
        </w:rPr>
        <w:t>Field Agent Mobile Web/PWA interface: offline-capable checklists, EXIF timestamp/GPS tagged photo and video capture, local stakeholder interview recording, and sync manager.</w:t>
      </w:r>
    </w:p>
    <w:p>
      <w:pPr>
        <w:spacing w:after="60" w:before="4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 xml:space="preserve">• Stage 7 — Analysis &amp; Report Compilation: </w:t>
      </w:r>
      <w:r>
        <w:rPr>
          <w:rFonts w:ascii="Google Sans" w:hAnsi="Google Sans"/>
          <w:rFonts w:ascii="Google Sans" w:hAnsi="Google Sans" w:cs="Google Sans"/>
          <w:sz w:val="18"/>
        </w:rPr>
        <w:t>Analyst QA review workbench: evidence cross-referencing, multi-tier confidence score assignment (High, Moderate, Limited), risk matrix generation, and automated PDF rendering.</w:t>
      </w:r>
    </w:p>
    <w:p>
      <w:pPr>
        <w:spacing w:after="60" w:before="4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 xml:space="preserve">• Stage 8 — Delivery &amp; Presentation: </w:t>
      </w:r>
      <w:r>
        <w:rPr>
          <w:rFonts w:ascii="Google Sans" w:hAnsi="Google Sans"/>
          <w:rFonts w:ascii="Google Sans" w:hAnsi="Google Sans" w:cs="Google Sans"/>
          <w:sz w:val="18"/>
        </w:rPr>
        <w:t>Interactive Dashboard notification, synchronized PDF delivery, encrypted multi-media vault unlock, and integrated Calendly/Google Meet booking for executive walkthroughs.</w:t>
      </w:r>
    </w:p>
    <w:p>
      <w:pPr>
        <w:spacing w:after="60" w:before="4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 xml:space="preserve">• Stage 9 — Follow-Up &amp; Advisory Support: </w:t>
      </w:r>
      <w:r>
        <w:rPr>
          <w:rFonts w:ascii="Google Sans" w:hAnsi="Google Sans"/>
          <w:rFonts w:ascii="Google Sans" w:hAnsi="Google Sans" w:cs="Google Sans"/>
          <w:sz w:val="18"/>
        </w:rPr>
        <w:t>Post-delivery advisory thread, contextual up-sell triggers (e.g., recommend Project Monitoring if risk is High), automated satisfaction scoring, and monthly market intelligence digests.</w:t>
      </w:r>
    </w:p>
    <w:p>
      <w:pPr>
        <w:spacing w:after="60" w:before="4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 xml:space="preserve">• Stage 10 — Retention &amp; Expansion: </w:t>
      </w:r>
      <w:r>
        <w:rPr>
          <w:rFonts w:ascii="Google Sans" w:hAnsi="Google Sans"/>
          <w:rFonts w:ascii="Google Sans" w:hAnsi="Google Sans" w:cs="Google Sans"/>
          <w:sz w:val="18"/>
        </w:rPr>
        <w:t>Retainer subscription management engine, multi-site portfolio dashboard switchers, automated county investment intelligence feeds, and enterprise institutional reporting.</w:t>
      </w: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Google Sans" w:hAnsi="Google Sans"/>
          <w:rFonts w:ascii="Google Sans" w:hAnsi="Google Sans" w:cs="Google Sans"/>
          <w:b/>
          <w:color w:val="123456"/>
          <w:sz w:val="30"/>
        </w:rPr>
        <w:t>4. Interactive Pricing Calculator Specification &amp; Logic Engine</w:t>
      </w:r>
    </w:p>
    <w:p>
      <w:r>
        <w:rPr>
          <w:rFonts w:ascii="Google Sans" w:hAnsi="Google Sans"/>
          <w:rFonts w:ascii="Google Sans" w:hAnsi="Google Sans" w:cs="Google Sans"/>
        </w:rPr>
        <w:t>The pricing calculator is the primary self-service conversion engine. It replaces arbitrary quotes with a deterministic, transparent pricing formula that accounts for base service scope, precise travel logistics, multidimensional complexity, optional deliverables, and resource urgency.</w:t>
      </w:r>
    </w:p>
    <w:p>
      <w:pPr>
        <w:pStyle w:val="Heading2"/>
        <w:spacing w:before="240" w:after="80"/>
      </w:pPr>
      <w:r>
        <w:rPr>
          <w:rFonts w:ascii="Google Sans" w:hAnsi="Google Sans"/>
          <w:rFonts w:ascii="Google Sans" w:hAnsi="Google Sans" w:cs="Google Sans"/>
          <w:b/>
          <w:color w:val="1E73BE"/>
          <w:sz w:val="24"/>
        </w:rPr>
        <w:t>4.1 Mathematical Cost Formulation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73BE"/>
              <w:top w:val="none"/>
              <w:right w:val="none"/>
              <w:bottom w:val="none"/>
            </w:tcBorders>
          </w:tcPr>
          <w:p>
            <w:pPr>
              <w:spacing w:after="0" w:line="276" w:lineRule="auto"/>
            </w:pPr>
            <w:r>
              <w:rPr>
                <w:rFonts w:ascii="Google Sans" w:hAnsi="Google Sans"/>
                <w:rFonts w:ascii="Google Sans" w:hAnsi="Google Sans" w:cs="Google Sans"/>
                <w:b/>
                <w:color w:val="123456"/>
                <w:sz w:val="19"/>
              </w:rPr>
              <w:t>FORMULA SPECIFICATION</w:t>
              <w:br/>
            </w:r>
            <w:r>
              <w:rPr>
                <w:rFonts w:ascii="Google Sans" w:hAnsi="Google Sans"/>
                <w:rFonts w:ascii="Google Sans" w:hAnsi="Google Sans" w:cs="Google Sans"/>
                <w:color w:val="282828"/>
                <w:sz w:val="18"/>
              </w:rPr>
              <w:t>Total Estimated Quote = [ (Base Fee × Complexity Multiplier) + Travel &amp; Mobilization + Add-on Deliverables + Multi-Site Fees ] × (1 + Urgency Surcharge)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Google Sans" w:hAnsi="Google Sans"/>
          <w:rFonts w:ascii="Google Sans" w:hAnsi="Google Sans" w:cs="Google Sans"/>
          <w:b/>
          <w:color w:val="1E73BE"/>
          <w:sz w:val="24"/>
        </w:rPr>
        <w:t>4.2 Step-by-Step Execution Pipeline</w:t>
      </w:r>
    </w:p>
    <w:p>
      <w:pPr>
        <w:spacing w:after="8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>Step 1: Base Service Selection (B)</w:t>
        <w:br/>
      </w:r>
      <w:r>
        <w:rPr>
          <w:rFonts w:ascii="Google Sans" w:hAnsi="Google Sans"/>
          <w:rFonts w:ascii="Google Sans" w:hAnsi="Google Sans" w:cs="Google Sans"/>
          <w:sz w:val="18"/>
        </w:rPr>
        <w:t>Client selects primary engagement. Ground Verification (KES 15,000), Supplier Verification (KES 18,000), Project Monitoring (KES 25,000), Business Due Diligence (KES 35,000), Market &amp; Feasibility Study (KES 50,000), Custom Engagement (Trigger Quote Request).</w:t>
      </w:r>
    </w:p>
    <w:p>
      <w:pPr>
        <w:spacing w:after="8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>Step 2: Travel &amp; Mobilization Calculation (T)</w:t>
        <w:br/>
      </w:r>
      <w:r>
        <w:rPr>
          <w:rFonts w:ascii="Google Sans" w:hAnsi="Google Sans"/>
          <w:rFonts w:ascii="Google Sans" w:hAnsi="Google Sans" w:cs="Google Sans"/>
          <w:sz w:val="18"/>
        </w:rPr>
        <w:t>Distance (d) calculated round-trip from Nairobi Central Business District (CBD) using Geocoding API. Broken down into 4 progressive distance tiers:</w:t>
        <w:br/>
        <w:t xml:space="preserve">  • 0 – 50 km: Fuel only = (d × KES 25)</w:t>
        <w:br/>
        <w:t xml:space="preserve">  • 51 – 100 km: Fuel + Wear &amp; Tear = (d × KES 25) + (d × KES 25)</w:t>
        <w:br/>
        <w:t xml:space="preserve">  • 101 – 250 km: Fuel + Wear + Contingency (20% buffer on fuel/wear)</w:t>
        <w:br/>
        <w:t xml:space="preserve">  • 251+ km: Fuel + Wear + Contingency + Driver Allowance (KES 3,500/day) + Overnight Accommodation (KES 6,000/night if &gt;300 km).</w:t>
      </w:r>
    </w:p>
    <w:p>
      <w:pPr>
        <w:spacing w:after="8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>Step 3: Complexity Scoring Engine (C)</w:t>
        <w:br/>
      </w:r>
      <w:r>
        <w:rPr>
          <w:rFonts w:ascii="Google Sans" w:hAnsi="Google Sans"/>
          <w:rFonts w:ascii="Google Sans" w:hAnsi="Google Sans" w:cs="Google Sans"/>
          <w:sz w:val="18"/>
        </w:rPr>
        <w:t>Evaluated via 5 objective single-choice questions (1 to 3 points each; Total Score = 5 to 15):</w:t>
        <w:br/>
        <w:t xml:space="preserve">  1. Locations: 1 location (1 pt) | 2–3 (2 pts) | 4+ (3 pts)</w:t>
        <w:br/>
        <w:t xml:space="preserve">  2. Stakeholders: 1 party (1 pt) | 2–5 (2 pts) | 6+ (3 pts)</w:t>
        <w:br/>
        <w:t xml:space="preserve">  3. Document Review: Basic (1 pt) | Moderate operational/financial (2 pts) | Extensive legal/regulatory (3 pts)</w:t>
        <w:br/>
        <w:t xml:space="preserve">  4. Field Activities: Site visit only (1 pt) | Site visit + interviews (2 pts) | Multi-visit, deep interviews &amp; evidence (3 pts)</w:t>
        <w:br/>
        <w:t xml:space="preserve">  5. Report Depth: Summary (1 pt) | Detailed findings (2 pts) | Executive intelligence with risk mitigation (3 pts)</w:t>
        <w:br/>
        <w:t xml:space="preserve">  ==&gt; Multiplier mapping: Score 5–7 = Basic (×1.0); Score 8–11 = Standard (×1.3); Score 12–15 = Comprehensive (×1.7). Applied to Base Fee.</w:t>
      </w:r>
    </w:p>
    <w:p>
      <w:pPr>
        <w:spacing w:after="8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>Step 4: Standard &amp; Premium Deliverables (D)</w:t>
        <w:br/>
      </w:r>
      <w:r>
        <w:rPr>
          <w:rFonts w:ascii="Google Sans" w:hAnsi="Google Sans"/>
          <w:rFonts w:ascii="Google Sans" w:hAnsi="Google Sans" w:cs="Google Sans"/>
          <w:sz w:val="18"/>
        </w:rPr>
        <w:t>Standard included ($0): Verification Report, High-Res Photo Archive, Video Walkthrough, GPS Coordinate Confirmation, Confidence Rating, Executive Summary &amp; Risk Matrix.</w:t>
        <w:br/>
        <w:t>Premium Add-ons: Drone Survey &amp; Aerial Intelligence (+KES 35,000), Executive Investor Presentation Deck (+KES 15,000), Ongoing Recurring Monitoring Setup (+KES 25,000/cycle).</w:t>
      </w:r>
    </w:p>
    <w:p>
      <w:pPr>
        <w:spacing w:after="8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>Step 5: Urgency &amp; Resource Allocation Surcharge (U)</w:t>
        <w:br/>
      </w:r>
      <w:r>
        <w:rPr>
          <w:rFonts w:ascii="Google Sans" w:hAnsi="Google Sans"/>
          <w:rFonts w:ascii="Google Sans" w:hAnsi="Google Sans" w:cs="Google Sans"/>
          <w:sz w:val="18"/>
        </w:rPr>
        <w:t>Standard (5–10 business days): +0%; Priority (2–5 business days): +25%; Express (24–48 hours): +50%; Emergency Mobilization (Within 24h / Same-day): +75% to +100% (Subject to operational clearance).</w:t>
      </w:r>
    </w:p>
    <w:p>
      <w:pPr>
        <w:spacing w:after="8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>Step 6: Real-Time Transparent Summary</w:t>
        <w:br/>
      </w:r>
      <w:r>
        <w:rPr>
          <w:rFonts w:ascii="Google Sans" w:hAnsi="Google Sans"/>
          <w:rFonts w:ascii="Google Sans" w:hAnsi="Google Sans" w:cs="Google Sans"/>
          <w:sz w:val="18"/>
        </w:rPr>
        <w:t>Displays interactive itemized breakdown: Base Scope Fee, Mobilization Logistics, Complexity Factor, Add-on Items, and Urgency Allocation. Disclaims: 'Formal confirmation issued following preliminary scope review.'</w:t>
      </w:r>
    </w:p>
    <w:p>
      <w:pPr>
        <w:pStyle w:val="Heading1"/>
        <w:spacing w:before="320" w:after="120"/>
      </w:pPr>
      <w:r>
        <w:rPr>
          <w:rFonts w:ascii="Google Sans" w:hAnsi="Google Sans"/>
          <w:rFonts w:ascii="Google Sans" w:hAnsi="Google Sans" w:cs="Google Sans"/>
          <w:b/>
          <w:color w:val="123456"/>
          <w:sz w:val="30"/>
        </w:rPr>
        <w:t>5. Investor Mission-Control Dashboard Architecture</w:t>
      </w:r>
    </w:p>
    <w:p>
      <w:r>
        <w:rPr>
          <w:rFonts w:ascii="Google Sans" w:hAnsi="Google Sans"/>
          <w:rFonts w:ascii="Google Sans" w:hAnsi="Google Sans" w:cs="Google Sans"/>
        </w:rPr>
        <w:t>The client dashboard transforms fragmented, high-anxiety field inquiries into a calm, structured, and commanding portfolio oversight environment. The interface follows the production layout specified in the corporate design blueprints.</w:t>
      </w:r>
    </w:p>
    <w:p>
      <w:pPr>
        <w:spacing w:after="6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 xml:space="preserve">• 1. Portfolio Overview &amp; Health Index: </w:t>
      </w:r>
      <w:r>
        <w:rPr>
          <w:rFonts w:ascii="Google Sans" w:hAnsi="Google Sans"/>
          <w:rFonts w:ascii="Google Sans" w:hAnsi="Google Sans" w:cs="Google Sans"/>
          <w:sz w:val="18"/>
        </w:rPr>
        <w:t>Top-level KPI summary cards: Active Projects Count (e.g. 6 locations), Overall Portfolio Health Score (e.g. 78% Good), Completed Inspections This Month (+20% trend), Open Alerts requiring attention, and Next Scheduled Site Visit countdown.</w:t>
      </w:r>
    </w:p>
    <w:p>
      <w:pPr>
        <w:spacing w:after="6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 xml:space="preserve">• 2. Interactive Geospatial Kenya Map: </w:t>
      </w:r>
      <w:r>
        <w:rPr>
          <w:rFonts w:ascii="Google Sans" w:hAnsi="Google Sans"/>
          <w:rFonts w:ascii="Google Sans" w:hAnsi="Google Sans" w:cs="Google Sans"/>
          <w:sz w:val="18"/>
        </w:rPr>
        <w:t>Mapbox GL JS integration showing real-time clustered project markers across Nairobi, Nakuru, Kisumu, Mombasa, Eldoret, and Athi River. Color-coded status pins: Green (On Track), Amber (At Risk), Red (High Risk / Escalated).</w:t>
      </w:r>
    </w:p>
    <w:p>
      <w:pPr>
        <w:spacing w:after="6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 xml:space="preserve">• 3. Dynamic Inspection Details &amp; Timelines: </w:t>
      </w:r>
      <w:r>
        <w:rPr>
          <w:rFonts w:ascii="Google Sans" w:hAnsi="Google Sans"/>
          <w:rFonts w:ascii="Google Sans" w:hAnsi="Google Sans" w:cs="Google Sans"/>
          <w:sz w:val="18"/>
        </w:rPr>
        <w:t>Comprehensive project snapshot including Project Value, Category, Start/Expected Dates, and Lead Inspector. Tabbed inspection detail views: Summary, Photo Archive (+19 thumbnail grid), Key Findings (checklist with verified badges), and GPS Map confirmation.</w:t>
      </w:r>
    </w:p>
    <w:p>
      <w:pPr>
        <w:spacing w:after="6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 xml:space="preserve">• 4. Timestamped Evidence Vault: </w:t>
      </w:r>
      <w:r>
        <w:rPr>
          <w:rFonts w:ascii="Google Sans" w:hAnsi="Google Sans"/>
          <w:rFonts w:ascii="Google Sans" w:hAnsi="Google Sans" w:cs="Google Sans"/>
          <w:sz w:val="18"/>
        </w:rPr>
        <w:t>Cloud-backed, immutable media viewer for high-resolution site photography, 4K walkthrough video streams, drone orthomosaics, and downloadable encrypted PDF investigation reports.</w:t>
      </w:r>
    </w:p>
    <w:p>
      <w:pPr>
        <w:spacing w:after="6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 xml:space="preserve">• 5. Market Intelligence Feed &amp; County Spotlights: </w:t>
      </w:r>
      <w:r>
        <w:rPr>
          <w:rFonts w:ascii="Google Sans" w:hAnsi="Google Sans"/>
          <w:rFonts w:ascii="Google Sans" w:hAnsi="Google Sans" w:cs="Google Sans"/>
          <w:sz w:val="18"/>
        </w:rPr>
        <w:t>Integrated feed providing localized economic indicators: Kenya Inflation Trends, Kenya Construction Cost Index, County Real Estate Demand Indices, and Emerging Sector Opportunities (Agribusiness, Student Housing, Logistics Warehousing).</w:t>
      </w:r>
    </w:p>
    <w:p>
      <w:pPr>
        <w:spacing w:after="6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 xml:space="preserve">• 6. Secure Communication &amp; Verification Dispatch: </w:t>
      </w:r>
      <w:r>
        <w:rPr>
          <w:rFonts w:ascii="Google Sans" w:hAnsi="Google Sans"/>
          <w:rFonts w:ascii="Google Sans" w:hAnsi="Google Sans" w:cs="Google Sans"/>
          <w:sz w:val="18"/>
        </w:rPr>
        <w:t>Direct two-way messaging channel between client, assigned lead analyst, and field operations manager; integrated 'Request New Inspection' workflow with pre-filled asset profiles.</w:t>
      </w: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Google Sans" w:hAnsi="Google Sans"/>
          <w:rFonts w:ascii="Google Sans" w:hAnsi="Google Sans" w:cs="Google Sans"/>
          <w:b/>
          <w:color w:val="123456"/>
          <w:sz w:val="30"/>
        </w:rPr>
        <w:t>6. Relational Data Models &amp; Schema Architecture</w:t>
      </w:r>
    </w:p>
    <w:p>
      <w:r>
        <w:rPr>
          <w:rFonts w:ascii="Google Sans" w:hAnsi="Google Sans"/>
          <w:rFonts w:ascii="Google Sans" w:hAnsi="Google Sans" w:cs="Google Sans"/>
        </w:rPr>
        <w:t>The underlying PostgreSQL database schema is structured for strict referential integrity, historical audit logging, and seamless spatial queries. Below are the primary entity definitions.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168"/>
        <w:gridCol w:w="4032"/>
      </w:tblGrid>
      <w:tr>
        <w:tc>
          <w:tcPr>
            <w:tcW w:type="dxa" w:w="3120"/>
            <w:shd w:fill="12345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color w:val="FFFFFF"/>
                <w:sz w:val="18"/>
              </w:rPr>
              <w:t>Entity / Table</w:t>
            </w:r>
          </w:p>
        </w:tc>
        <w:tc>
          <w:tcPr>
            <w:tcW w:type="dxa" w:w="3120"/>
            <w:shd w:fill="12345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color w:val="FFFFFF"/>
                <w:sz w:val="18"/>
              </w:rPr>
              <w:t>Key Attributes &amp; Types</w:t>
            </w:r>
          </w:p>
        </w:tc>
        <w:tc>
          <w:tcPr>
            <w:tcW w:type="dxa" w:w="3120"/>
            <w:shd w:fill="12345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color w:val="FFFFFF"/>
                <w:sz w:val="18"/>
              </w:rPr>
              <w:t>Relationship &amp; Integrity Rules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sz w:val="17"/>
              </w:rPr>
              <w:t>users &amp; accounts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id (UUID), email, password_hash, full_name, role (CLIENT, ANALYST, FIELD_AGENT, ADMIN), phone, timezone, created_at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1:N with projects, quotes, and audit logs. Role-based access control (RBAC) enforced at database RLS level.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sz w:val="17"/>
              </w:rPr>
              <w:t>quote_calculations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id (UUID), user_id, service_type, location_name, coordinates (POINT), distance_km, complexity_score, multiplier, urgency_tier, total_estimate_kes, status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Tracks instant quotes from Calculator. Links to project upon conversion and proposal signing.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sz w:val="17"/>
              </w:rPr>
              <w:t>projects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id (UUID), client_id, title, category, county, coordinates (POINT), total_valuation_kes, health_status (GOOD, AT_RISK, CRITICAL), start_date, expected_completion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Foreign key to users (client). 1:N with inspections, evidence items, risk matrix records, and invoices.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sz w:val="17"/>
              </w:rPr>
              <w:t>inspections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id (UUID), project_id, assigned_agent_id, lead_analyst_id, inspection_code, scheduled_date, completed_at, status, executive_summary, confidence_score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1:N with inspection_media and inspection_checklist_items. Captures rigorous field QA review workflow.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sz w:val="17"/>
              </w:rPr>
              <w:t>inspection_media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id (UUID), inspection_id, media_type (PHOTO, VIDEO, DRONE, DOC), storage_url, gps_lat, gps_lng, exif_timestamp, is_verified, caption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Immutable record. Verifies that image EXIF metadata aligns with physical site location boundaries.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Google Sans" w:hAnsi="Google Sans"/>
          <w:rFonts w:ascii="Google Sans" w:hAnsi="Google Sans" w:cs="Google Sans"/>
          <w:b/>
          <w:color w:val="123456"/>
          <w:sz w:val="30"/>
        </w:rPr>
        <w:t>7. Security, Compliance &amp; Non-Repudiation Framework</w:t>
      </w:r>
    </w:p>
    <w:p>
      <w:r>
        <w:rPr>
          <w:rFonts w:ascii="Google Sans" w:hAnsi="Google Sans"/>
          <w:rFonts w:ascii="Google Sans" w:hAnsi="Google Sans" w:cs="Google Sans"/>
        </w:rPr>
        <w:t>Because AngaVeritas reports influence high-stakes capital allocation and fraud prevention, system security and regulatory compliance are primary architectural requirements.</w:t>
      </w:r>
    </w:p>
    <w:p>
      <w:pPr>
        <w:spacing w:after="6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 xml:space="preserve">• Kenya Data Protection Act (KDPA 2019) Compliance: </w:t>
      </w:r>
      <w:r>
        <w:rPr>
          <w:rFonts w:ascii="Google Sans" w:hAnsi="Google Sans"/>
          <w:rFonts w:ascii="Google Sans" w:hAnsi="Google Sans" w:cs="Google Sans"/>
          <w:sz w:val="18"/>
        </w:rPr>
        <w:t>All personally identifiable information (PII), land records, and stakeholder interview logs are encrypted at rest (AES-256) and in transit (TLS 1.3). Explicit data processing consents captured at onboarding.</w:t>
      </w:r>
    </w:p>
    <w:p>
      <w:pPr>
        <w:spacing w:after="6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 xml:space="preserve">• Evidence Integrity &amp; Non-Repudiation: </w:t>
      </w:r>
      <w:r>
        <w:rPr>
          <w:rFonts w:ascii="Google Sans" w:hAnsi="Google Sans"/>
          <w:rFonts w:ascii="Google Sans" w:hAnsi="Google Sans" w:cs="Google Sans"/>
          <w:sz w:val="18"/>
        </w:rPr>
        <w:t>Field photos and video uploads undergo mandatory client-side and server-side EXIF inspection. Images missing GPS metadata or bearing conflicting timestamps are flagged for manual QA review.</w:t>
      </w:r>
    </w:p>
    <w:p>
      <w:pPr>
        <w:spacing w:after="6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 xml:space="preserve">• Role-Based Access Control (RBAC) &amp; Multi-Tenancy: </w:t>
      </w:r>
      <w:r>
        <w:rPr>
          <w:rFonts w:ascii="Google Sans" w:hAnsi="Google Sans"/>
          <w:rFonts w:ascii="Google Sans" w:hAnsi="Google Sans" w:cs="Google Sans"/>
          <w:sz w:val="18"/>
        </w:rPr>
        <w:t>Strict tenant isolation ensuring clients only view their designated projects. Field agents only access active inspection checklists for assigned sites without viewing global client financials.</w:t>
      </w:r>
    </w:p>
    <w:p>
      <w:pPr>
        <w:spacing w:after="60"/>
      </w:pPr>
      <w:r>
        <w:rPr>
          <w:rFonts w:ascii="Google Sans" w:hAnsi="Google Sans"/>
          <w:rFonts w:ascii="Google Sans" w:hAnsi="Google Sans" w:cs="Google Sans"/>
          <w:b/>
          <w:color w:val="123456"/>
          <w:sz w:val="19"/>
        </w:rPr>
        <w:t xml:space="preserve">• Audit Logging &amp; Tamper-Evident History: </w:t>
      </w:r>
      <w:r>
        <w:rPr>
          <w:rFonts w:ascii="Google Sans" w:hAnsi="Google Sans"/>
          <w:rFonts w:ascii="Google Sans" w:hAnsi="Google Sans" w:cs="Google Sans"/>
          <w:sz w:val="18"/>
        </w:rPr>
        <w:t>All status modifications, report approvals, and document downloads generate immutable PostgreSQL audit trails with agent IDs, IP addresses, and cryptographic hashes.</w:t>
      </w: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Google Sans" w:hAnsi="Google Sans"/>
          <w:rFonts w:ascii="Google Sans" w:hAnsi="Google Sans" w:cs="Google Sans"/>
          <w:b/>
          <w:color w:val="123456"/>
          <w:sz w:val="30"/>
        </w:rPr>
        <w:t>8. Implementation Roadmap, Milestones &amp; Engineering Phases</w:t>
      </w:r>
    </w:p>
    <w:p>
      <w:r>
        <w:rPr>
          <w:rFonts w:ascii="Google Sans" w:hAnsi="Google Sans"/>
          <w:rFonts w:ascii="Google Sans" w:hAnsi="Google Sans" w:cs="Google Sans"/>
        </w:rPr>
        <w:t>To execute rapid delivery while maintaining high reliability, the technical implementation is structured across four sequential engineering phases.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592"/>
        <w:gridCol w:w="4608"/>
      </w:tblGrid>
      <w:tr>
        <w:tc>
          <w:tcPr>
            <w:tcW w:type="dxa" w:w="3120"/>
            <w:shd w:fill="12345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color w:val="FFFFFF"/>
                <w:sz w:val="18"/>
              </w:rPr>
              <w:t>Engineering Phase</w:t>
            </w:r>
          </w:p>
        </w:tc>
        <w:tc>
          <w:tcPr>
            <w:tcW w:type="dxa" w:w="3120"/>
            <w:shd w:fill="12345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color w:val="FFFFFF"/>
                <w:sz w:val="18"/>
              </w:rPr>
              <w:t>Core Deliverables</w:t>
            </w:r>
          </w:p>
        </w:tc>
        <w:tc>
          <w:tcPr>
            <w:tcW w:type="dxa" w:w="3120"/>
            <w:shd w:fill="12345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color w:val="FFFFFF"/>
                <w:sz w:val="18"/>
              </w:rPr>
              <w:t>Acceptance Criteria &amp; KPIs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sz w:val="17"/>
              </w:rPr>
              <w:t>Phase 1</w:t>
              <w:br/>
              <w:t>Core Engine &amp; Calculator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Database schema setup, Next.js foundation, 6-Step Pricing Calculator engine, Geocoding API integration.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Calculator generates mathematically accurate itemized estimates across all Kenyan distance bands and complexity scores.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sz w:val="17"/>
              </w:rPr>
              <w:t>Phase 2</w:t>
              <w:br/>
              <w:t>Onboarding &amp; Client Portal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Client authentication, proposal generation, digital contract signing, project creation wizard, client onboarding checklist.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Complete automated flow from quote calculation to active project status and stakeholder assignment.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sz w:val="17"/>
              </w:rPr>
              <w:t>Phase 3</w:t>
              <w:br/>
              <w:t>Dashboard &amp; Map Intelligence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Interactive Mapbox dashboard, project snapshot widgets, health indicators (Good/At Risk), evidence vault, inspection detail viewer.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Dashboard displays live geospatial project clusters, responsive desktop/mobile PWA rendering, and media streams.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b/>
                <w:sz w:val="17"/>
              </w:rPr>
              <w:t>Phase 4</w:t>
              <w:br/>
              <w:t>Field QA &amp; Production Launch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Field Agent inspection mobile flow, EXIF metadata extractor, PDF report generator engine, payment gateway (M-Pesa/Card), UAT.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Google Sans" w:hAnsi="Google Sans"/>
                <w:rFonts w:ascii="Google Sans" w:hAnsi="Google Sans" w:cs="Google Sans"/>
                <w:sz w:val="17"/>
              </w:rPr>
              <w:t>End-to-end report generation validated; automated PDF rendering; penetration testing and production deployment.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73BE"/>
              <w:top w:val="none"/>
              <w:right w:val="none"/>
              <w:bottom w:val="none"/>
            </w:tcBorders>
          </w:tcPr>
          <w:p>
            <w:pPr>
              <w:spacing w:after="0" w:line="276" w:lineRule="auto"/>
            </w:pPr>
            <w:r>
              <w:rPr>
                <w:rFonts w:ascii="Google Sans" w:hAnsi="Google Sans"/>
                <w:rFonts w:ascii="Google Sans" w:hAnsi="Google Sans" w:cs="Google Sans"/>
                <w:b/>
                <w:color w:val="123456"/>
                <w:sz w:val="19"/>
              </w:rPr>
              <w:t>PROJECT MANAGER SIGN-OFF &amp; ENGINEERING APPROVAL</w:t>
              <w:br/>
            </w:r>
            <w:r>
              <w:rPr>
                <w:rFonts w:ascii="Google Sans" w:hAnsi="Google Sans"/>
                <w:rFonts w:ascii="Google Sans" w:hAnsi="Google Sans" w:cs="Google Sans"/>
                <w:color w:val="282828"/>
                <w:sz w:val="18"/>
              </w:rPr>
              <w:t>This technical implementation specification serves as the formal engineering baseline for AngaVeritas Web &amp; Mobile App development. All architectural patterns, pricing calculations, database schemas, and UX journey workflows detailed herein are binding across Phase 1 through Phase 4 execution.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Google Sans" w:hAnsi="Google Sans"/>
      <w:color w:val="282828"/>
      <w:sz w:val="20"/>
      <w:rFonts w:ascii="Google Sans" w:hAnsi="Google Sans" w:cs="Google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