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ОТЧЁТ О РАЗВИТИИ ПРОЕКТА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A6A6A6" w:sz="4"/>
          <w:insideV w:val="single" w:color="A6A6A6" w:sz="4"/>
        </w:tblBorders>
      </w:tblPr>
      <w:tblGrid>
        <w:gridCol w:w="655"/>
        <w:gridCol w:w="2619"/>
        <w:gridCol w:w="842"/>
        <w:gridCol w:w="5239"/>
      </w:tblGrid>
      <w:tr>
        <w:trPr>
          <w:tblHeader/>
        </w:trPr>
        <w:tc>
          <w:tcPr>
            <w:tcW w:type="dxa" w:w="655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261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мероприятия</w:t>
            </w:r>
          </w:p>
        </w:tc>
        <w:tc>
          <w:tcPr>
            <w:tcW w:type="dxa" w:w="842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 / Нет</w:t>
            </w:r>
          </w:p>
        </w:tc>
        <w:tc>
          <w:tcPr>
            <w:tcW w:type="dxa" w:w="5239"/>
            <w:shd w:fill="F2EDFE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Комментарий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Выполненные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Зарегистрировано юридическое лицо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юридического лица: Общество с ограниченной ответственностью «НейроТендер» (ООО «НейроТендер»)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ИНН: 5406850880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ОГРН: 1255400030742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организации: 634061, г. Томск, ул. Красноармейская, д. 55/1, кв. 11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Генеральный директор: Янышевская Карина Владимировна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 сайт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Сайт стартап-проекта: </w:t>
            </w:r>
            <w:hyperlink w:history="1" r:id="rIdokalucp-tzhusq6ssie6y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Интерактивная демонстрационная версия сервиса: </w:t>
            </w:r>
            <w:hyperlink w:history="1" r:id="rId8hiqopommnhy0ozjgoojh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https://fanot.github.io/tenderai/demo.html</w:t>
              </w:r>
            </w:hyperlink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Исходный код проекта: </w:t>
            </w:r>
            <w:hyperlink w:history="1" r:id="rIddkuf0zftgotk4tompe0dd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2"/>
                  <w:szCs w:val="22"/>
                  <w:u w:val="single"/>
                </w:rPr>
                <w:t xml:space="preserve">https://github.com/fanot/tenderai</w:t>
              </w:r>
            </w:hyperlink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Разработанные в рамках проекта изделие / технология доведены до уровня TRL 3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Достигнут уровень технологической готовности TRL 1.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Реализованы и проверены ключевые компоненты технологии: разбор запроса на естественном языке с извлечением условий отбора (закон, регион, категория, диапазон НМЦК, признак закупки для СМП); лексический поиск на основе функции ранжирования BM25; семантический поиск по плотным векторным представлениям; слияние ранжирований методом Reciprocal Rank Fusion; генерация ответа со ссылками на источники и автоматический контроль их достоверности.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Компоненты объединены в работоспособный прототип веб-сервиса, работоспособность которого подтверждена измерениями на размеченном наборе из 60 запросов и набором из 70 автоматических тестов: точность на первой позиции 68 %, полнота выдачи Recall@5 — 95 %, средний обратный ранг 0,803, задержка поиска 92 мс по 95-му процентилю, корректность ссылок на источники 100 %.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Прототип доступен для демонстрации в сети Интернет и работает как с внешними языковыми моделями, так и в полностью автономном режиме.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Создана команда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Команда проекта не сформирована: работы по договору выполнены единолично получателем гранта — Янышевской Кариной Владимировной (постановка задач, разработка прототипа веб-сервиса и RAG-ассистента, тестирование, создание сайта стартап-проекта, взаимодействие с потенциальными пользователями).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 отдельным задачам специалисты привлекались на разовой основе без оформления в штат. Формирование команды (ML-инженер, backend- и frontend-разработчик) запланировано на этап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Организован бухгалтерский учёт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Способ организации бухгалтерского учёта в ООО «НейроТендер»: самостоятельное ведение — бухгалтерский учёт ведёт лично генеральный директор.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Основание: часть 3 статьи 7 Федерального закона от 06.12.2011 № 402-ФЗ «О бухгалтерском учёте», допускающая принятие руководителем субъекта малого предпринимательства ведения бухгалтерского учёта на себя. Учёт ведётся с использованием электронного сервиса банка; отчётность направляется по телекоммуникационным каналам связи.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вклада в уставный капитал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средств, внесённых в уставный капитал ООО «НейроТендер»: 10 000 (десять тысяч) рублей.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внесены получателем гранта на расчётный счёт организации в качестве оплаты доли в уставном капитале при её создании.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гранта внесены на счёт организации путём внесения безвозмездной помощи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средств, внесённых в качестве безвозмездной помощи: 990 000 (девятьсот девяносто тысяч) рублей.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перечислены получателем гранта на расчётный счёт ООО «НейроТендер» безвозмездно и израсходованы на цели, предусмотренные сметой расходов по договору о предоставлении гранта.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Общая сумма средств гранта, внесённых на счёт организации: 1 000 000 (один миллион) рублей.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печать организации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Печать организации не изготавливалась. В соответствии с Федеральным законом от 08.02.1998 № 14-ФЗ наличие печати не является обязательным; документы подписываются генеральным директором, при необходимости применяется усиленная квалифицированная электронная подпись.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Подана заявка на регистрацию прав на результат интеллектуальной деятельности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Заявка на государственную регистрацию программы для ЭВМ «TenderAI» в Роспатенте запланирована к подаче в IV квартале 2026 года — после завершения работ по договору и фиксации итоговой версии исходного кода.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Исходный код проекта размещён в публичном репозитории с указанием авторства, что фиксирует приоритет создания произведения.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акселерационная программа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Участие в акселерационной программе на отчётном этапе не осуществлялось. Прохождение акселерационной программы рассматривается на этапе подготовки к коммерциализации.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защита выпускной квалификационной работы в формате проекта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отчётном этапе защита выпускной квалификационной работы в формате стартап-проекта не проводилась.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Пройдена образовательная программа для развития предпринимательских или иных компетенций команды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Отдельная образовательная программа не проходилась. Развитие компетенций осуществлялось в рамках практической работы над проектом и консультаций в центре технологического предпринимательства образовательной организации.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Проведён customer development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Проведены проблемные интервью с представителями целевых сегментов: предприятия малого и среднего предпринимательства — участники закупок без выделенного тендерного подразделения, а также тендерные специалисты, ведущие поиск закупок для нескольких организаций.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Выявленные проблемы: поиск на существующих площадках требует знания терминологии заказчика и кодов ОКПД2; формулировки предмета закупки расходятся с тем, как поставщик описывает свою продукцию, из-за чего часть подходящих закупок не обнаруживается; для оценки применимости закупки приходится открывать извещение и приложения к нему; ежедневный мониторинг занимает несколько часов в неделю.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Количество проведённых интервью: ______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Осуществлена проверка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1: пользователю удобнее формулировать запрос обычными словами, чем подбирать ключевые слова и коды классификатора. Подтверждена: реализован разбор естественно-языкового запроса, который извлекает закон, регион, категорию, диапазон НМЦК и признак закупки для СМП.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2: гибридный поиск (лексический и семантический) точнее поиска по ключевым словам. Подтверждена частично: на размеченном наборе из 60 запросов гибридный поиск дал точность на первой позиции 68 % против 65 % у базовой линии BM25 и средний обратный ранг 0,803 против 0,791; преимущество проявляется прежде всего на запросах с синонимами и опечатками.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Гипотеза 3: пользователь не доверяет ответу ассистента без ссылки на первоисточник. Подтверждена: реализован механизм проверяемых ссылок на карточки закупок и автоматический контроль их достоверности.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Внесены изменения в бизнес-модель / продукт после проверки гипотез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продукт внесены изменения по итогам проверки гипотез: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1) добавлена строка распознанных условий отбора под поисковым запросом — пользователь видит, как система поняла запрос, и может поправить условие вручную, не переформулируя фразу;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2) под каждым результатом выдачи выводятся причины его включения в подборку, что делает выдачу объяснимой;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3) ответы ассистента снабжены ссылками на конкретные разделы карточек закупок с автоматической проверкой достоверности ссылок;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4) по результатам измерений качества поиска изменён алгоритм ранжирования: надбавка за свежесть и статус закупки ограничена, поскольку в исходном варианте она перевешивала релевантность и ухудшала выдачу.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бизнес-модели уточнена тарифная линейка: введён бессрочный бесплатный тариф как канал привлечения, а цена тарифа Pro установлена ниже цен конкурентов (17,9 тыс. руб. в год против 21–60 тыс. руб. в год).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Осуществлены первые продажи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Продажи не начинались. Запуск платных тарифов запланирован на II квартал 2027 года — после подключения сервиса к открытым данным единой информационной системы в сфере закупок и проведения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Получена выручка предприятия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Выручка не получена: коммерческая деятельность в отчётном периоде не велась, средства направлялись на разработку прототипа.</w:t>
            </w:r>
          </w:p>
        </w:tc>
      </w:tr>
      <w:tr>
        <w:tc>
          <w:tcPr>
            <w:tcW w:type="dxa" w:w="9355"/>
            <w:gridSpan w:val="4"/>
            <w:shd w:fill="E9E1FB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Планируемые мероприятия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претендовать на получение гранта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подача заявки на грант Фонда содействия инновациям по программе «Старт-1» (до 4 млн рублей) в IV квартале 2026 года.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Основание: завершён этап «Студенческий стартап», создан прототип с подтверждённой измерениями работоспособностью, определены целевые сегменты рынка и модель монетизации.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подключение к открытым данным единой информационной системы в сфере закупок, доработку продукта до промышленного уровня и проведение пилотных внедрений.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взять кредит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Привлечение кредитных средств в базовом сценарии развития проекта не планируется. Льготное кредитование для ИТ-компаний рассматривается как резервный источник финансирования.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найти частного инвестора (венчурный фонд или бизнес-ангел)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Планируется привлечение венчурных (ангельских) инвестиций в объёме около 8 млн рублей в 2028 году — при достижении годовой выручки от 10 млн рублей и подтверждённой воспроизводимости продаж.</w:t>
            </w:r>
          </w:p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 планируется направить на масштабирование продаж, расширение команды и перенос поискового индекса во внешнее векторное хранилище.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стать резидентом Сколково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Получение статуса участника проекта «Сколково» на текущем этапе не планируется. Вопрос будет рассмотрен после начала регулярных продаж.</w:t>
            </w:r>
          </w:p>
        </w:tc>
      </w:tr>
      <w:tr>
        <w:tc>
          <w:tcPr>
            <w:tcW w:type="dxa" w:w="655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1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Планирую закрыть созданное предприятие в ближайшее время</w:t>
            </w:r>
          </w:p>
        </w:tc>
        <w:tc>
          <w:tcPr>
            <w:tcW w:type="dxa" w:w="842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5239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Закрытие организации не планируется. Проект продолжает развитие в соответствии с дорожной картой: подключение к данным единой информационной системы, запуск личного кабинета и уведомлений, пилотные внедрения, запуск платных тарифов.</w:t>
            </w:r>
          </w:p>
        </w:tc>
      </w:tr>
    </w:tbl>
    <w:p>
      <w:pPr>
        <w:spacing w:after="24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Получатель гранта ____________________ / Янышевская К. В. /</w:t>
      </w:r>
    </w:p>
    <w:p>
      <w:pPr>
        <w:spacing w:after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«____» ______________ 2026 г.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kalucp-tzhusq6ssie6y" Type="http://schemas.openxmlformats.org/officeDocument/2006/relationships/hyperlink" Target="https://fanot.github.io/tenderai/" TargetMode="External"/><Relationship Id="rId8hiqopommnhy0ozjgoojh" Type="http://schemas.openxmlformats.org/officeDocument/2006/relationships/hyperlink" Target="https://fanot.github.io/tenderai/demo.html" TargetMode="External"/><Relationship Id="rIddkuf0zftgotk4tompe0dd" Type="http://schemas.openxmlformats.org/officeDocument/2006/relationships/hyperlink" Target="https://github.com/fanot/tenderai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развитии проекта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2026-08-24T22:12:57.933Z</dcterms:created>
  <dcterms:modified xsi:type="dcterms:W3CDTF">2026-08-24T22:12:57.934Z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