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60"/>
        <w:jc w:val="center"/>
      </w:pPr>
      <w:r>
        <w:rPr>
          <w:rFonts w:ascii="Times New Roman" w:cs="Times New Roman" w:eastAsia="Times New Roman" w:hAnsi="Times New Roman"/>
          <w:b/>
          <w:bCs/>
          <w:sz w:val="28"/>
          <w:szCs w:val="28"/>
        </w:rPr>
        <w:t xml:space="preserve">БИЗНЕС-ПЛАН ПРОЕКТА</w:t>
      </w:r>
    </w:p>
    <w:p>
      <w:pPr>
        <w:spacing w:after="0" w:line="360"/>
        <w:jc w:val="center"/>
      </w:pPr>
      <w:r>
        <w:rPr>
          <w:rFonts w:ascii="Times New Roman" w:cs="Times New Roman" w:eastAsia="Times New Roman" w:hAnsi="Times New Roman"/>
          <w:b/>
          <w:bCs/>
          <w:sz w:val="32"/>
          <w:szCs w:val="32"/>
        </w:rPr>
        <w:t xml:space="preserve">«Создание веб-сервиса умного поиска тендеров</w:t>
      </w:r>
    </w:p>
    <w:p>
      <w:pPr>
        <w:spacing w:after="700" w:line="360"/>
        <w:jc w:val="center"/>
      </w:pPr>
      <w:r>
        <w:rPr>
          <w:rFonts w:ascii="Times New Roman" w:cs="Times New Roman" w:eastAsia="Times New Roman" w:hAnsi="Times New Roman"/>
          <w:b/>
          <w:bCs/>
          <w:sz w:val="32"/>
          <w:szCs w:val="32"/>
        </w:rPr>
        <w:t xml:space="preserve">с помощью искусственного интеллекта»</w:t>
      </w:r>
    </w:p>
    <w:p>
      <w:pPr>
        <w:spacing w:after="120" w:line="360"/>
        <w:jc w:val="center"/>
      </w:pPr>
      <w:r>
        <w:rPr>
          <w:rFonts w:ascii="Times New Roman" w:cs="Times New Roman" w:eastAsia="Times New Roman" w:hAnsi="Times New Roman"/>
          <w:sz w:val="28"/>
          <w:szCs w:val="28"/>
        </w:rPr>
        <w:t xml:space="preserve">Получатель гранта: Янышевская Карина Владимировна</w:t>
      </w:r>
    </w:p>
    <w:p>
      <w:pPr>
        <w:spacing w:after="0" w:line="360"/>
        <w:jc w:val="center"/>
      </w:pPr>
      <w:r>
        <w:rPr>
          <w:rFonts w:ascii="Times New Roman" w:cs="Times New Roman" w:eastAsia="Times New Roman" w:hAnsi="Times New Roman"/>
          <w:sz w:val="28"/>
          <w:szCs w:val="28"/>
        </w:rPr>
        <w:t xml:space="preserve">Договор (соглашение) о предоставлении гранта</w:t>
      </w:r>
    </w:p>
    <w:p>
      <w:pPr>
        <w:spacing w:after="500" w:line="360"/>
        <w:jc w:val="center"/>
      </w:pPr>
      <w:r>
        <w:rPr>
          <w:rFonts w:ascii="Times New Roman" w:cs="Times New Roman" w:eastAsia="Times New Roman" w:hAnsi="Times New Roman"/>
          <w:sz w:val="28"/>
          <w:szCs w:val="28"/>
        </w:rPr>
        <w:t xml:space="preserve">№ 377ГССС27/106829 от 30 сентября 2025 г.</w:t>
      </w:r>
    </w:p>
    <w:p>
      <w:pPr>
        <w:spacing w:after="120" w:line="360"/>
        <w:jc w:val="center"/>
      </w:pPr>
      <w:r>
        <w:rPr>
          <w:rFonts w:ascii="Times New Roman" w:cs="Times New Roman" w:eastAsia="Times New Roman" w:hAnsi="Times New Roman"/>
          <w:b/>
          <w:bCs/>
          <w:sz w:val="28"/>
          <w:szCs w:val="28"/>
        </w:rPr>
        <w:t xml:space="preserve">Контактные данные</w:t>
      </w:r>
    </w:p>
    <w:p>
      <w:pPr>
        <w:spacing w:after="0" w:line="360"/>
        <w:jc w:val="center"/>
      </w:pPr>
      <w:r>
        <w:rPr>
          <w:rFonts w:ascii="Times New Roman" w:cs="Times New Roman" w:eastAsia="Times New Roman" w:hAnsi="Times New Roman"/>
          <w:sz w:val="28"/>
          <w:szCs w:val="28"/>
        </w:rPr>
        <w:t xml:space="preserve">Организация проекта: ООО «НейроТендер», ИНН 5406850880</w:t>
      </w:r>
    </w:p>
    <w:p>
      <w:pPr>
        <w:spacing w:after="0" w:line="360"/>
        <w:jc w:val="center"/>
      </w:pPr>
      <w:r>
        <w:rPr>
          <w:rFonts w:ascii="Times New Roman" w:cs="Times New Roman" w:eastAsia="Times New Roman" w:hAnsi="Times New Roman"/>
          <w:sz w:val="28"/>
          <w:szCs w:val="28"/>
        </w:rPr>
        <w:t xml:space="preserve">Адрес: 634061, г. Томск, ул. Красноармейская, д. 55/1, кв. 11</w:t>
      </w:r>
    </w:p>
    <w:p>
      <w:pPr>
        <w:spacing w:after="0" w:line="360"/>
        <w:jc w:val="center"/>
      </w:pPr>
      <w:r>
        <w:rPr>
          <w:rFonts w:ascii="Times New Roman" w:cs="Times New Roman" w:eastAsia="Times New Roman" w:hAnsi="Times New Roman"/>
          <w:sz w:val="28"/>
          <w:szCs w:val="28"/>
        </w:rPr>
        <w:t xml:space="preserve">Телефон: +7 (913) 886-83-81</w:t>
      </w:r>
    </w:p>
    <w:p>
      <w:pPr>
        <w:spacing w:after="0" w:line="360"/>
        <w:jc w:val="center"/>
      </w:pPr>
      <w:r>
        <w:rPr>
          <w:rFonts w:ascii="Times New Roman" w:cs="Times New Roman" w:eastAsia="Times New Roman" w:hAnsi="Times New Roman"/>
          <w:sz w:val="28"/>
          <w:szCs w:val="28"/>
        </w:rPr>
        <w:t xml:space="preserve">Электронная почта: karinaya94@gmail.com</w:t>
      </w:r>
    </w:p>
    <w:p>
      <w:pPr>
        <w:spacing w:after="0" w:line="360"/>
        <w:jc w:val="center"/>
      </w:pPr>
      <w:r>
        <w:rPr>
          <w:rFonts w:ascii="Times New Roman" w:cs="Times New Roman" w:eastAsia="Times New Roman" w:hAnsi="Times New Roman"/>
          <w:sz w:val="28"/>
          <w:szCs w:val="28"/>
        </w:rPr>
        <w:t xml:space="preserve">Сайт проекта: https://fanot.github.io/tenderai/</w:t>
      </w:r>
    </w:p>
    <w:p>
      <w:pPr>
        <w:spacing w:after="0" w:line="360"/>
        <w:jc w:val="center"/>
      </w:pPr>
      <w:r>
        <w:rPr>
          <w:rFonts w:ascii="Times New Roman" w:cs="Times New Roman" w:eastAsia="Times New Roman" w:hAnsi="Times New Roman"/>
          <w:sz w:val="28"/>
          <w:szCs w:val="28"/>
        </w:rPr>
        <w:t xml:space="preserve">Образовательная организация: Национальный исследовательский</w:t>
      </w:r>
    </w:p>
    <w:p>
      <w:pPr>
        <w:spacing w:after="0" w:line="360"/>
        <w:jc w:val="center"/>
      </w:pPr>
      <w:r>
        <w:rPr>
          <w:rFonts w:ascii="Times New Roman" w:cs="Times New Roman" w:eastAsia="Times New Roman" w:hAnsi="Times New Roman"/>
          <w:sz w:val="28"/>
          <w:szCs w:val="28"/>
        </w:rPr>
        <w:t xml:space="preserve">Томский государственный университет, г. Томск</w:t>
      </w:r>
    </w:p>
    <w:p>
      <w:pPr>
        <w:spacing w:after="90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Томск, 2026</w:t>
      </w:r>
    </w:p>
    <w:p>
      <w:pPr>
        <w:pStyle w:val="Heading1"/>
        <w:pageBreakBefore/>
        <w:spacing w:after="240" w:line="360"/>
        <w:jc w:val="center"/>
      </w:pPr>
      <w:r>
        <w:rPr>
          <w:rFonts w:ascii="Times New Roman" w:cs="Times New Roman" w:eastAsia="Times New Roman" w:hAnsi="Times New Roman"/>
          <w:b/>
          <w:bCs/>
          <w:sz w:val="28"/>
          <w:szCs w:val="28"/>
        </w:rPr>
        <w:t xml:space="preserve">СОДЕРЖАНИЕ</w:t>
      </w:r>
    </w:p>
    <w:p>
      <w:pPr>
        <w:tabs>
          <w:tab w:val="right" w:pos="9355" w:leader="dot"/>
        </w:tabs>
        <w:spacing w:line="300"/>
        <w:ind w:left="0"/>
        <w:jc w:val="left"/>
      </w:pPr>
      <w:r>
        <w:rPr>
          <w:rFonts w:ascii="Times New Roman" w:cs="Times New Roman" w:eastAsia="Times New Roman" w:hAnsi="Times New Roman"/>
          <w:sz w:val="26"/>
          <w:szCs w:val="26"/>
        </w:rPr>
        <w:t xml:space="preserve">1 Резюме бизнес-плана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pos="9355" w:leader="dot"/>
        </w:tabs>
        <w:spacing w:line="300"/>
        <w:ind w:left="708"/>
        <w:jc w:val="left"/>
      </w:pPr>
      <w:r>
        <w:rPr>
          <w:rFonts w:ascii="Times New Roman" w:cs="Times New Roman" w:eastAsia="Times New Roman" w:hAnsi="Times New Roman"/>
          <w:sz w:val="26"/>
          <w:szCs w:val="26"/>
        </w:rPr>
        <w:t xml:space="preserve">1.1 Основная цель и сущность проекта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pos="9355" w:leader="dot"/>
        </w:tabs>
        <w:spacing w:line="300"/>
        <w:ind w:left="708"/>
        <w:jc w:val="left"/>
      </w:pPr>
      <w:r>
        <w:rPr>
          <w:rFonts w:ascii="Times New Roman" w:cs="Times New Roman" w:eastAsia="Times New Roman" w:hAnsi="Times New Roman"/>
          <w:sz w:val="26"/>
          <w:szCs w:val="26"/>
        </w:rPr>
        <w:t xml:space="preserve">1.2 Цели и задачи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pos="9355" w:leader="dot"/>
        </w:tabs>
        <w:spacing w:line="300"/>
        <w:ind w:left="708"/>
        <w:jc w:val="left"/>
      </w:pPr>
      <w:r>
        <w:rPr>
          <w:rFonts w:ascii="Times New Roman" w:cs="Times New Roman" w:eastAsia="Times New Roman" w:hAnsi="Times New Roman"/>
          <w:sz w:val="26"/>
          <w:szCs w:val="26"/>
        </w:rPr>
        <w:t xml:space="preserve">1.3 Инновационная идея и научно-технический задел</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pos="9355" w:leader="dot"/>
        </w:tabs>
        <w:spacing w:line="300"/>
        <w:ind w:left="708"/>
        <w:jc w:val="left"/>
      </w:pPr>
      <w:r>
        <w:rPr>
          <w:rFonts w:ascii="Times New Roman" w:cs="Times New Roman" w:eastAsia="Times New Roman" w:hAnsi="Times New Roman"/>
          <w:sz w:val="26"/>
          <w:szCs w:val="26"/>
        </w:rPr>
        <w:t xml:space="preserve">1.4 Стадия развития проекта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w:t>
      </w:r>
    </w:p>
    <w:p>
      <w:pPr>
        <w:tabs>
          <w:tab w:val="right" w:pos="9355" w:leader="dot"/>
        </w:tabs>
        <w:spacing w:line="300"/>
        <w:ind w:left="708"/>
        <w:jc w:val="left"/>
      </w:pPr>
      <w:r>
        <w:rPr>
          <w:rFonts w:ascii="Times New Roman" w:cs="Times New Roman" w:eastAsia="Times New Roman" w:hAnsi="Times New Roman"/>
          <w:sz w:val="26"/>
          <w:szCs w:val="26"/>
        </w:rPr>
        <w:t xml:space="preserve">1.5 Мероприятия, планируемые по завершении договора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w:t>
      </w:r>
    </w:p>
    <w:p>
      <w:pPr>
        <w:tabs>
          <w:tab w:val="right" w:pos="9355" w:leader="dot"/>
        </w:tabs>
        <w:spacing w:line="300"/>
        <w:ind w:left="708"/>
        <w:jc w:val="left"/>
      </w:pPr>
      <w:r>
        <w:rPr>
          <w:rFonts w:ascii="Times New Roman" w:cs="Times New Roman" w:eastAsia="Times New Roman" w:hAnsi="Times New Roman"/>
          <w:sz w:val="26"/>
          <w:szCs w:val="26"/>
        </w:rPr>
        <w:t xml:space="preserve">1.6 Средства, необходимые для развития проекта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w:t>
      </w:r>
    </w:p>
    <w:p>
      <w:pPr>
        <w:tabs>
          <w:tab w:val="right" w:pos="9355" w:leader="dot"/>
        </w:tabs>
        <w:spacing w:line="300"/>
        <w:ind w:left="708"/>
        <w:jc w:val="left"/>
      </w:pPr>
      <w:r>
        <w:rPr>
          <w:rFonts w:ascii="Times New Roman" w:cs="Times New Roman" w:eastAsia="Times New Roman" w:hAnsi="Times New Roman"/>
          <w:sz w:val="26"/>
          <w:szCs w:val="26"/>
        </w:rPr>
        <w:t xml:space="preserve">1.7 Ключевые факторы успеха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w:t>
      </w:r>
    </w:p>
    <w:p>
      <w:pPr>
        <w:tabs>
          <w:tab w:val="right" w:pos="9355" w:leader="dot"/>
        </w:tabs>
        <w:spacing w:line="300"/>
        <w:ind w:left="0"/>
        <w:jc w:val="left"/>
      </w:pPr>
      <w:r>
        <w:rPr>
          <w:rFonts w:ascii="Times New Roman" w:cs="Times New Roman" w:eastAsia="Times New Roman" w:hAnsi="Times New Roman"/>
          <w:sz w:val="26"/>
          <w:szCs w:val="26"/>
        </w:rPr>
        <w:t xml:space="preserve">2 Описание планируемой к реализации продукции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w:t>
      </w:r>
    </w:p>
    <w:p>
      <w:pPr>
        <w:tabs>
          <w:tab w:val="right" w:pos="9355" w:leader="dot"/>
        </w:tabs>
        <w:spacing w:line="300"/>
        <w:ind w:left="708"/>
        <w:jc w:val="left"/>
      </w:pPr>
      <w:r>
        <w:rPr>
          <w:rFonts w:ascii="Times New Roman" w:cs="Times New Roman" w:eastAsia="Times New Roman" w:hAnsi="Times New Roman"/>
          <w:sz w:val="26"/>
          <w:szCs w:val="26"/>
        </w:rPr>
        <w:t xml:space="preserve">2.1 Наименование продукции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w:t>
      </w:r>
    </w:p>
    <w:p>
      <w:pPr>
        <w:tabs>
          <w:tab w:val="right" w:pos="9355" w:leader="dot"/>
        </w:tabs>
        <w:spacing w:line="300"/>
        <w:ind w:left="708"/>
        <w:jc w:val="left"/>
      </w:pPr>
      <w:r>
        <w:rPr>
          <w:rFonts w:ascii="Times New Roman" w:cs="Times New Roman" w:eastAsia="Times New Roman" w:hAnsi="Times New Roman"/>
          <w:sz w:val="26"/>
          <w:szCs w:val="26"/>
        </w:rPr>
        <w:t xml:space="preserve">2.2 Назначение и область применения</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w:t>
      </w:r>
    </w:p>
    <w:p>
      <w:pPr>
        <w:tabs>
          <w:tab w:val="right" w:pos="9355" w:leader="dot"/>
        </w:tabs>
        <w:spacing w:line="300"/>
        <w:ind w:left="708"/>
        <w:jc w:val="left"/>
      </w:pPr>
      <w:r>
        <w:rPr>
          <w:rFonts w:ascii="Times New Roman" w:cs="Times New Roman" w:eastAsia="Times New Roman" w:hAnsi="Times New Roman"/>
          <w:sz w:val="26"/>
          <w:szCs w:val="26"/>
        </w:rPr>
        <w:t xml:space="preserve">2.3 Краткое описание и основные характеристики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w:t>
      </w:r>
    </w:p>
    <w:p>
      <w:pPr>
        <w:tabs>
          <w:tab w:val="right" w:pos="9355" w:leader="dot"/>
        </w:tabs>
        <w:spacing w:line="300"/>
        <w:ind w:left="708"/>
        <w:jc w:val="left"/>
      </w:pPr>
      <w:r>
        <w:rPr>
          <w:rFonts w:ascii="Times New Roman" w:cs="Times New Roman" w:eastAsia="Times New Roman" w:hAnsi="Times New Roman"/>
          <w:sz w:val="26"/>
          <w:szCs w:val="26"/>
        </w:rPr>
        <w:t xml:space="preserve">2.4 Перспективы выпуска и конкурентоспособность</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w:t>
      </w:r>
    </w:p>
    <w:p>
      <w:pPr>
        <w:tabs>
          <w:tab w:val="right" w:pos="9355" w:leader="dot"/>
        </w:tabs>
        <w:spacing w:line="300"/>
        <w:ind w:left="708"/>
        <w:jc w:val="left"/>
      </w:pPr>
      <w:r>
        <w:rPr>
          <w:rFonts w:ascii="Times New Roman" w:cs="Times New Roman" w:eastAsia="Times New Roman" w:hAnsi="Times New Roman"/>
          <w:sz w:val="26"/>
          <w:szCs w:val="26"/>
        </w:rPr>
        <w:t xml:space="preserve">2.5 Степень готовности продукции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w:t>
      </w:r>
    </w:p>
    <w:p>
      <w:pPr>
        <w:tabs>
          <w:tab w:val="right" w:pos="9355" w:leader="dot"/>
        </w:tabs>
        <w:spacing w:line="300"/>
        <w:ind w:left="0"/>
        <w:jc w:val="left"/>
      </w:pPr>
      <w:r>
        <w:rPr>
          <w:rFonts w:ascii="Times New Roman" w:cs="Times New Roman" w:eastAsia="Times New Roman" w:hAnsi="Times New Roman"/>
          <w:sz w:val="26"/>
          <w:szCs w:val="26"/>
        </w:rPr>
        <w:t xml:space="preserve">3 Анализ рынка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w:t>
      </w:r>
    </w:p>
    <w:p>
      <w:pPr>
        <w:tabs>
          <w:tab w:val="right" w:pos="9355" w:leader="dot"/>
        </w:tabs>
        <w:spacing w:line="300"/>
        <w:ind w:left="708"/>
        <w:jc w:val="left"/>
      </w:pPr>
      <w:r>
        <w:rPr>
          <w:rFonts w:ascii="Times New Roman" w:cs="Times New Roman" w:eastAsia="Times New Roman" w:hAnsi="Times New Roman"/>
          <w:sz w:val="26"/>
          <w:szCs w:val="26"/>
        </w:rPr>
        <w:t xml:space="preserve">3.1 Размер рынка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w:t>
      </w:r>
    </w:p>
    <w:p>
      <w:pPr>
        <w:tabs>
          <w:tab w:val="right" w:pos="9355" w:leader="dot"/>
        </w:tabs>
        <w:spacing w:line="300"/>
        <w:ind w:left="708"/>
        <w:jc w:val="left"/>
      </w:pPr>
      <w:r>
        <w:rPr>
          <w:rFonts w:ascii="Times New Roman" w:cs="Times New Roman" w:eastAsia="Times New Roman" w:hAnsi="Times New Roman"/>
          <w:sz w:val="26"/>
          <w:szCs w:val="26"/>
        </w:rPr>
        <w:t xml:space="preserve">3.2 Темпы роста рынка и фаза развития спроса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w:t>
      </w:r>
    </w:p>
    <w:p>
      <w:pPr>
        <w:tabs>
          <w:tab w:val="right" w:pos="9355" w:leader="dot"/>
        </w:tabs>
        <w:spacing w:line="300"/>
        <w:ind w:left="708"/>
        <w:jc w:val="left"/>
      </w:pPr>
      <w:r>
        <w:rPr>
          <w:rFonts w:ascii="Times New Roman" w:cs="Times New Roman" w:eastAsia="Times New Roman" w:hAnsi="Times New Roman"/>
          <w:sz w:val="26"/>
          <w:szCs w:val="26"/>
        </w:rPr>
        <w:t xml:space="preserve">3.3 Прогнозы развития отрасли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w:t>
      </w:r>
    </w:p>
    <w:p>
      <w:pPr>
        <w:tabs>
          <w:tab w:val="right" w:pos="9355" w:leader="dot"/>
        </w:tabs>
        <w:spacing w:line="300"/>
        <w:ind w:left="708"/>
        <w:jc w:val="left"/>
      </w:pPr>
      <w:r>
        <w:rPr>
          <w:rFonts w:ascii="Times New Roman" w:cs="Times New Roman" w:eastAsia="Times New Roman" w:hAnsi="Times New Roman"/>
          <w:sz w:val="26"/>
          <w:szCs w:val="26"/>
        </w:rPr>
        <w:t xml:space="preserve">3.4 Основные и потенциальные конкуренты</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w:t>
      </w:r>
    </w:p>
    <w:p>
      <w:pPr>
        <w:tabs>
          <w:tab w:val="right" w:pos="9355" w:leader="dot"/>
        </w:tabs>
        <w:spacing w:line="300"/>
        <w:ind w:left="0"/>
        <w:jc w:val="left"/>
      </w:pPr>
      <w:r>
        <w:rPr>
          <w:rFonts w:ascii="Times New Roman" w:cs="Times New Roman" w:eastAsia="Times New Roman" w:hAnsi="Times New Roman"/>
          <w:sz w:val="26"/>
          <w:szCs w:val="26"/>
        </w:rPr>
        <w:t xml:space="preserve">4 Маркетинговый план</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13</w:t>
      </w:r>
    </w:p>
    <w:p>
      <w:pPr>
        <w:tabs>
          <w:tab w:val="right" w:pos="9355" w:leader="dot"/>
        </w:tabs>
        <w:spacing w:line="300"/>
        <w:ind w:left="708"/>
        <w:jc w:val="left"/>
      </w:pPr>
      <w:r>
        <w:rPr>
          <w:rFonts w:ascii="Times New Roman" w:cs="Times New Roman" w:eastAsia="Times New Roman" w:hAnsi="Times New Roman"/>
          <w:sz w:val="26"/>
          <w:szCs w:val="26"/>
        </w:rPr>
        <w:t xml:space="preserve">4.1 Конечные потребители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13</w:t>
      </w:r>
    </w:p>
    <w:p>
      <w:pPr>
        <w:tabs>
          <w:tab w:val="right" w:pos="9355" w:leader="dot"/>
        </w:tabs>
        <w:spacing w:line="300"/>
        <w:ind w:left="708"/>
        <w:jc w:val="left"/>
      </w:pPr>
      <w:r>
        <w:rPr>
          <w:rFonts w:ascii="Times New Roman" w:cs="Times New Roman" w:eastAsia="Times New Roman" w:hAnsi="Times New Roman"/>
          <w:sz w:val="26"/>
          <w:szCs w:val="26"/>
        </w:rPr>
        <w:t xml:space="preserve">4.2 Конкурентные преимущества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13</w:t>
      </w:r>
    </w:p>
    <w:p>
      <w:pPr>
        <w:tabs>
          <w:tab w:val="right" w:pos="9355" w:leader="dot"/>
        </w:tabs>
        <w:spacing w:line="300"/>
        <w:ind w:left="708"/>
        <w:jc w:val="left"/>
      </w:pPr>
      <w:r>
        <w:rPr>
          <w:rFonts w:ascii="Times New Roman" w:cs="Times New Roman" w:eastAsia="Times New Roman" w:hAnsi="Times New Roman"/>
          <w:sz w:val="26"/>
          <w:szCs w:val="26"/>
        </w:rPr>
        <w:t xml:space="preserve">4.3 Планируемая доля рынка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14</w:t>
      </w:r>
    </w:p>
    <w:p>
      <w:pPr>
        <w:tabs>
          <w:tab w:val="right" w:pos="9355" w:leader="dot"/>
        </w:tabs>
        <w:spacing w:line="300"/>
        <w:ind w:left="708"/>
        <w:jc w:val="left"/>
      </w:pPr>
      <w:r>
        <w:rPr>
          <w:rFonts w:ascii="Times New Roman" w:cs="Times New Roman" w:eastAsia="Times New Roman" w:hAnsi="Times New Roman"/>
          <w:sz w:val="26"/>
          <w:szCs w:val="26"/>
        </w:rPr>
        <w:t xml:space="preserve">4.4 Обоснование цены на продукцию</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14</w:t>
      </w:r>
    </w:p>
    <w:p>
      <w:pPr>
        <w:tabs>
          <w:tab w:val="right" w:pos="9355" w:leader="dot"/>
        </w:tabs>
        <w:spacing w:line="300"/>
        <w:ind w:left="708"/>
        <w:jc w:val="left"/>
      </w:pPr>
      <w:r>
        <w:rPr>
          <w:rFonts w:ascii="Times New Roman" w:cs="Times New Roman" w:eastAsia="Times New Roman" w:hAnsi="Times New Roman"/>
          <w:sz w:val="26"/>
          <w:szCs w:val="26"/>
        </w:rPr>
        <w:t xml:space="preserve">4.5 План продвижения продукта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15</w:t>
      </w:r>
    </w:p>
    <w:p>
      <w:pPr>
        <w:tabs>
          <w:tab w:val="right" w:pos="9355" w:leader="dot"/>
        </w:tabs>
        <w:spacing w:line="300"/>
        <w:ind w:left="708"/>
        <w:jc w:val="left"/>
      </w:pPr>
      <w:r>
        <w:rPr>
          <w:rFonts w:ascii="Times New Roman" w:cs="Times New Roman" w:eastAsia="Times New Roman" w:hAnsi="Times New Roman"/>
          <w:sz w:val="26"/>
          <w:szCs w:val="26"/>
        </w:rPr>
        <w:t xml:space="preserve">4.6 Организация сбыта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15</w:t>
      </w:r>
    </w:p>
    <w:p>
      <w:pPr>
        <w:tabs>
          <w:tab w:val="right" w:pos="9355" w:leader="dot"/>
        </w:tabs>
        <w:spacing w:line="300"/>
        <w:ind w:left="0"/>
        <w:jc w:val="left"/>
      </w:pPr>
      <w:r>
        <w:rPr>
          <w:rFonts w:ascii="Times New Roman" w:cs="Times New Roman" w:eastAsia="Times New Roman" w:hAnsi="Times New Roman"/>
          <w:sz w:val="26"/>
          <w:szCs w:val="26"/>
        </w:rPr>
        <w:t xml:space="preserve">5 Финансовый план</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17</w:t>
      </w:r>
    </w:p>
    <w:p>
      <w:pPr>
        <w:tabs>
          <w:tab w:val="right" w:pos="9355" w:leader="dot"/>
        </w:tabs>
        <w:spacing w:line="300"/>
        <w:ind w:left="708"/>
        <w:jc w:val="left"/>
      </w:pPr>
      <w:r>
        <w:rPr>
          <w:rFonts w:ascii="Times New Roman" w:cs="Times New Roman" w:eastAsia="Times New Roman" w:hAnsi="Times New Roman"/>
          <w:sz w:val="26"/>
          <w:szCs w:val="26"/>
        </w:rPr>
        <w:t xml:space="preserve">5.1 Объём и источники финансирования проекта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17</w:t>
      </w:r>
    </w:p>
    <w:p>
      <w:pPr>
        <w:tabs>
          <w:tab w:val="right" w:pos="9355" w:leader="dot"/>
        </w:tabs>
        <w:spacing w:line="300"/>
        <w:ind w:left="708"/>
        <w:jc w:val="left"/>
      </w:pPr>
      <w:r>
        <w:rPr>
          <w:rFonts w:ascii="Times New Roman" w:cs="Times New Roman" w:eastAsia="Times New Roman" w:hAnsi="Times New Roman"/>
          <w:sz w:val="26"/>
          <w:szCs w:val="26"/>
        </w:rPr>
        <w:t xml:space="preserve">5.2 План доходов и расходов</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17</w:t>
      </w:r>
    </w:p>
    <w:p>
      <w:pPr>
        <w:tabs>
          <w:tab w:val="right" w:pos="9355" w:leader="dot"/>
        </w:tabs>
        <w:spacing w:line="300"/>
        <w:ind w:left="708"/>
        <w:jc w:val="left"/>
      </w:pPr>
      <w:r>
        <w:rPr>
          <w:rFonts w:ascii="Times New Roman" w:cs="Times New Roman" w:eastAsia="Times New Roman" w:hAnsi="Times New Roman"/>
          <w:sz w:val="26"/>
          <w:szCs w:val="26"/>
        </w:rPr>
        <w:t xml:space="preserve">5.3 План денежных поступлений и выплат</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19</w:t>
      </w:r>
    </w:p>
    <w:p>
      <w:pPr>
        <w:tabs>
          <w:tab w:val="right" w:pos="9355" w:leader="dot"/>
        </w:tabs>
        <w:spacing w:line="300"/>
        <w:ind w:left="708"/>
        <w:jc w:val="left"/>
      </w:pPr>
      <w:r>
        <w:rPr>
          <w:rFonts w:ascii="Times New Roman" w:cs="Times New Roman" w:eastAsia="Times New Roman" w:hAnsi="Times New Roman"/>
          <w:sz w:val="26"/>
          <w:szCs w:val="26"/>
        </w:rPr>
        <w:t xml:space="preserve">5.4 Финансовые результаты и окупаемость</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20</w:t>
      </w:r>
    </w:p>
    <w:p>
      <w:pPr>
        <w:tabs>
          <w:tab w:val="right" w:pos="9355" w:leader="dot"/>
        </w:tabs>
        <w:spacing w:line="300"/>
        <w:ind w:left="708"/>
        <w:jc w:val="left"/>
      </w:pPr>
      <w:r>
        <w:rPr>
          <w:rFonts w:ascii="Times New Roman" w:cs="Times New Roman" w:eastAsia="Times New Roman" w:hAnsi="Times New Roman"/>
          <w:sz w:val="26"/>
          <w:szCs w:val="26"/>
        </w:rPr>
        <w:t xml:space="preserve">5.5 Источники финансирования дальнейшего развития</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20</w:t>
      </w:r>
    </w:p>
    <w:p>
      <w:pPr>
        <w:tabs>
          <w:tab w:val="right" w:pos="9355" w:leader="dot"/>
        </w:tabs>
        <w:spacing w:line="300"/>
        <w:ind w:left="0"/>
        <w:jc w:val="left"/>
      </w:pPr>
      <w:r>
        <w:rPr>
          <w:rFonts w:ascii="Times New Roman" w:cs="Times New Roman" w:eastAsia="Times New Roman" w:hAnsi="Times New Roman"/>
          <w:sz w:val="26"/>
          <w:szCs w:val="26"/>
        </w:rPr>
        <w:t xml:space="preserve">ПРИЛОЖЕНИЕ А. Расчёт ёмкости рынка</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22</w:t>
      </w:r>
    </w:p>
    <w:p>
      <w:pPr>
        <w:tabs>
          <w:tab w:val="right" w:pos="9355" w:leader="dot"/>
        </w:tabs>
        <w:spacing w:line="300"/>
        <w:ind w:left="0"/>
        <w:jc w:val="left"/>
      </w:pPr>
      <w:r>
        <w:rPr>
          <w:rFonts w:ascii="Times New Roman" w:cs="Times New Roman" w:eastAsia="Times New Roman" w:hAnsi="Times New Roman"/>
          <w:sz w:val="26"/>
          <w:szCs w:val="26"/>
        </w:rPr>
        <w:t xml:space="preserve">ПРИЛОЖЕНИЕ Б. Допущения финансовой модели</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23</w:t>
      </w:r>
    </w:p>
    <w:p>
      <w:pPr>
        <w:pStyle w:val="Heading1"/>
        <w:pageBreakBefore/>
        <w:spacing w:after="200" w:line="360"/>
        <w:ind w:firstLine="708"/>
        <w:jc w:val="left"/>
      </w:pPr>
      <w:r>
        <w:rPr>
          <w:rFonts w:ascii="Times New Roman" w:cs="Times New Roman" w:eastAsia="Times New Roman" w:hAnsi="Times New Roman"/>
          <w:b/>
          <w:bCs/>
          <w:sz w:val="28"/>
          <w:szCs w:val="28"/>
        </w:rPr>
        <w:t xml:space="preserve">1 Резюме бизнес-плана</w:t>
      </w:r>
    </w:p>
    <w:p>
      <w:pPr>
        <w:pStyle w:val="Heading2"/>
        <w:spacing w:after="120" w:before="200" w:line="360"/>
        <w:ind w:firstLine="708"/>
        <w:jc w:val="left"/>
      </w:pPr>
      <w:r>
        <w:rPr>
          <w:rFonts w:ascii="Times New Roman" w:cs="Times New Roman" w:eastAsia="Times New Roman" w:hAnsi="Times New Roman"/>
          <w:b/>
          <w:bCs/>
          <w:sz w:val="28"/>
          <w:szCs w:val="28"/>
        </w:rPr>
        <w:t xml:space="preserve">1.1 Основная цель и сущность проекта</w:t>
      </w:r>
    </w:p>
    <w:p>
      <w:pPr>
        <w:spacing w:after="0" w:line="360"/>
        <w:ind w:firstLine="708"/>
        <w:jc w:val="both"/>
      </w:pPr>
      <w:r>
        <w:rPr>
          <w:rFonts w:ascii="Times New Roman" w:cs="Times New Roman" w:eastAsia="Times New Roman" w:hAnsi="Times New Roman"/>
          <w:sz w:val="28"/>
          <w:szCs w:val="28"/>
        </w:rPr>
        <w:t xml:space="preserve">Сущность проекта состоит в создании веб-сервиса умного поиска тендеров, который принимает запрос на естественном языке, самостоятельно распознаёт условия отбора, находит релевантные закупки по 44-ФЗ и 223-ФЗ и разъясняет условия участия, подтверждая каждое утверждение ссылкой на карточку закупки.</w:t>
      </w:r>
    </w:p>
    <w:p>
      <w:pPr>
        <w:spacing w:after="0" w:line="360"/>
        <w:ind w:firstLine="708"/>
        <w:jc w:val="both"/>
      </w:pPr>
      <w:r>
        <w:rPr>
          <w:rFonts w:ascii="Times New Roman" w:cs="Times New Roman" w:eastAsia="Times New Roman" w:hAnsi="Times New Roman"/>
          <w:sz w:val="28"/>
          <w:szCs w:val="28"/>
        </w:rPr>
        <w:t xml:space="preserve">Основная цель — вывести на рынок коммерческий продукт, снижающий затраты времени малых и средних предприятий на поиск и первичный отбор закупок с нескольких часов в неделю до нескольких минут, и занять к пятому году развития долю не менее 2 % доступного сегмента рынка сервисов поиска тендеров.</w:t>
      </w:r>
    </w:p>
    <w:p>
      <w:pPr>
        <w:pStyle w:val="Heading2"/>
        <w:spacing w:after="120" w:before="200" w:line="360"/>
        <w:ind w:firstLine="708"/>
        <w:jc w:val="left"/>
      </w:pPr>
      <w:r>
        <w:rPr>
          <w:rFonts w:ascii="Times New Roman" w:cs="Times New Roman" w:eastAsia="Times New Roman" w:hAnsi="Times New Roman"/>
          <w:b/>
          <w:bCs/>
          <w:sz w:val="28"/>
          <w:szCs w:val="28"/>
        </w:rPr>
        <w:t xml:space="preserve">1.2 Цели и задачи</w:t>
      </w:r>
    </w:p>
    <w:p>
      <w:pPr>
        <w:spacing w:after="60" w:line="360"/>
        <w:ind w:firstLine="708"/>
        <w:jc w:val="both"/>
      </w:pPr>
      <w:r>
        <w:rPr>
          <w:rFonts w:ascii="Times New Roman" w:cs="Times New Roman" w:eastAsia="Times New Roman" w:hAnsi="Times New Roman"/>
          <w:sz w:val="28"/>
          <w:szCs w:val="28"/>
        </w:rPr>
        <w:t xml:space="preserve">Для достижения поставленной цели решаются следующие задачи:</w:t>
      </w:r>
    </w:p>
    <w:p>
      <w:pPr>
        <w:spacing w:line="360"/>
        <w:ind w:firstLine="708"/>
        <w:jc w:val="both"/>
      </w:pPr>
      <w:r>
        <w:rPr>
          <w:rFonts w:ascii="Times New Roman" w:cs="Times New Roman" w:eastAsia="Times New Roman" w:hAnsi="Times New Roman"/>
          <w:sz w:val="28"/>
          <w:szCs w:val="28"/>
        </w:rPr>
        <w:t xml:space="preserve">– подключение сервиса к открытым данным единой информационной системы в сфере закупок и организация регулярной синхронизации корпуса извещений;</w:t>
      </w:r>
    </w:p>
    <w:p>
      <w:pPr>
        <w:spacing w:line="360"/>
        <w:ind w:firstLine="708"/>
        <w:jc w:val="both"/>
      </w:pPr>
      <w:r>
        <w:rPr>
          <w:rFonts w:ascii="Times New Roman" w:cs="Times New Roman" w:eastAsia="Times New Roman" w:hAnsi="Times New Roman"/>
          <w:sz w:val="28"/>
          <w:szCs w:val="28"/>
        </w:rPr>
        <w:t xml:space="preserve">– развитие прототипа до промышленного решения: личный кабинет, сохранённые поисковые запросы, уведомления о новых закупках, командная работа;</w:t>
      </w:r>
    </w:p>
    <w:p>
      <w:pPr>
        <w:spacing w:line="360"/>
        <w:ind w:firstLine="708"/>
        <w:jc w:val="both"/>
      </w:pPr>
      <w:r>
        <w:rPr>
          <w:rFonts w:ascii="Times New Roman" w:cs="Times New Roman" w:eastAsia="Times New Roman" w:hAnsi="Times New Roman"/>
          <w:sz w:val="28"/>
          <w:szCs w:val="28"/>
        </w:rPr>
        <w:t xml:space="preserve">– перенос поискового индекса во внешнее векторное хранилище с поддержкой инкрементальной индексации;</w:t>
      </w:r>
    </w:p>
    <w:p>
      <w:pPr>
        <w:spacing w:line="360"/>
        <w:ind w:firstLine="708"/>
        <w:jc w:val="both"/>
      </w:pPr>
      <w:r>
        <w:rPr>
          <w:rFonts w:ascii="Times New Roman" w:cs="Times New Roman" w:eastAsia="Times New Roman" w:hAnsi="Times New Roman"/>
          <w:sz w:val="28"/>
          <w:szCs w:val="28"/>
        </w:rPr>
        <w:t xml:space="preserve">– проведение пилотных внедрений с предприятиями-поставщиками и подтверждение экономического эффекта;</w:t>
      </w:r>
    </w:p>
    <w:p>
      <w:pPr>
        <w:spacing w:line="360"/>
        <w:ind w:firstLine="708"/>
        <w:jc w:val="both"/>
      </w:pPr>
      <w:r>
        <w:rPr>
          <w:rFonts w:ascii="Times New Roman" w:cs="Times New Roman" w:eastAsia="Times New Roman" w:hAnsi="Times New Roman"/>
          <w:sz w:val="28"/>
          <w:szCs w:val="28"/>
        </w:rPr>
        <w:t xml:space="preserve">– запуск платных тарифов и программного интерфейса для интеграторов;</w:t>
      </w:r>
    </w:p>
    <w:p>
      <w:pPr>
        <w:spacing w:line="360"/>
        <w:ind w:firstLine="708"/>
        <w:jc w:val="both"/>
      </w:pPr>
      <w:r>
        <w:rPr>
          <w:rFonts w:ascii="Times New Roman" w:cs="Times New Roman" w:eastAsia="Times New Roman" w:hAnsi="Times New Roman"/>
          <w:sz w:val="28"/>
          <w:szCs w:val="28"/>
        </w:rPr>
        <w:t xml:space="preserve">– привлечение финансирования на этап масштабирования.</w:t>
      </w:r>
    </w:p>
    <w:p>
      <w:pPr>
        <w:pStyle w:val="Heading2"/>
        <w:spacing w:after="120" w:before="200" w:line="360"/>
        <w:ind w:firstLine="708"/>
        <w:jc w:val="left"/>
      </w:pPr>
      <w:r>
        <w:rPr>
          <w:rFonts w:ascii="Times New Roman" w:cs="Times New Roman" w:eastAsia="Times New Roman" w:hAnsi="Times New Roman"/>
          <w:b/>
          <w:bCs/>
          <w:sz w:val="28"/>
          <w:szCs w:val="28"/>
        </w:rPr>
        <w:t xml:space="preserve">1.3 Инновационная идея и научно-технический задел</w:t>
      </w:r>
    </w:p>
    <w:p>
      <w:pPr>
        <w:spacing w:after="0" w:line="360"/>
        <w:ind w:firstLine="708"/>
        <w:jc w:val="both"/>
      </w:pPr>
      <w:r>
        <w:rPr>
          <w:rFonts w:ascii="Times New Roman" w:cs="Times New Roman" w:eastAsia="Times New Roman" w:hAnsi="Times New Roman"/>
          <w:sz w:val="28"/>
          <w:szCs w:val="28"/>
        </w:rPr>
        <w:t xml:space="preserve">Инновационная идея проекта заключается в применении архитектуры генерации, дополненной поиском, к предметной области государственных и корпоративных закупок. Существующие сервисы поиска тендеров построены на поиске по ключевым словам и рубрикаторам: пользователь обязан заранее знать терминологию заказчика и коды классификатора продукции. Предлагаемое решение снимает это ограничение за счёт трёх технических элементов.</w:t>
      </w:r>
    </w:p>
    <w:p>
      <w:pPr>
        <w:spacing w:line="360"/>
        <w:ind w:firstLine="708"/>
        <w:jc w:val="both"/>
      </w:pPr>
      <w:r>
        <w:rPr>
          <w:rFonts w:ascii="Times New Roman" w:cs="Times New Roman" w:eastAsia="Times New Roman" w:hAnsi="Times New Roman"/>
          <w:sz w:val="28"/>
          <w:szCs w:val="28"/>
        </w:rPr>
        <w:t xml:space="preserve">– Разбор запроса на естественном языке: из произвольной формулировки извлекаются структурные условия отбора — закон, регион, категория продукции, диапазон начальной (максимальной) цены контракта, признак закупки для субъектов малого предпринимательства, требование актуальности.</w:t>
      </w:r>
    </w:p>
    <w:p>
      <w:pPr>
        <w:spacing w:line="360"/>
        <w:ind w:firstLine="708"/>
        <w:jc w:val="both"/>
      </w:pPr>
      <w:r>
        <w:rPr>
          <w:rFonts w:ascii="Times New Roman" w:cs="Times New Roman" w:eastAsia="Times New Roman" w:hAnsi="Times New Roman"/>
          <w:sz w:val="28"/>
          <w:szCs w:val="28"/>
        </w:rPr>
        <w:t xml:space="preserve">– Гибридный поиск: лексическая ветвь на основе функции ранжирования BM25 обеспечивает нахождение точных терминов, кодов и реестровых номеров, семантическая ветвь на плотных векторных представлениях — нахождение синонимов и близких по смыслу формулировок; два ранжирования объединяются методом Reciprocal Rank Fusion.</w:t>
      </w:r>
    </w:p>
    <w:p>
      <w:pPr>
        <w:spacing w:line="360"/>
        <w:ind w:firstLine="708"/>
        <w:jc w:val="both"/>
      </w:pPr>
      <w:r>
        <w:rPr>
          <w:rFonts w:ascii="Times New Roman" w:cs="Times New Roman" w:eastAsia="Times New Roman" w:hAnsi="Times New Roman"/>
          <w:sz w:val="28"/>
          <w:szCs w:val="28"/>
        </w:rPr>
        <w:t xml:space="preserve">– Ответ с проверяемыми источниками: языковая модель формирует ответ только из найденных фрагментов карточек закупок, каждая ссылка автоматически проверяется на существование источника, что исключает не подтверждённые данными утверждения.</w:t>
      </w:r>
    </w:p>
    <w:p>
      <w:pPr>
        <w:spacing w:after="0" w:line="360"/>
        <w:ind w:firstLine="708"/>
        <w:jc w:val="both"/>
      </w:pPr>
      <w:r>
        <w:rPr>
          <w:rFonts w:ascii="Times New Roman" w:cs="Times New Roman" w:eastAsia="Times New Roman" w:hAnsi="Times New Roman"/>
          <w:sz w:val="28"/>
          <w:szCs w:val="28"/>
        </w:rPr>
        <w:t xml:space="preserve">Научно-технический задел, созданный в рамках договора о предоставлении гранта, включает работоспособный прототип сервиса, набор из 70 автоматических тестов и подтверждённые измерениями показатели качества поиска.</w:t>
      </w:r>
    </w:p>
    <w:p>
      <w:pPr>
        <w:pStyle w:val="Heading2"/>
        <w:spacing w:after="120" w:before="200" w:line="360"/>
        <w:ind w:firstLine="708"/>
        <w:jc w:val="left"/>
      </w:pPr>
      <w:r>
        <w:rPr>
          <w:rFonts w:ascii="Times New Roman" w:cs="Times New Roman" w:eastAsia="Times New Roman" w:hAnsi="Times New Roman"/>
          <w:b/>
          <w:bCs/>
          <w:sz w:val="28"/>
          <w:szCs w:val="28"/>
        </w:rPr>
        <w:t xml:space="preserve">1.4 Стадия развития проекта</w:t>
      </w:r>
    </w:p>
    <w:p>
      <w:pPr>
        <w:spacing w:after="0" w:line="360"/>
        <w:ind w:firstLine="708"/>
        <w:jc w:val="both"/>
      </w:pPr>
      <w:r>
        <w:rPr>
          <w:rFonts w:ascii="Times New Roman" w:cs="Times New Roman" w:eastAsia="Times New Roman" w:hAnsi="Times New Roman"/>
          <w:sz w:val="28"/>
          <w:szCs w:val="28"/>
        </w:rPr>
        <w:t xml:space="preserve">На момент составления бизнес-плана проект находится на стадии работоспособного прототипа. Реализованы и проверены измерениями все ключевые функции: разбор запроса, гибридный поиск, ассистент с проверяемыми ссылками на источники, аналитика рынка, программный интерфейс. Для коммерциализации проекта создано юридическое лицо — ООО «НейроТендер» (ИНН 5406850880, ОГРН 1255400030742). Ключевые показатели прототипа приведены в таблице 1.</w:t>
      </w:r>
    </w:p>
    <w:p>
      <w:pPr>
        <w:spacing w:after="80" w:before="200" w:line="360"/>
        <w:jc w:val="left"/>
      </w:pPr>
      <w:r>
        <w:rPr>
          <w:rFonts w:ascii="Times New Roman" w:cs="Times New Roman" w:eastAsia="Times New Roman" w:hAnsi="Times New Roman"/>
          <w:sz w:val="28"/>
          <w:szCs w:val="28"/>
        </w:rPr>
        <w:t xml:space="preserve">Таблица 1 – Ключевые показатели прототипа по результатам тестирования</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5800"/>
        <w:gridCol w:w="3555"/>
      </w:tblGrid>
      <w:tr>
        <w:trPr>
          <w:tblHeader/>
        </w:trPr>
        <w:tc>
          <w:tcPr>
            <w:tcW w:type="dxa" w:w="5800"/>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Показатель</w:t>
            </w:r>
          </w:p>
        </w:tc>
        <w:tc>
          <w:tcPr>
            <w:tcW w:type="dxa" w:w="3555"/>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Значение</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Объём индексированного корпуса закупок</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480 карточек / 1440 фрагментов</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Точность на первой позиции (P@1)</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68 %</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Полнота выдачи в первых пяти позициях (Recall@5)</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95 %</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Средний обратный ранг (MRR)</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0,803</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Задержка поиска, 95-й процентиль</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92 мс</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Задержка ответа ассистента, 95-й процентиль</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70 мс</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Автоматические тесты</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70 пройдено, 0 провалено</w:t>
            </w:r>
          </w:p>
        </w:tc>
      </w:tr>
      <w:tr>
        <w:tc>
          <w:tcPr>
            <w:tcW w:type="dxa" w:w="5800"/>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Корректность ссылок на источники</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100 %</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1.5 Мероприятия, планируемые по завершении договора</w:t>
      </w:r>
    </w:p>
    <w:p>
      <w:pPr>
        <w:spacing w:after="0" w:line="360"/>
        <w:ind w:firstLine="708"/>
        <w:jc w:val="both"/>
      </w:pPr>
      <w:r>
        <w:rPr>
          <w:rFonts w:ascii="Times New Roman" w:cs="Times New Roman" w:eastAsia="Times New Roman" w:hAnsi="Times New Roman"/>
          <w:sz w:val="28"/>
          <w:szCs w:val="28"/>
        </w:rPr>
        <w:t xml:space="preserve">Перечень мероприятий, планируемых к реализации по завершении договора о предоставлении гранта, приведён в таблице 2.</w:t>
      </w:r>
    </w:p>
    <w:p>
      <w:pPr>
        <w:spacing w:after="80" w:before="200" w:line="360"/>
        <w:jc w:val="left"/>
      </w:pPr>
      <w:r>
        <w:rPr>
          <w:rFonts w:ascii="Times New Roman" w:cs="Times New Roman" w:eastAsia="Times New Roman" w:hAnsi="Times New Roman"/>
          <w:sz w:val="28"/>
          <w:szCs w:val="28"/>
        </w:rPr>
        <w:t xml:space="preserve">Таблица 2 – План мероприятий по завершении договора</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1497"/>
        <w:gridCol w:w="4116"/>
        <w:gridCol w:w="3742"/>
      </w:tblGrid>
      <w:tr>
        <w:trPr>
          <w:tblHeader/>
        </w:trPr>
        <w:tc>
          <w:tcPr>
            <w:tcW w:type="dxa" w:w="149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Период</w:t>
            </w:r>
          </w:p>
        </w:tc>
        <w:tc>
          <w:tcPr>
            <w:tcW w:type="dxa" w:w="4116"/>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Мероприятие</w:t>
            </w:r>
          </w:p>
        </w:tc>
        <w:tc>
          <w:tcPr>
            <w:tcW w:type="dxa" w:w="3742"/>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Ожидаемый результат</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IV кв. 2026</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Подключение к открытым данным ЕИС, регулярная синхронизация</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Сервис работает на реальных извещениях о закупках</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IV кв. 2026</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Подготовка и подача заявки на грант «Старт-1»</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Заявка на финансирование этапа коммерциализации (юридическое лицо для этого уже создано)</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 кв. 2027</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Личный кабинет, сохранённые запросы, уведомления о новых закупках</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Возможность запуска платных тарифов</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I–II кв. 2027</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Пилотные внедрения с 10–15 предприятиями-поставщиками</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Подтверждение экономического эффекта, отзывы пользователей</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II кв. 2027</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Запуск платных тарифов Pro и Team</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Начало регулярной выручки</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III кв. 2027</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Перенос индекса во внешнее векторное хранилище</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Масштабирование до нескольких миллионов извещений</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IV кв. 2027</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Запуск программного интерфейса для интеграторов</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Второй канал продаж</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2028</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Привлечение инвестиций на масштабирование, выход в регионы</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Рост клиентской базы до 480 платящих организаций</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1.6 Средства, необходимые для развития проекта</w:t>
      </w:r>
    </w:p>
    <w:p>
      <w:pPr>
        <w:spacing w:after="0" w:line="360"/>
        <w:ind w:firstLine="708"/>
        <w:jc w:val="both"/>
      </w:pPr>
      <w:r>
        <w:rPr>
          <w:rFonts w:ascii="Times New Roman" w:cs="Times New Roman" w:eastAsia="Times New Roman" w:hAnsi="Times New Roman"/>
          <w:sz w:val="28"/>
          <w:szCs w:val="28"/>
        </w:rPr>
        <w:t xml:space="preserve">Совокупная потребность в финансировании до выхода проекта на операционную безубыточность составляет 12,6 млн рублей, в том числе 4,6 млн рублей — покрытие операционного дефицита первых двух лет, остальное — инвестиции в развитие продукта и продвижение. Планируемая структура источников: грант ФСИ по программе «Старт-1» — 4,0 млн рублей, венчурные (ангельские) инвестиции — 8,0 млн рублей, собственные средства — 0,6 млн рублей. Выход на положительный финансовый результат ожидается на третьем году развития проекта.</w:t>
      </w:r>
    </w:p>
    <w:p>
      <w:pPr>
        <w:pStyle w:val="Heading2"/>
        <w:spacing w:after="120" w:before="200" w:line="360"/>
        <w:ind w:firstLine="708"/>
        <w:jc w:val="left"/>
      </w:pPr>
      <w:r>
        <w:rPr>
          <w:rFonts w:ascii="Times New Roman" w:cs="Times New Roman" w:eastAsia="Times New Roman" w:hAnsi="Times New Roman"/>
          <w:b/>
          <w:bCs/>
          <w:sz w:val="28"/>
          <w:szCs w:val="28"/>
        </w:rPr>
        <w:t xml:space="preserve">1.7 Ключевые факторы успеха</w:t>
      </w:r>
    </w:p>
    <w:p>
      <w:pPr>
        <w:spacing w:line="360"/>
        <w:ind w:firstLine="708"/>
        <w:jc w:val="both"/>
      </w:pPr>
      <w:r>
        <w:rPr>
          <w:rFonts w:ascii="Times New Roman" w:cs="Times New Roman" w:eastAsia="Times New Roman" w:hAnsi="Times New Roman"/>
          <w:sz w:val="28"/>
          <w:szCs w:val="28"/>
        </w:rPr>
        <w:t xml:space="preserve">– Технологическое преимущество: понимание запроса на естественном языке и объяснимая выдача, недоступные сервисам поиска по ключевым словам.</w:t>
      </w:r>
    </w:p>
    <w:p>
      <w:pPr>
        <w:spacing w:line="360"/>
        <w:ind w:firstLine="708"/>
        <w:jc w:val="both"/>
      </w:pPr>
      <w:r>
        <w:rPr>
          <w:rFonts w:ascii="Times New Roman" w:cs="Times New Roman" w:eastAsia="Times New Roman" w:hAnsi="Times New Roman"/>
          <w:sz w:val="28"/>
          <w:szCs w:val="28"/>
        </w:rPr>
        <w:t xml:space="preserve">– Доверие к ответу: каждое утверждение ассистента прослеживается до карточки закупки, что критично для решений, связанных с юридически значимыми сведениями.</w:t>
      </w:r>
    </w:p>
    <w:p>
      <w:pPr>
        <w:spacing w:line="360"/>
        <w:ind w:firstLine="708"/>
        <w:jc w:val="both"/>
      </w:pPr>
      <w:r>
        <w:rPr>
          <w:rFonts w:ascii="Times New Roman" w:cs="Times New Roman" w:eastAsia="Times New Roman" w:hAnsi="Times New Roman"/>
          <w:sz w:val="28"/>
          <w:szCs w:val="28"/>
        </w:rPr>
        <w:t xml:space="preserve">– Цена ниже рынка: тариф Pro — 17,9 тыс. рублей в год против 21–60 тыс. рублей у ближайших конкурентов при сопоставимом наборе функций поиска.</w:t>
      </w:r>
    </w:p>
    <w:p>
      <w:pPr>
        <w:spacing w:line="360"/>
        <w:ind w:firstLine="708"/>
        <w:jc w:val="both"/>
      </w:pPr>
      <w:r>
        <w:rPr>
          <w:rFonts w:ascii="Times New Roman" w:cs="Times New Roman" w:eastAsia="Times New Roman" w:hAnsi="Times New Roman"/>
          <w:sz w:val="28"/>
          <w:szCs w:val="28"/>
        </w:rPr>
        <w:t xml:space="preserve">– Независимость от поставщика моделей искусственного интеллекта: поддержка YandexGPT, GigaChat и локальных моделей, что снимает риски трансграничной передачи данных и санкционных ограничений.</w:t>
      </w:r>
    </w:p>
    <w:p>
      <w:pPr>
        <w:spacing w:line="360"/>
        <w:ind w:firstLine="708"/>
        <w:jc w:val="both"/>
      </w:pPr>
      <w:r>
        <w:rPr>
          <w:rFonts w:ascii="Times New Roman" w:cs="Times New Roman" w:eastAsia="Times New Roman" w:hAnsi="Times New Roman"/>
          <w:sz w:val="28"/>
          <w:szCs w:val="28"/>
        </w:rPr>
        <w:t xml:space="preserve">– Низкая стоимость привлечения клиента за счёт бесплатного тарифа и самостоятельного подключения без участия менеджера.</w:t>
      </w:r>
    </w:p>
    <w:p>
      <w:pPr>
        <w:spacing w:line="360"/>
        <w:ind w:firstLine="708"/>
        <w:jc w:val="both"/>
      </w:pPr>
      <w:r>
        <w:rPr>
          <w:rFonts w:ascii="Times New Roman" w:cs="Times New Roman" w:eastAsia="Times New Roman" w:hAnsi="Times New Roman"/>
          <w:sz w:val="28"/>
          <w:szCs w:val="28"/>
        </w:rPr>
        <w:t xml:space="preserve">– Растущий рынок: объём закупок у субъектов малого и среднего предпринимательства увеличивается двузначными темпами, а число таких поставщиков превысило 226 тыс. организаций.</w:t>
      </w:r>
    </w:p>
    <w:p>
      <w:pPr>
        <w:pStyle w:val="Heading1"/>
        <w:pageBreakBefore/>
        <w:spacing w:after="200" w:line="360"/>
        <w:ind w:firstLine="708"/>
        <w:jc w:val="left"/>
      </w:pPr>
      <w:r>
        <w:rPr>
          <w:rFonts w:ascii="Times New Roman" w:cs="Times New Roman" w:eastAsia="Times New Roman" w:hAnsi="Times New Roman"/>
          <w:b/>
          <w:bCs/>
          <w:sz w:val="28"/>
          <w:szCs w:val="28"/>
        </w:rPr>
        <w:t xml:space="preserve">2 Описание планируемой к реализации продукции</w:t>
      </w:r>
    </w:p>
    <w:p>
      <w:pPr>
        <w:pStyle w:val="Heading2"/>
        <w:spacing w:after="120" w:before="200" w:line="360"/>
        <w:ind w:firstLine="708"/>
        <w:jc w:val="left"/>
      </w:pPr>
      <w:r>
        <w:rPr>
          <w:rFonts w:ascii="Times New Roman" w:cs="Times New Roman" w:eastAsia="Times New Roman" w:hAnsi="Times New Roman"/>
          <w:b/>
          <w:bCs/>
          <w:sz w:val="28"/>
          <w:szCs w:val="28"/>
        </w:rPr>
        <w:t xml:space="preserve">2.1 Наименование продукции</w:t>
      </w:r>
    </w:p>
    <w:p>
      <w:pPr>
        <w:spacing w:after="0" w:line="360"/>
        <w:ind w:firstLine="708"/>
        <w:jc w:val="both"/>
      </w:pPr>
      <w:r>
        <w:rPr>
          <w:rFonts w:ascii="Times New Roman" w:cs="Times New Roman" w:eastAsia="Times New Roman" w:hAnsi="Times New Roman"/>
          <w:sz w:val="28"/>
          <w:szCs w:val="28"/>
        </w:rPr>
        <w:t xml:space="preserve">Наименование продукции — программное обеспечение «TenderAI — веб-сервис умного поиска тендеров с помощью искусственного интеллекта». Вид продукции — программное обеспечение, предоставляемое по модели подписки (SaaS), а также программный интерфейс для встраивания в информационные системы заказчиков.</w:t>
      </w:r>
    </w:p>
    <w:p>
      <w:pPr>
        <w:pStyle w:val="Heading2"/>
        <w:spacing w:after="120" w:before="200" w:line="360"/>
        <w:ind w:firstLine="708"/>
        <w:jc w:val="left"/>
      </w:pPr>
      <w:r>
        <w:rPr>
          <w:rFonts w:ascii="Times New Roman" w:cs="Times New Roman" w:eastAsia="Times New Roman" w:hAnsi="Times New Roman"/>
          <w:b/>
          <w:bCs/>
          <w:sz w:val="28"/>
          <w:szCs w:val="28"/>
        </w:rPr>
        <w:t xml:space="preserve">2.2 Назначение и область применения</w:t>
      </w:r>
    </w:p>
    <w:p>
      <w:pPr>
        <w:spacing w:after="0" w:line="360"/>
        <w:ind w:firstLine="708"/>
        <w:jc w:val="both"/>
      </w:pPr>
      <w:r>
        <w:rPr>
          <w:rFonts w:ascii="Times New Roman" w:cs="Times New Roman" w:eastAsia="Times New Roman" w:hAnsi="Times New Roman"/>
          <w:sz w:val="28"/>
          <w:szCs w:val="28"/>
        </w:rPr>
        <w:t xml:space="preserve">Продукция предназначена для поиска и первичного отбора закупок, проводимых в соответствии с Федеральным законом от 05.04.2013 № 44-ФЗ и Федеральным законом от 18.07.2011 № 223-ФЗ, а также для получения разъяснений об условиях участия в конкретной закупке.</w:t>
      </w:r>
    </w:p>
    <w:p>
      <w:pPr>
        <w:spacing w:after="60" w:line="360"/>
        <w:ind w:firstLine="708"/>
        <w:jc w:val="both"/>
      </w:pPr>
      <w:r>
        <w:rPr>
          <w:rFonts w:ascii="Times New Roman" w:cs="Times New Roman" w:eastAsia="Times New Roman" w:hAnsi="Times New Roman"/>
          <w:sz w:val="28"/>
          <w:szCs w:val="28"/>
        </w:rPr>
        <w:t xml:space="preserve">Область применения:</w:t>
      </w:r>
    </w:p>
    <w:p>
      <w:pPr>
        <w:spacing w:line="360"/>
        <w:ind w:firstLine="708"/>
        <w:jc w:val="both"/>
      </w:pPr>
      <w:r>
        <w:rPr>
          <w:rFonts w:ascii="Times New Roman" w:cs="Times New Roman" w:eastAsia="Times New Roman" w:hAnsi="Times New Roman"/>
          <w:sz w:val="28"/>
          <w:szCs w:val="28"/>
        </w:rPr>
        <w:t xml:space="preserve">– предприятия малого и среднего предпринимательства, участвующие в закупках без выделенного тендерного подразделения;</w:t>
      </w:r>
    </w:p>
    <w:p>
      <w:pPr>
        <w:spacing w:line="360"/>
        <w:ind w:firstLine="708"/>
        <w:jc w:val="both"/>
      </w:pPr>
      <w:r>
        <w:rPr>
          <w:rFonts w:ascii="Times New Roman" w:cs="Times New Roman" w:eastAsia="Times New Roman" w:hAnsi="Times New Roman"/>
          <w:sz w:val="28"/>
          <w:szCs w:val="28"/>
        </w:rPr>
        <w:t xml:space="preserve">– тендерные специалисты и тендерные отделы, ведущие поиск закупок для нескольких организаций;</w:t>
      </w:r>
    </w:p>
    <w:p>
      <w:pPr>
        <w:spacing w:line="360"/>
        <w:ind w:firstLine="708"/>
        <w:jc w:val="both"/>
      </w:pPr>
      <w:r>
        <w:rPr>
          <w:rFonts w:ascii="Times New Roman" w:cs="Times New Roman" w:eastAsia="Times New Roman" w:hAnsi="Times New Roman"/>
          <w:sz w:val="28"/>
          <w:szCs w:val="28"/>
        </w:rPr>
        <w:t xml:space="preserve">– центры поддержки предпринимательства, вузовские центры технологического предпринимательства и отраслевые ассоциации, сопровождающие поставщиков;</w:t>
      </w:r>
    </w:p>
    <w:p>
      <w:pPr>
        <w:spacing w:line="360"/>
        <w:ind w:firstLine="708"/>
        <w:jc w:val="both"/>
      </w:pPr>
      <w:r>
        <w:rPr>
          <w:rFonts w:ascii="Times New Roman" w:cs="Times New Roman" w:eastAsia="Times New Roman" w:hAnsi="Times New Roman"/>
          <w:sz w:val="28"/>
          <w:szCs w:val="28"/>
        </w:rPr>
        <w:t xml:space="preserve">– разработчики отраслевых информационных систем, встраивающие функцию поиска закупок через программный интерфейс.</w:t>
      </w:r>
    </w:p>
    <w:p>
      <w:pPr>
        <w:pStyle w:val="Heading2"/>
        <w:spacing w:after="120" w:before="200" w:line="360"/>
        <w:ind w:firstLine="708"/>
        <w:jc w:val="left"/>
      </w:pPr>
      <w:r>
        <w:rPr>
          <w:rFonts w:ascii="Times New Roman" w:cs="Times New Roman" w:eastAsia="Times New Roman" w:hAnsi="Times New Roman"/>
          <w:b/>
          <w:bCs/>
          <w:sz w:val="28"/>
          <w:szCs w:val="28"/>
        </w:rPr>
        <w:t xml:space="preserve">2.3 Краткое описание и основные характеристики</w:t>
      </w:r>
    </w:p>
    <w:p>
      <w:pPr>
        <w:spacing w:after="0" w:line="360"/>
        <w:ind w:firstLine="708"/>
        <w:jc w:val="both"/>
      </w:pPr>
      <w:r>
        <w:rPr>
          <w:rFonts w:ascii="Times New Roman" w:cs="Times New Roman" w:eastAsia="Times New Roman" w:hAnsi="Times New Roman"/>
          <w:sz w:val="28"/>
          <w:szCs w:val="28"/>
        </w:rPr>
        <w:t xml:space="preserve">Пользователь формулирует запрос обычными словами, например «разработка информационной системы в Москве до 20 млн по 44-ФЗ». Сервис извлекает из запроса условия отбора, отображает их пользователю, выполняет поиск и показывает выдачу с указанием причин попадания каждой закупки в подборку. Дополнительно доступен диалог с ассистентом, отвечающим на вопросы о требованиях, сроках и ценах со ссылками на источники. Внешний вид основного экрана приведён на рисунке 1.</w:t>
      </w:r>
    </w:p>
    <w:p>
      <w:pPr>
        <w:spacing w:after="100" w:before="200" w:line="240" w:lineRule="auto"/>
        <w:jc w:val="center"/>
      </w:pPr>
      <w:r>
        <w:drawing>
          <wp:inline distT="0" distB="0" distL="0" distR="0">
            <wp:extent cx="56197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438525"/>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1 – Основной экран сервиса</w:t>
      </w:r>
    </w:p>
    <w:p>
      <w:pPr>
        <w:spacing w:after="0" w:line="360"/>
        <w:ind w:firstLine="708"/>
        <w:jc w:val="both"/>
      </w:pPr>
      <w:r>
        <w:rPr>
          <w:rFonts w:ascii="Times New Roman" w:cs="Times New Roman" w:eastAsia="Times New Roman" w:hAnsi="Times New Roman"/>
          <w:sz w:val="28"/>
          <w:szCs w:val="28"/>
        </w:rPr>
        <w:t xml:space="preserve">Основные технико-экономические и потребительские характеристики продукции приведены в таблице 3.</w:t>
      </w:r>
    </w:p>
    <w:p>
      <w:pPr>
        <w:spacing w:after="80" w:before="200" w:line="360"/>
        <w:jc w:val="left"/>
      </w:pPr>
      <w:r>
        <w:rPr>
          <w:rFonts w:ascii="Times New Roman" w:cs="Times New Roman" w:eastAsia="Times New Roman" w:hAnsi="Times New Roman"/>
          <w:sz w:val="28"/>
          <w:szCs w:val="28"/>
        </w:rPr>
        <w:t xml:space="preserve">Таблица 3 – Основные характеристики продукции</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3929"/>
        <w:gridCol w:w="5426"/>
      </w:tblGrid>
      <w:tr>
        <w:trPr>
          <w:tblHeader/>
        </w:trPr>
        <w:tc>
          <w:tcPr>
            <w:tcW w:type="dxa" w:w="3929"/>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Характеристика</w:t>
            </w:r>
          </w:p>
        </w:tc>
        <w:tc>
          <w:tcPr>
            <w:tcW w:type="dxa" w:w="5426"/>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Значение</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Форма поставки</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Веб-сервис по подписке; программный интерфейс для интеграции</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Поддерживаемые законы о закупках</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44-ФЗ, 223-ФЗ</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Способ формулирования запроса</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Естественный язык либо структурные фильтры</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Точность поиска на первой позиции</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68 % (по результатам тестирования прототипа)</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Полнота выдачи Recall@5</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95 %</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Время отклика поиска</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не более 92 мс (95-й процентиль)</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Подтверждение ответов ассистента</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Ссылка на карточку закупки для каждого утверждения</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Поставщики моделей искусственного интеллекта</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YandexGPT, GigaChat, OpenAI-совместимые, локальные модели</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Размещение данных</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Возможна работа полностью в контуре Российской Федерации</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Требования к рабочему месту</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Браузер; установка программного обеспечения не требуется</w:t>
            </w:r>
          </w:p>
        </w:tc>
      </w:tr>
      <w:tr>
        <w:tc>
          <w:tcPr>
            <w:tcW w:type="dxa" w:w="392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Стоимость для конечного пользователя</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Бесплатный тариф; Pro — 17,9 тыс. руб./год; Team — 58,8 тыс. руб./год</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2.4 Перспективы выпуска и конкурентоспособность</w:t>
      </w:r>
    </w:p>
    <w:p>
      <w:pPr>
        <w:spacing w:after="0" w:line="360"/>
        <w:ind w:firstLine="708"/>
        <w:jc w:val="both"/>
      </w:pPr>
      <w:r>
        <w:rPr>
          <w:rFonts w:ascii="Times New Roman" w:cs="Times New Roman" w:eastAsia="Times New Roman" w:hAnsi="Times New Roman"/>
          <w:sz w:val="28"/>
          <w:szCs w:val="28"/>
        </w:rPr>
        <w:t xml:space="preserve">Продукция представляет собой программное обеспечение, тиражирование которого не связано с производственными издержками: предельные затраты на подключение дополнительного пользователя определяются стоимостью вычислительных ресурсов и составляют, по расчётам финансовой модели, не более 8 % выручки от подписки. Это обеспечивает высокую валовую рентабельность при масштабировании.</w:t>
      </w:r>
    </w:p>
    <w:p>
      <w:pPr>
        <w:spacing w:after="0" w:line="360"/>
        <w:ind w:firstLine="708"/>
        <w:jc w:val="both"/>
      </w:pPr>
      <w:r>
        <w:rPr>
          <w:rFonts w:ascii="Times New Roman" w:cs="Times New Roman" w:eastAsia="Times New Roman" w:hAnsi="Times New Roman"/>
          <w:sz w:val="28"/>
          <w:szCs w:val="28"/>
        </w:rPr>
        <w:t xml:space="preserve">Конкурентоспособность продукции на рынке сервисов поиска тендеров обеспечивается сочетанием трёх свойств, ни одно из которых не представлено у конкурентов одновременно: понимание запроса на естественном языке, объяснимость выдачи и ответы ассистента с проверяемыми ссылками на первоисточник. Дополнительным преимуществом является цена ниже среднерыночной при сопоставимом наборе функций поиска.</w:t>
      </w:r>
    </w:p>
    <w:p>
      <w:pPr>
        <w:pStyle w:val="Heading2"/>
        <w:spacing w:after="120" w:before="200" w:line="360"/>
        <w:ind w:firstLine="708"/>
        <w:jc w:val="left"/>
      </w:pPr>
      <w:r>
        <w:rPr>
          <w:rFonts w:ascii="Times New Roman" w:cs="Times New Roman" w:eastAsia="Times New Roman" w:hAnsi="Times New Roman"/>
          <w:b/>
          <w:bCs/>
          <w:sz w:val="28"/>
          <w:szCs w:val="28"/>
        </w:rPr>
        <w:t xml:space="preserve">2.5 Степень готовности продукции</w:t>
      </w:r>
    </w:p>
    <w:p>
      <w:pPr>
        <w:spacing w:after="60" w:line="360"/>
        <w:ind w:firstLine="708"/>
        <w:jc w:val="both"/>
      </w:pPr>
      <w:r>
        <w:rPr>
          <w:rFonts w:ascii="Times New Roman" w:cs="Times New Roman" w:eastAsia="Times New Roman" w:hAnsi="Times New Roman"/>
          <w:sz w:val="28"/>
          <w:szCs w:val="28"/>
        </w:rPr>
        <w:t xml:space="preserve">Продукция доведена до уровня готовности технологии TRL 3 — экспериментального подтверждения концепции, что соответствует уровню, предусмотренному заявкой. Обоснование приведено ниже.</w:t>
      </w:r>
    </w:p>
    <w:p>
      <w:pPr>
        <w:spacing w:line="360"/>
        <w:ind w:firstLine="708"/>
        <w:jc w:val="both"/>
      </w:pPr>
      <w:r>
        <w:rPr>
          <w:rFonts w:ascii="Times New Roman" w:cs="Times New Roman" w:eastAsia="Times New Roman" w:hAnsi="Times New Roman"/>
          <w:sz w:val="28"/>
          <w:szCs w:val="28"/>
        </w:rPr>
        <w:t xml:space="preserve">– TRL 1–2 (формулирование концепции): определена предметная область, сформулирована гипотеза о применимости архитектуры генерации, дополненной поиском, к задаче отбора закупок.</w:t>
      </w:r>
    </w:p>
    <w:p>
      <w:pPr>
        <w:spacing w:line="360"/>
        <w:ind w:firstLine="708"/>
        <w:jc w:val="both"/>
      </w:pPr>
      <w:r>
        <w:rPr>
          <w:rFonts w:ascii="Times New Roman" w:cs="Times New Roman" w:eastAsia="Times New Roman" w:hAnsi="Times New Roman"/>
          <w:sz w:val="28"/>
          <w:szCs w:val="28"/>
        </w:rPr>
        <w:t xml:space="preserve">– TRL 3 (экспериментальное подтверждение концепции): реализованы и экспериментально проверены ключевые компоненты — разбор запроса на естественном языке, лексический поиск BM25, семантический поиск по векторным представлениям, слияние ранжирований, генерация ответа со ссылками на источники и контроль их достоверности. Компоненты объединены в работоспособный прототип, качество которого подтверждено измерениями на размеченном наборе из 60 запросов и набором из 70 автоматических тестов; прототип доступен для демонстрации в сети Интернет.</w:t>
      </w:r>
    </w:p>
    <w:p>
      <w:pPr>
        <w:spacing w:after="0" w:line="360"/>
        <w:ind w:firstLine="708"/>
        <w:jc w:val="both"/>
      </w:pPr>
      <w:r>
        <w:rPr>
          <w:rFonts w:ascii="Times New Roman" w:cs="Times New Roman" w:eastAsia="Times New Roman" w:hAnsi="Times New Roman"/>
          <w:sz w:val="28"/>
          <w:szCs w:val="28"/>
        </w:rPr>
        <w:t xml:space="preserve">Переход к уровням TRL 4–6 планируется при подключении сервиса к реальным данным единой информационной системы в сфере закупок и в ходе пилотных внедрений в первом полугодии 2027 года.</w:t>
      </w:r>
    </w:p>
    <w:p>
      <w:pPr>
        <w:pStyle w:val="Heading1"/>
        <w:pageBreakBefore/>
        <w:spacing w:after="200" w:line="360"/>
        <w:ind w:firstLine="708"/>
        <w:jc w:val="left"/>
      </w:pPr>
      <w:r>
        <w:rPr>
          <w:rFonts w:ascii="Times New Roman" w:cs="Times New Roman" w:eastAsia="Times New Roman" w:hAnsi="Times New Roman"/>
          <w:b/>
          <w:bCs/>
          <w:sz w:val="28"/>
          <w:szCs w:val="28"/>
        </w:rPr>
        <w:t xml:space="preserve">3 Анализ рынка</w:t>
      </w:r>
    </w:p>
    <w:p>
      <w:pPr>
        <w:pStyle w:val="Heading2"/>
        <w:spacing w:after="120" w:before="200" w:line="360"/>
        <w:ind w:firstLine="708"/>
        <w:jc w:val="left"/>
      </w:pPr>
      <w:r>
        <w:rPr>
          <w:rFonts w:ascii="Times New Roman" w:cs="Times New Roman" w:eastAsia="Times New Roman" w:hAnsi="Times New Roman"/>
          <w:b/>
          <w:bCs/>
          <w:sz w:val="28"/>
          <w:szCs w:val="28"/>
        </w:rPr>
        <w:t xml:space="preserve">3.1 Размер рынка</w:t>
      </w:r>
    </w:p>
    <w:p>
      <w:pPr>
        <w:spacing w:after="0" w:line="360"/>
        <w:ind w:firstLine="708"/>
        <w:jc w:val="both"/>
      </w:pPr>
      <w:r>
        <w:rPr>
          <w:rFonts w:ascii="Times New Roman" w:cs="Times New Roman" w:eastAsia="Times New Roman" w:hAnsi="Times New Roman"/>
          <w:sz w:val="28"/>
          <w:szCs w:val="28"/>
        </w:rPr>
        <w:t xml:space="preserve">По данным мониторинга закупок за 2024 год, в Российской Федерации проведено около 4,3 млн закупочных процедур по двум законам. Объём закупок по 44-ФЗ составил около 11,98 трлн рублей при 3,58 млн заключённых контрактов, объём закупок по 223-ФЗ — около 35,3 трлн рублей. Объём закупок у субъектов малого и среднего предпринимательства достиг рекордных значений: около 5,8 трлн рублей по 44-ФЗ и 9,6 трлн рублей по 223-ФЗ.</w:t>
      </w:r>
    </w:p>
    <w:p>
      <w:pPr>
        <w:spacing w:after="0" w:line="360"/>
        <w:ind w:firstLine="708"/>
        <w:jc w:val="both"/>
      </w:pPr>
      <w:r>
        <w:rPr>
          <w:rFonts w:ascii="Times New Roman" w:cs="Times New Roman" w:eastAsia="Times New Roman" w:hAnsi="Times New Roman"/>
          <w:sz w:val="28"/>
          <w:szCs w:val="28"/>
        </w:rPr>
        <w:t xml:space="preserve">Размер целевого рынка определяется не объёмом закупок, а числом организаций, заинтересованных в инструменте их поиска. Число субъектов малого и среднего предпринимательства, заключивших контракты с государственными компаниями, по итогам 2024 года превысило 226 тыс. единиц. С учётом поставщиков по 44-ФЗ и организаций, участвующих в закупках нерегулярно, оценка общего числа потенциальных пользователей составляет около 400 тыс. организаций. Расчёт ёмкости рынка приведён в таблице 4 и детализирован в приложении А.</w:t>
      </w:r>
    </w:p>
    <w:p>
      <w:pPr>
        <w:spacing w:after="80" w:before="200" w:line="360"/>
        <w:jc w:val="left"/>
      </w:pPr>
      <w:r>
        <w:rPr>
          <w:rFonts w:ascii="Times New Roman" w:cs="Times New Roman" w:eastAsia="Times New Roman" w:hAnsi="Times New Roman"/>
          <w:sz w:val="28"/>
          <w:szCs w:val="28"/>
        </w:rPr>
        <w:t xml:space="preserve">Таблица 4 – Оценка ёмкости рынка сервисов поиска тендеров</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807"/>
        <w:gridCol w:w="4678"/>
        <w:gridCol w:w="1871"/>
      </w:tblGrid>
      <w:tr>
        <w:trPr>
          <w:tblHeader/>
        </w:trPr>
        <w:tc>
          <w:tcPr>
            <w:tcW w:type="dxa" w:w="280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Показатель</w:t>
            </w:r>
          </w:p>
        </w:tc>
        <w:tc>
          <w:tcPr>
            <w:tcW w:type="dxa" w:w="4678"/>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Основание оценки</w:t>
            </w:r>
          </w:p>
        </w:tc>
        <w:tc>
          <w:tcPr>
            <w:tcW w:type="dxa" w:w="1871"/>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Значение, млн руб./год</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Общий объём рынка (TAM)</w:t>
            </w:r>
          </w:p>
        </w:tc>
        <w:tc>
          <w:tcPr>
            <w:tcW w:type="dxa" w:w="467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400 тыс. организаций-поставщиков × 30 тыс. руб. средней подписки</w:t>
            </w:r>
          </w:p>
        </w:tc>
        <w:tc>
          <w:tcPr>
            <w:tcW w:type="dxa" w:w="187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12 000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Доступный объём рынка (SAM)</w:t>
            </w:r>
          </w:p>
        </w:tc>
        <w:tc>
          <w:tcPr>
            <w:tcW w:type="dxa" w:w="467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120 тыс. организаций сегмента МСП, готовых к подписке на SaaS-решение, × 25 тыс. руб.</w:t>
            </w:r>
          </w:p>
        </w:tc>
        <w:tc>
          <w:tcPr>
            <w:tcW w:type="dxa" w:w="187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3 000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Достижимый объём рынка (SOM) к пятому году</w:t>
            </w:r>
          </w:p>
        </w:tc>
        <w:tc>
          <w:tcPr>
            <w:tcW w:type="dxa" w:w="467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2,6 % SAM</w:t>
            </w:r>
          </w:p>
        </w:tc>
        <w:tc>
          <w:tcPr>
            <w:tcW w:type="dxa" w:w="187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78</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3.2 Темпы роста рынка и фаза развития спроса</w:t>
      </w:r>
    </w:p>
    <w:p>
      <w:pPr>
        <w:spacing w:after="0" w:line="360"/>
        <w:ind w:firstLine="708"/>
        <w:jc w:val="both"/>
      </w:pPr>
      <w:r>
        <w:rPr>
          <w:rFonts w:ascii="Times New Roman" w:cs="Times New Roman" w:eastAsia="Times New Roman" w:hAnsi="Times New Roman"/>
          <w:sz w:val="28"/>
          <w:szCs w:val="28"/>
        </w:rPr>
        <w:t xml:space="preserve">Рынок закупок демонстрирует разнонаправленную динамику: объём закупок по 44-ФЗ по итогам 2024 года остался примерно на уровне 2023 года, тогда как объём закупок по 223-ФЗ увеличился на 27 %. Закупки у субъектов малого и среднего предпринимательства выросли более чем на 20 % за год, а число таких поставщиков — на 6,1 %. Закупки в сфере информационных технологий росли опережающими темпами: программное обеспечение и лицензии — на 6,7 %, оборудование — на 16,9 %.</w:t>
      </w:r>
    </w:p>
    <w:p>
      <w:pPr>
        <w:spacing w:after="0" w:line="360"/>
        <w:ind w:firstLine="708"/>
        <w:jc w:val="both"/>
      </w:pPr>
      <w:r>
        <w:rPr>
          <w:rFonts w:ascii="Times New Roman" w:cs="Times New Roman" w:eastAsia="Times New Roman" w:hAnsi="Times New Roman"/>
          <w:sz w:val="28"/>
          <w:szCs w:val="28"/>
        </w:rPr>
        <w:t xml:space="preserve">Существенным для проекта является снижение конкуренции в процедурах: среднее число заявок на процедуру сократилось до 2,5–2,7 против 4,2 в докризисный период. Это означает, что значительная часть закупок остаётся без достаточного числа участников, а поставщики не находят подходящие процедуры — то есть проблема, решаемая проектом, имеет измеримое рыночное выражение.</w:t>
      </w:r>
    </w:p>
    <w:p>
      <w:pPr>
        <w:spacing w:after="0" w:line="360"/>
        <w:ind w:firstLine="708"/>
        <w:jc w:val="both"/>
      </w:pPr>
      <w:r>
        <w:rPr>
          <w:rFonts w:ascii="Times New Roman" w:cs="Times New Roman" w:eastAsia="Times New Roman" w:hAnsi="Times New Roman"/>
          <w:sz w:val="28"/>
          <w:szCs w:val="28"/>
        </w:rPr>
        <w:t xml:space="preserve">Фаза развития спроса на сервисы поиска тендеров — зрелый растущий рынок с сформированной привычкой к платной подписке. Спрос на инструменты с применением искусственного интеллекта в этом сегменте находится в фазе раннего роста: существующие сервисы предлагают отдельные функции автоматизации, но не переосмысливают сам способ формулирования поискового запроса.</w:t>
      </w:r>
    </w:p>
    <w:p>
      <w:pPr>
        <w:pStyle w:val="Heading2"/>
        <w:spacing w:after="120" w:before="200" w:line="360"/>
        <w:ind w:firstLine="708"/>
        <w:jc w:val="left"/>
      </w:pPr>
      <w:r>
        <w:rPr>
          <w:rFonts w:ascii="Times New Roman" w:cs="Times New Roman" w:eastAsia="Times New Roman" w:hAnsi="Times New Roman"/>
          <w:b/>
          <w:bCs/>
          <w:sz w:val="28"/>
          <w:szCs w:val="28"/>
        </w:rPr>
        <w:t xml:space="preserve">3.3 Прогнозы развития отрасли</w:t>
      </w:r>
    </w:p>
    <w:p>
      <w:pPr>
        <w:spacing w:after="0" w:line="360"/>
        <w:ind w:firstLine="708"/>
        <w:jc w:val="both"/>
      </w:pPr>
      <w:r>
        <w:rPr>
          <w:rFonts w:ascii="Times New Roman" w:cs="Times New Roman" w:eastAsia="Times New Roman" w:hAnsi="Times New Roman"/>
          <w:sz w:val="28"/>
          <w:szCs w:val="28"/>
        </w:rPr>
        <w:t xml:space="preserve">Согласно открытым источникам, в 2025 году ожидалось охлаждение объёма регулируемых закупок относительно 2024 года при сохранении структурного тренда на рост доли субъектов малого и среднего предпринимательства и на перевод закупок малого объёма в электронные магазины (рост в три раза за 2024 год). Для проекта существенны три отраслевых тренда.</w:t>
      </w:r>
    </w:p>
    <w:p>
      <w:pPr>
        <w:spacing w:line="360"/>
        <w:ind w:firstLine="708"/>
        <w:jc w:val="both"/>
      </w:pPr>
      <w:r>
        <w:rPr>
          <w:rFonts w:ascii="Times New Roman" w:cs="Times New Roman" w:eastAsia="Times New Roman" w:hAnsi="Times New Roman"/>
          <w:sz w:val="28"/>
          <w:szCs w:val="28"/>
        </w:rPr>
        <w:t xml:space="preserve">– Рост числа мелких процедур и электронных магазинов увеличивает объём информации, подлежащей мониторингу, и повышает ценность автоматизированного отбора.</w:t>
      </w:r>
    </w:p>
    <w:p>
      <w:pPr>
        <w:spacing w:line="360"/>
        <w:ind w:firstLine="708"/>
        <w:jc w:val="both"/>
      </w:pPr>
      <w:r>
        <w:rPr>
          <w:rFonts w:ascii="Times New Roman" w:cs="Times New Roman" w:eastAsia="Times New Roman" w:hAnsi="Times New Roman"/>
          <w:sz w:val="28"/>
          <w:szCs w:val="28"/>
        </w:rPr>
        <w:t xml:space="preserve">– Обязательная квота на закупки у субъектов малого и среднего предпринимательства сохраняется, что поддерживает приток новых поставщиков — потенциальных пользователей сервиса.</w:t>
      </w:r>
    </w:p>
    <w:p>
      <w:pPr>
        <w:spacing w:line="360"/>
        <w:ind w:firstLine="708"/>
        <w:jc w:val="both"/>
      </w:pPr>
      <w:r>
        <w:rPr>
          <w:rFonts w:ascii="Times New Roman" w:cs="Times New Roman" w:eastAsia="Times New Roman" w:hAnsi="Times New Roman"/>
          <w:sz w:val="28"/>
          <w:szCs w:val="28"/>
        </w:rPr>
        <w:t xml:space="preserve">– Распространение больших языковых моделей российской разработки снижает стоимость и правовые риски применения искусственного интеллекта в задачах, связанных с государственными данными.</w:t>
      </w:r>
    </w:p>
    <w:p>
      <w:pPr>
        <w:pStyle w:val="Heading2"/>
        <w:spacing w:after="120" w:before="200" w:line="360"/>
        <w:ind w:firstLine="708"/>
        <w:jc w:val="left"/>
      </w:pPr>
      <w:r>
        <w:rPr>
          <w:rFonts w:ascii="Times New Roman" w:cs="Times New Roman" w:eastAsia="Times New Roman" w:hAnsi="Times New Roman"/>
          <w:b/>
          <w:bCs/>
          <w:sz w:val="28"/>
          <w:szCs w:val="28"/>
        </w:rPr>
        <w:t xml:space="preserve">3.4 Основные и потенциальные конкуренты</w:t>
      </w:r>
    </w:p>
    <w:p>
      <w:pPr>
        <w:spacing w:after="0" w:line="360"/>
        <w:ind w:firstLine="708"/>
        <w:jc w:val="both"/>
      </w:pPr>
      <w:r>
        <w:rPr>
          <w:rFonts w:ascii="Times New Roman" w:cs="Times New Roman" w:eastAsia="Times New Roman" w:hAnsi="Times New Roman"/>
          <w:sz w:val="28"/>
          <w:szCs w:val="28"/>
        </w:rPr>
        <w:t xml:space="preserve">Рынок сервисов поиска тендеров сформирован: на нём работают несколько крупных игроков с устоявшейся клиентской базой. Сопоставление основных конкурентов приведено в таблице 5.</w:t>
      </w:r>
    </w:p>
    <w:p>
      <w:pPr>
        <w:spacing w:after="80" w:before="200" w:line="360"/>
        <w:jc w:val="left"/>
      </w:pPr>
      <w:r>
        <w:rPr>
          <w:rFonts w:ascii="Times New Roman" w:cs="Times New Roman" w:eastAsia="Times New Roman" w:hAnsi="Times New Roman"/>
          <w:sz w:val="28"/>
          <w:szCs w:val="28"/>
        </w:rPr>
        <w:t xml:space="preserve">Таблица 5 – Основные конкуренты</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1497"/>
        <w:gridCol w:w="1497"/>
        <w:gridCol w:w="3181"/>
        <w:gridCol w:w="3181"/>
      </w:tblGrid>
      <w:tr>
        <w:trPr>
          <w:tblHeader/>
        </w:trPr>
        <w:tc>
          <w:tcPr>
            <w:tcW w:type="dxa" w:w="149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Конкурент</w:t>
            </w:r>
          </w:p>
        </w:tc>
        <w:tc>
          <w:tcPr>
            <w:tcW w:type="dxa" w:w="149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Стоимость, руб./год</w:t>
            </w:r>
          </w:p>
        </w:tc>
        <w:tc>
          <w:tcPr>
            <w:tcW w:type="dxa" w:w="3181"/>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Сильные стороны</w:t>
            </w:r>
          </w:p>
        </w:tc>
        <w:tc>
          <w:tcPr>
            <w:tcW w:type="dxa" w:w="3181"/>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Слабые стороны</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Тендерплан</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35 000</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Единый тариф, открытый программный интерфейс, интеграция с Битрикс24, пробный период 14 дней</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Менее развитая аналитика контрагентов; поиск по ключевым словам и рубрикаторам</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Контур.Закупки</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21 240 – 41 760</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Интеграция с сервисом проверки контрагентов, мониторинг более 440 площадок</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Пробный период 3 дня и только для новых ИП; отсутствует запрос на естественном языке</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Bicotender</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59 900 – 249 000</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Полное тендерное сопровождение силами специалистов, база лотов, включая страны СНГ</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Наиболее высокая цена; ориентация на услугу сопровождения, а не на самостоятельную работу пользователя</w:t>
            </w:r>
          </w:p>
        </w:tc>
      </w:tr>
      <w:tr>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Селдон</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от 33 000</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Проверка контрагентов по базе организаций, интеграции с 1С, SAP, Oracle</w:t>
            </w:r>
          </w:p>
        </w:tc>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Непрозрачное ценообразование, высокий порог освоения для новых пользователей</w:t>
            </w:r>
          </w:p>
        </w:tc>
      </w:tr>
    </w:tbl>
    <w:p>
      <w:pPr>
        <w:spacing w:after="200"/>
      </w:pPr>
    </w:p>
    <w:p>
      <w:pPr>
        <w:spacing w:after="0" w:line="360"/>
        <w:ind w:firstLine="708"/>
        <w:jc w:val="both"/>
      </w:pPr>
      <w:r>
        <w:rPr>
          <w:rFonts w:ascii="Times New Roman" w:cs="Times New Roman" w:eastAsia="Times New Roman" w:hAnsi="Times New Roman"/>
          <w:sz w:val="28"/>
          <w:szCs w:val="28"/>
        </w:rPr>
        <w:t xml:space="preserve">Потенциальными конкурентами являются операторы электронных торговых площадок, способные встроить интеллектуальный поиск в собственные интерфейсы, а также поставщики универсальных корпоративных ассистентов на базе больших языковых моделей. Защитой от такой конкуренции служат накопленная отраслевая экспертиза в правилах закупок, размеченные наборы для оценки качества поиска и независимость продукта от конкретной торговой площадки.</w:t>
      </w:r>
    </w:p>
    <w:p>
      <w:pPr>
        <w:pStyle w:val="Heading1"/>
        <w:pageBreakBefore/>
        <w:spacing w:after="200" w:line="360"/>
        <w:ind w:firstLine="708"/>
        <w:jc w:val="left"/>
      </w:pPr>
      <w:r>
        <w:rPr>
          <w:rFonts w:ascii="Times New Roman" w:cs="Times New Roman" w:eastAsia="Times New Roman" w:hAnsi="Times New Roman"/>
          <w:b/>
          <w:bCs/>
          <w:sz w:val="28"/>
          <w:szCs w:val="28"/>
        </w:rPr>
        <w:t xml:space="preserve">4 Маркетинговый план</w:t>
      </w:r>
    </w:p>
    <w:p>
      <w:pPr>
        <w:pStyle w:val="Heading2"/>
        <w:spacing w:after="120" w:before="200" w:line="360"/>
        <w:ind w:firstLine="708"/>
        <w:jc w:val="left"/>
      </w:pPr>
      <w:r>
        <w:rPr>
          <w:rFonts w:ascii="Times New Roman" w:cs="Times New Roman" w:eastAsia="Times New Roman" w:hAnsi="Times New Roman"/>
          <w:b/>
          <w:bCs/>
          <w:sz w:val="28"/>
          <w:szCs w:val="28"/>
        </w:rPr>
        <w:t xml:space="preserve">4.1 Конечные потребители</w:t>
      </w:r>
    </w:p>
    <w:p>
      <w:pPr>
        <w:spacing w:after="0" w:line="360"/>
        <w:ind w:firstLine="708"/>
        <w:jc w:val="both"/>
      </w:pPr>
      <w:r>
        <w:rPr>
          <w:rFonts w:ascii="Times New Roman" w:cs="Times New Roman" w:eastAsia="Times New Roman" w:hAnsi="Times New Roman"/>
          <w:sz w:val="28"/>
          <w:szCs w:val="28"/>
        </w:rPr>
        <w:t xml:space="preserve">Существующие потребители на стадии прототипа — участники пилотных внедрений из числа предприятий малого и среднего предпринимательства Томской области, а также студенческие технологические команды, работающие с закупочными процедурами. Потенциальные потребители сегментированы в таблице 6.</w:t>
      </w:r>
    </w:p>
    <w:p>
      <w:pPr>
        <w:spacing w:after="80" w:before="200" w:line="360"/>
        <w:jc w:val="left"/>
      </w:pPr>
      <w:r>
        <w:rPr>
          <w:rFonts w:ascii="Times New Roman" w:cs="Times New Roman" w:eastAsia="Times New Roman" w:hAnsi="Times New Roman"/>
          <w:sz w:val="28"/>
          <w:szCs w:val="28"/>
        </w:rPr>
        <w:t xml:space="preserve">Таблица 6 – Сегменты потребителей</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619"/>
        <w:gridCol w:w="3555"/>
        <w:gridCol w:w="1123"/>
        <w:gridCol w:w="2058"/>
      </w:tblGrid>
      <w:tr>
        <w:trPr>
          <w:tblHeader/>
        </w:trPr>
        <w:tc>
          <w:tcPr>
            <w:tcW w:type="dxa" w:w="2619"/>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Сегмент</w:t>
            </w:r>
          </w:p>
        </w:tc>
        <w:tc>
          <w:tcPr>
            <w:tcW w:type="dxa" w:w="3555"/>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Потребность</w:t>
            </w:r>
          </w:p>
        </w:tc>
        <w:tc>
          <w:tcPr>
            <w:tcW w:type="dxa" w:w="1123"/>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Тариф</w:t>
            </w:r>
          </w:p>
        </w:tc>
        <w:tc>
          <w:tcPr>
            <w:tcW w:type="dxa" w:w="2058"/>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Оценка численности</w:t>
            </w:r>
          </w:p>
        </w:tc>
      </w:tr>
      <w:tr>
        <w:tc>
          <w:tcPr>
            <w:tcW w:type="dxa" w:w="261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Микро- и малые предприятия — поставщики</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Найти подходящие закупки без штатного тендерного специалиста</w:t>
            </w:r>
          </w:p>
        </w:tc>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Pro</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около 90 тыс. организаций</w:t>
            </w:r>
          </w:p>
        </w:tc>
      </w:tr>
      <w:tr>
        <w:tc>
          <w:tcPr>
            <w:tcW w:type="dxa" w:w="261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Средние предприятия и тендерные отделы</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Командная работа, распределение закупок между специалистами, аналитика ниши</w:t>
            </w:r>
          </w:p>
        </w:tc>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Team</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около 25 тыс. организаций</w:t>
            </w:r>
          </w:p>
        </w:tc>
      </w:tr>
      <w:tr>
        <w:tc>
          <w:tcPr>
            <w:tcW w:type="dxa" w:w="261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Тендерные консультанты и агентства</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Ведение нескольких клиентов одновременно</w:t>
            </w:r>
          </w:p>
        </w:tc>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Team</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около 4 тыс. организаций</w:t>
            </w:r>
          </w:p>
        </w:tc>
      </w:tr>
      <w:tr>
        <w:tc>
          <w:tcPr>
            <w:tcW w:type="dxa" w:w="2619"/>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Разработчики отраслевых систем</w:t>
            </w:r>
          </w:p>
        </w:tc>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Встраивание поиска закупок в собственный продукт</w:t>
            </w:r>
          </w:p>
        </w:tc>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API</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около 1 тыс. организаций</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4.2 Конкурентные преимущества</w:t>
      </w:r>
    </w:p>
    <w:p>
      <w:pPr>
        <w:spacing w:after="0" w:line="360"/>
        <w:ind w:firstLine="708"/>
        <w:jc w:val="both"/>
      </w:pPr>
      <w:r>
        <w:rPr>
          <w:rFonts w:ascii="Times New Roman" w:cs="Times New Roman" w:eastAsia="Times New Roman" w:hAnsi="Times New Roman"/>
          <w:sz w:val="28"/>
          <w:szCs w:val="28"/>
        </w:rPr>
        <w:t xml:space="preserve">Конкурентные преимущества продукции проекта и продукции конкурентов сопоставлены в таблице 7.</w:t>
      </w:r>
    </w:p>
    <w:p>
      <w:pPr>
        <w:spacing w:after="80" w:before="200" w:line="360"/>
        <w:jc w:val="left"/>
      </w:pPr>
      <w:r>
        <w:rPr>
          <w:rFonts w:ascii="Times New Roman" w:cs="Times New Roman" w:eastAsia="Times New Roman" w:hAnsi="Times New Roman"/>
          <w:sz w:val="28"/>
          <w:szCs w:val="28"/>
        </w:rPr>
        <w:t xml:space="preserve">Таблица 7 – Сопоставление конкурентных преимуществ</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245"/>
        <w:gridCol w:w="3368"/>
        <w:gridCol w:w="3742"/>
      </w:tblGrid>
      <w:tr>
        <w:trPr>
          <w:tblHeader/>
        </w:trPr>
        <w:tc>
          <w:tcPr>
            <w:tcW w:type="dxa" w:w="2245"/>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Свойство продукта</w:t>
            </w:r>
          </w:p>
        </w:tc>
        <w:tc>
          <w:tcPr>
            <w:tcW w:type="dxa" w:w="3368"/>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Сервисы-конкуренты</w:t>
            </w:r>
          </w:p>
        </w:tc>
        <w:tc>
          <w:tcPr>
            <w:tcW w:type="dxa" w:w="3742"/>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TenderAI</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Формулирование запроса</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Ключевые слова, коды классификатора, рубрикаторы</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Естественный язык с автоматическим распознаванием условий отбора</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Объяснимость выдачи</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Отсутствует</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Для каждой закупки указаны причины включения в подборку</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Разъяснение условий участия</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Чтение документации пользователем</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Ассистент с ответами со ссылками на карточку закупки</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Проверяемость ответов</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Не применимо</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Автоматический контроль соответствия ссылок источникам</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Стоимость подписки</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21–249 тыс. руб./год</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17,9–58,8 тыс. руб./год</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Пробный доступ</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3–14 дней</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Бессрочный бесплатный тариф с ограничением числа обращений к ассистенту</w:t>
            </w:r>
          </w:p>
        </w:tc>
      </w:tr>
      <w:tr>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Размещение данных</w:t>
            </w:r>
          </w:p>
        </w:tc>
        <w:tc>
          <w:tcPr>
            <w:tcW w:type="dxa" w:w="336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Собственная инфраструктура поставщика</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Возможен полностью российский контур: YandexGPT, GigaChat, локальные модели</w:t>
            </w:r>
          </w:p>
        </w:tc>
      </w:tr>
    </w:tbl>
    <w:p>
      <w:pPr>
        <w:spacing w:after="200"/>
      </w:pPr>
    </w:p>
    <w:p>
      <w:pPr>
        <w:spacing w:after="0" w:line="360"/>
        <w:ind w:firstLine="708"/>
        <w:jc w:val="both"/>
      </w:pPr>
      <w:r>
        <w:rPr>
          <w:rFonts w:ascii="Times New Roman" w:cs="Times New Roman" w:eastAsia="Times New Roman" w:hAnsi="Times New Roman"/>
          <w:sz w:val="28"/>
          <w:szCs w:val="28"/>
        </w:rPr>
        <w:t xml:space="preserve">Сильной стороной конкурентов, которую проекту предстоит компенсировать, является развитая функциональность проверки контрагентов и накопленная база исторических закупок. Компенсация планируется за счёт интеграции с внешними сервисами проверки контрагентов по программному интерфейсу вместо самостоятельной разработки.</w:t>
      </w:r>
    </w:p>
    <w:p>
      <w:pPr>
        <w:pStyle w:val="Heading2"/>
        <w:spacing w:after="120" w:before="200" w:line="360"/>
        <w:ind w:firstLine="708"/>
        <w:jc w:val="left"/>
      </w:pPr>
      <w:r>
        <w:rPr>
          <w:rFonts w:ascii="Times New Roman" w:cs="Times New Roman" w:eastAsia="Times New Roman" w:hAnsi="Times New Roman"/>
          <w:b/>
          <w:bCs/>
          <w:sz w:val="28"/>
          <w:szCs w:val="28"/>
        </w:rPr>
        <w:t xml:space="preserve">4.3 Планируемая доля рынка</w:t>
      </w:r>
    </w:p>
    <w:p>
      <w:pPr>
        <w:spacing w:after="0" w:line="360"/>
        <w:ind w:firstLine="708"/>
        <w:jc w:val="both"/>
      </w:pPr>
      <w:r>
        <w:rPr>
          <w:rFonts w:ascii="Times New Roman" w:cs="Times New Roman" w:eastAsia="Times New Roman" w:hAnsi="Times New Roman"/>
          <w:sz w:val="28"/>
          <w:szCs w:val="28"/>
        </w:rPr>
        <w:t xml:space="preserve">Планируемая доля доступного объёма рынка (SAM, 3,0 млрд рублей в год) приведена в таблице 8. Оценка построена «снизу вверх» — от числа платящих организаций и средней выручки на одного клиента.</w:t>
      </w:r>
    </w:p>
    <w:p>
      <w:pPr>
        <w:spacing w:after="80" w:before="200" w:line="360"/>
        <w:jc w:val="left"/>
      </w:pPr>
      <w:r>
        <w:rPr>
          <w:rFonts w:ascii="Times New Roman" w:cs="Times New Roman" w:eastAsia="Times New Roman" w:hAnsi="Times New Roman"/>
          <w:sz w:val="28"/>
          <w:szCs w:val="28"/>
        </w:rPr>
        <w:t xml:space="preserve">Таблица 8 – Планируемая доля рынка по годам развития проекта</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3181"/>
        <w:gridCol w:w="1216"/>
        <w:gridCol w:w="1216"/>
        <w:gridCol w:w="1216"/>
        <w:gridCol w:w="1216"/>
        <w:gridCol w:w="1310"/>
      </w:tblGrid>
      <w:tr>
        <w:trPr>
          <w:tblHeader/>
        </w:trPr>
        <w:tc>
          <w:tcPr>
            <w:tcW w:type="dxa" w:w="3181"/>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Показатель</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1-й год</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2-й год</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3-й год</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4-й год</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5-й год</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Платящих организаций на конец периода</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120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480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950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1 650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2 500</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Выручка, млн руб.</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11,1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26,0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48,0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78,0</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Доля SAM, %</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0,07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0,37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0,87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1,60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2,60</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4.4 Обоснование цены на продукцию</w:t>
      </w:r>
    </w:p>
    <w:p>
      <w:pPr>
        <w:spacing w:after="0" w:line="360"/>
        <w:ind w:firstLine="708"/>
        <w:jc w:val="both"/>
      </w:pPr>
      <w:r>
        <w:rPr>
          <w:rFonts w:ascii="Times New Roman" w:cs="Times New Roman" w:eastAsia="Times New Roman" w:hAnsi="Times New Roman"/>
          <w:sz w:val="28"/>
          <w:szCs w:val="28"/>
        </w:rPr>
        <w:t xml:space="preserve">Ценообразование построено по модели подписки с бесплатным уровнем. Цена тарифа Pro установлена на 15–50 % ниже стоимости ближайших конкурентов (21–42 тыс. рублей в год) — такой уровень обеспечивает ценовое преимущество при выходе на рынок и одновременно многократно превышает предельные затраты на обслуживание пользователя. Структура тарифов приведена в таблице 9.</w:t>
      </w:r>
    </w:p>
    <w:p>
      <w:pPr>
        <w:spacing w:after="80" w:before="200" w:line="360"/>
        <w:jc w:val="left"/>
      </w:pPr>
      <w:r>
        <w:rPr>
          <w:rFonts w:ascii="Times New Roman" w:cs="Times New Roman" w:eastAsia="Times New Roman" w:hAnsi="Times New Roman"/>
          <w:sz w:val="28"/>
          <w:szCs w:val="28"/>
        </w:rPr>
        <w:t xml:space="preserve">Таблица 9 – Тарифная линейка</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1123"/>
        <w:gridCol w:w="2058"/>
        <w:gridCol w:w="3742"/>
        <w:gridCol w:w="2432"/>
      </w:tblGrid>
      <w:tr>
        <w:trPr>
          <w:tblHeader/>
        </w:trPr>
        <w:tc>
          <w:tcPr>
            <w:tcW w:type="dxa" w:w="1123"/>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Тариф</w:t>
            </w:r>
          </w:p>
        </w:tc>
        <w:tc>
          <w:tcPr>
            <w:tcW w:type="dxa" w:w="2058"/>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Цена</w:t>
            </w:r>
          </w:p>
        </w:tc>
        <w:tc>
          <w:tcPr>
            <w:tcW w:type="dxa" w:w="3742"/>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Состав</w:t>
            </w:r>
          </w:p>
        </w:tc>
        <w:tc>
          <w:tcPr>
            <w:tcW w:type="dxa" w:w="2432"/>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Целевой сегмент</w:t>
            </w:r>
          </w:p>
        </w:tc>
      </w:tr>
      <w:tr>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Free</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0 руб.</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Умный поиск, 10 обращений к ассистенту в месяц</w:t>
            </w:r>
          </w:p>
        </w:tc>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Первое знакомство, привлечение пользователей</w:t>
            </w:r>
          </w:p>
        </w:tc>
      </w:tr>
      <w:tr>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Pro</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1 490 руб./мес, 17 880 руб./год</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Безлимитный ассистент, сохранённые запросы, уведомления о новых закупках</w:t>
            </w:r>
          </w:p>
        </w:tc>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Микро- и малые предприятия</w:t>
            </w:r>
          </w:p>
        </w:tc>
      </w:tr>
      <w:tr>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Team</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4 900 руб./мес, 58 800 руб./год</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До 5 пользователей, распределение закупок, экспорт подборок, аналитика ниши</w:t>
            </w:r>
          </w:p>
        </w:tc>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Средние предприятия, тендерные отделы, консультанты</w:t>
            </w:r>
          </w:p>
        </w:tc>
      </w:tr>
      <w:tr>
        <w:tc>
          <w:tcPr>
            <w:tcW w:type="dxa" w:w="112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API</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от 15 000 руб./мес</w:t>
            </w:r>
          </w:p>
        </w:tc>
        <w:tc>
          <w:tcPr>
            <w:tcW w:type="dxa" w:w="374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Доступ к поиску и ассистенту через программный интерфейс</w:t>
            </w:r>
          </w:p>
        </w:tc>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Разработчики отраслевых систем</w:t>
            </w:r>
          </w:p>
        </w:tc>
      </w:tr>
    </w:tbl>
    <w:p>
      <w:pPr>
        <w:spacing w:after="200"/>
      </w:pPr>
    </w:p>
    <w:p>
      <w:pPr>
        <w:spacing w:after="0" w:line="360"/>
        <w:ind w:firstLine="708"/>
        <w:jc w:val="both"/>
      </w:pPr>
      <w:r>
        <w:rPr>
          <w:rFonts w:ascii="Times New Roman" w:cs="Times New Roman" w:eastAsia="Times New Roman" w:hAnsi="Times New Roman"/>
          <w:sz w:val="28"/>
          <w:szCs w:val="28"/>
        </w:rPr>
        <w:t xml:space="preserve">Предельные затраты на обслуживание одного пользователя тарифа Pro (вычислительные ресурсы и обращения к языковой модели) оцениваются в 1,2–1,5 тыс. рублей в год, что соответствует валовой рентабельности около 92 %.</w:t>
      </w:r>
    </w:p>
    <w:p>
      <w:pPr>
        <w:pStyle w:val="Heading2"/>
        <w:spacing w:after="120" w:before="200" w:line="360"/>
        <w:ind w:firstLine="708"/>
        <w:jc w:val="left"/>
      </w:pPr>
      <w:r>
        <w:rPr>
          <w:rFonts w:ascii="Times New Roman" w:cs="Times New Roman" w:eastAsia="Times New Roman" w:hAnsi="Times New Roman"/>
          <w:b/>
          <w:bCs/>
          <w:sz w:val="28"/>
          <w:szCs w:val="28"/>
        </w:rPr>
        <w:t xml:space="preserve">4.5 План продвижения продукта</w:t>
      </w:r>
    </w:p>
    <w:p>
      <w:pPr>
        <w:spacing w:after="60" w:line="360"/>
        <w:ind w:firstLine="708"/>
        <w:jc w:val="both"/>
      </w:pPr>
      <w:r>
        <w:rPr>
          <w:rFonts w:ascii="Times New Roman" w:cs="Times New Roman" w:eastAsia="Times New Roman" w:hAnsi="Times New Roman"/>
          <w:sz w:val="28"/>
          <w:szCs w:val="28"/>
        </w:rPr>
        <w:t xml:space="preserve">Продвижение строится на четырёх каналах.</w:t>
      </w:r>
    </w:p>
    <w:p>
      <w:pPr>
        <w:spacing w:line="360"/>
        <w:ind w:firstLine="708"/>
        <w:jc w:val="both"/>
      </w:pPr>
      <w:r>
        <w:rPr>
          <w:rFonts w:ascii="Times New Roman" w:cs="Times New Roman" w:eastAsia="Times New Roman" w:hAnsi="Times New Roman"/>
          <w:sz w:val="28"/>
          <w:szCs w:val="28"/>
        </w:rPr>
        <w:t xml:space="preserve">– Контентное продвижение и поисковая оптимизация: практические материалы о правилах участия в закупках, разборы типовых требований и ограничений. Канал обеспечивает низкую стоимость привлечения и накопительный эффект; целевая доля — до 40 % регистраций.</w:t>
      </w:r>
    </w:p>
    <w:p>
      <w:pPr>
        <w:spacing w:line="360"/>
        <w:ind w:firstLine="708"/>
        <w:jc w:val="both"/>
      </w:pPr>
      <w:r>
        <w:rPr>
          <w:rFonts w:ascii="Times New Roman" w:cs="Times New Roman" w:eastAsia="Times New Roman" w:hAnsi="Times New Roman"/>
          <w:sz w:val="28"/>
          <w:szCs w:val="28"/>
        </w:rPr>
        <w:t xml:space="preserve">– Партнёрства с институтами поддержки предпринимательства: центры «Мой бизнес», торгово-промышленные палаты, вузовские центры технологического предпринимательства. Канал даёт доступ к сегменту начинающих поставщиков.</w:t>
      </w:r>
    </w:p>
    <w:p>
      <w:pPr>
        <w:spacing w:line="360"/>
        <w:ind w:firstLine="708"/>
        <w:jc w:val="both"/>
      </w:pPr>
      <w:r>
        <w:rPr>
          <w:rFonts w:ascii="Times New Roman" w:cs="Times New Roman" w:eastAsia="Times New Roman" w:hAnsi="Times New Roman"/>
          <w:sz w:val="28"/>
          <w:szCs w:val="28"/>
        </w:rPr>
        <w:t xml:space="preserve">– Бесплатный тариф как инструмент привлечения: пользователь получает ценность до оплаты, что снижает стоимость привлечения платящего клиента; целевая конверсия из бесплатного тарифа в платный — 4–6 %.</w:t>
      </w:r>
    </w:p>
    <w:p>
      <w:pPr>
        <w:spacing w:line="360"/>
        <w:ind w:firstLine="708"/>
        <w:jc w:val="both"/>
      </w:pPr>
      <w:r>
        <w:rPr>
          <w:rFonts w:ascii="Times New Roman" w:cs="Times New Roman" w:eastAsia="Times New Roman" w:hAnsi="Times New Roman"/>
          <w:sz w:val="28"/>
          <w:szCs w:val="28"/>
        </w:rPr>
        <w:t xml:space="preserve">– Отраслевые мероприятия и профессиональные сообщества: конференции по закупкам, сообщества тендерных специалистов, вебинары с разбором реальных закупок.</w:t>
      </w:r>
    </w:p>
    <w:p>
      <w:pPr>
        <w:spacing w:after="0" w:line="360"/>
        <w:ind w:firstLine="708"/>
        <w:jc w:val="both"/>
      </w:pPr>
      <w:r>
        <w:rPr>
          <w:rFonts w:ascii="Times New Roman" w:cs="Times New Roman" w:eastAsia="Times New Roman" w:hAnsi="Times New Roman"/>
          <w:sz w:val="28"/>
          <w:szCs w:val="28"/>
        </w:rPr>
        <w:t xml:space="preserve">Планируемая стоимость привлечения платящего клиента — не более 3,5 тыс. рублей при выручке на клиента 22–31 тыс. рублей в год, что соответствует окупаемости затрат на привлечение менее чем за три месяца.</w:t>
      </w:r>
    </w:p>
    <w:p>
      <w:pPr>
        <w:pStyle w:val="Heading2"/>
        <w:spacing w:after="120" w:before="200" w:line="360"/>
        <w:ind w:firstLine="708"/>
        <w:jc w:val="left"/>
      </w:pPr>
      <w:r>
        <w:rPr>
          <w:rFonts w:ascii="Times New Roman" w:cs="Times New Roman" w:eastAsia="Times New Roman" w:hAnsi="Times New Roman"/>
          <w:b/>
          <w:bCs/>
          <w:sz w:val="28"/>
          <w:szCs w:val="28"/>
        </w:rPr>
        <w:t xml:space="preserve">4.6 Организация сбыта</w:t>
      </w:r>
    </w:p>
    <w:p>
      <w:pPr>
        <w:spacing w:after="0" w:line="360"/>
        <w:ind w:firstLine="708"/>
        <w:jc w:val="both"/>
      </w:pPr>
      <w:r>
        <w:rPr>
          <w:rFonts w:ascii="Times New Roman" w:cs="Times New Roman" w:eastAsia="Times New Roman" w:hAnsi="Times New Roman"/>
          <w:sz w:val="28"/>
          <w:szCs w:val="28"/>
        </w:rPr>
        <w:t xml:space="preserve">Основной канал сбыта — прямые продажи через сайт по модели самостоятельного подключения: регистрация, использование бесплатного тарифа, переход на платный тариф без участия менеджера. Для сегмента средних предприятий и тендерных отделов предусмотрено сопровождение сделки: демонстрация, пилотный период, заключение договора и выставление счёта.</w:t>
      </w:r>
    </w:p>
    <w:p>
      <w:pPr>
        <w:spacing w:after="0" w:line="360"/>
        <w:ind w:firstLine="708"/>
        <w:jc w:val="both"/>
      </w:pPr>
      <w:r>
        <w:rPr>
          <w:rFonts w:ascii="Times New Roman" w:cs="Times New Roman" w:eastAsia="Times New Roman" w:hAnsi="Times New Roman"/>
          <w:sz w:val="28"/>
          <w:szCs w:val="28"/>
        </w:rPr>
        <w:t xml:space="preserve">Дополнительные каналы — партнёрская программа с центрами поддержки предпринимательства (вознаграждение за привлечённого платящего клиента) и продажи программного интерфейса разработчикам отраслевых систем на условиях лицензионного договора. Оплата принимается по безналичному расчёту с юридических лиц и индивидуальных предпринимателей, с формированием закрывающих документов.</w:t>
      </w:r>
    </w:p>
    <w:p>
      <w:pPr>
        <w:pStyle w:val="Heading1"/>
        <w:pageBreakBefore/>
        <w:spacing w:after="200" w:line="360"/>
        <w:ind w:firstLine="708"/>
        <w:jc w:val="left"/>
      </w:pPr>
      <w:r>
        <w:rPr>
          <w:rFonts w:ascii="Times New Roman" w:cs="Times New Roman" w:eastAsia="Times New Roman" w:hAnsi="Times New Roman"/>
          <w:b/>
          <w:bCs/>
          <w:sz w:val="28"/>
          <w:szCs w:val="28"/>
        </w:rPr>
        <w:t xml:space="preserve">5 Финансовый план</w:t>
      </w:r>
    </w:p>
    <w:p>
      <w:pPr>
        <w:pStyle w:val="Heading2"/>
        <w:spacing w:after="120" w:before="200" w:line="360"/>
        <w:ind w:firstLine="708"/>
        <w:jc w:val="left"/>
      </w:pPr>
      <w:r>
        <w:rPr>
          <w:rFonts w:ascii="Times New Roman" w:cs="Times New Roman" w:eastAsia="Times New Roman" w:hAnsi="Times New Roman"/>
          <w:b/>
          <w:bCs/>
          <w:sz w:val="28"/>
          <w:szCs w:val="28"/>
        </w:rPr>
        <w:t xml:space="preserve">5.1 Объём и источники финансирования проекта</w:t>
      </w:r>
    </w:p>
    <w:p>
      <w:pPr>
        <w:spacing w:after="0" w:line="360"/>
        <w:ind w:firstLine="708"/>
        <w:jc w:val="both"/>
      </w:pPr>
      <w:r>
        <w:rPr>
          <w:rFonts w:ascii="Times New Roman" w:cs="Times New Roman" w:eastAsia="Times New Roman" w:hAnsi="Times New Roman"/>
          <w:sz w:val="28"/>
          <w:szCs w:val="28"/>
        </w:rPr>
        <w:t xml:space="preserve">Общий объём финансирования проекта на горизонте пяти лет составляет 13,6 млн рублей, из которых 1,0 млн рублей уже привлечён и использован в рамках договора о предоставлении гранта. Структура источников приведена в таблице 10.</w:t>
      </w:r>
    </w:p>
    <w:p>
      <w:pPr>
        <w:spacing w:after="80" w:before="200" w:line="360"/>
        <w:jc w:val="left"/>
      </w:pPr>
      <w:r>
        <w:rPr>
          <w:rFonts w:ascii="Times New Roman" w:cs="Times New Roman" w:eastAsia="Times New Roman" w:hAnsi="Times New Roman"/>
          <w:sz w:val="28"/>
          <w:szCs w:val="28"/>
        </w:rPr>
        <w:t xml:space="preserve">Таблица 10 – Источники финансирования проекта</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3555"/>
        <w:gridCol w:w="2245"/>
        <w:gridCol w:w="1497"/>
        <w:gridCol w:w="2058"/>
      </w:tblGrid>
      <w:tr>
        <w:trPr>
          <w:tblHeader/>
        </w:trPr>
        <w:tc>
          <w:tcPr>
            <w:tcW w:type="dxa" w:w="3555"/>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Источник</w:t>
            </w:r>
          </w:p>
        </w:tc>
        <w:tc>
          <w:tcPr>
            <w:tcW w:type="dxa" w:w="2245"/>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Период</w:t>
            </w:r>
          </w:p>
        </w:tc>
        <w:tc>
          <w:tcPr>
            <w:tcW w:type="dxa" w:w="149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Сумма, млн руб.</w:t>
            </w:r>
          </w:p>
        </w:tc>
        <w:tc>
          <w:tcPr>
            <w:tcW w:type="dxa" w:w="2058"/>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Статус</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Грант ФСИ, программа «Студенческий стартап»</w:t>
            </w:r>
          </w:p>
        </w:tc>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IV кв. 2025 – III кв. 2026</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1,0</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Привлечён и использован</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Собственные средства</w:t>
            </w:r>
          </w:p>
        </w:tc>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IV кв. 2026 – 2027</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0,6</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Планируется</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Грант ФСИ, программа «Старт-1»</w:t>
            </w:r>
          </w:p>
        </w:tc>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II–III кв. 2027</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4,0</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Заявка планируется к подаче в IV кв. 2026</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Венчурные (ангельские) инвестиции</w:t>
            </w:r>
          </w:p>
        </w:tc>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2028</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8,0</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Планируется при подтверждённой выручке</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Итого</w:t>
            </w:r>
          </w:p>
        </w:tc>
        <w:tc>
          <w:tcPr>
            <w:tcW w:type="dxa" w:w="224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13,6</w:t>
            </w:r>
          </w:p>
        </w:tc>
        <w:tc>
          <w:tcPr>
            <w:tcW w:type="dxa" w:w="2058"/>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
            </w:r>
          </w:p>
        </w:tc>
      </w:tr>
    </w:tbl>
    <w:p>
      <w:pPr>
        <w:spacing w:after="200"/>
      </w:pPr>
    </w:p>
    <w:p>
      <w:pPr>
        <w:spacing w:after="0" w:line="360"/>
        <w:ind w:firstLine="708"/>
        <w:jc w:val="both"/>
      </w:pPr>
      <w:r>
        <w:rPr>
          <w:rFonts w:ascii="Times New Roman" w:cs="Times New Roman" w:eastAsia="Times New Roman" w:hAnsi="Times New Roman"/>
          <w:sz w:val="28"/>
          <w:szCs w:val="28"/>
        </w:rPr>
        <w:t xml:space="preserve">Начиная с третьего года развития проект финансируется за счёт собственной выручки и не требует внешнего финансирования операционной деятельности.</w:t>
      </w:r>
    </w:p>
    <w:p>
      <w:pPr>
        <w:pStyle w:val="Heading2"/>
        <w:spacing w:after="120" w:before="200" w:line="360"/>
        <w:ind w:firstLine="708"/>
        <w:jc w:val="left"/>
      </w:pPr>
      <w:r>
        <w:rPr>
          <w:rFonts w:ascii="Times New Roman" w:cs="Times New Roman" w:eastAsia="Times New Roman" w:hAnsi="Times New Roman"/>
          <w:b/>
          <w:bCs/>
          <w:sz w:val="28"/>
          <w:szCs w:val="28"/>
        </w:rPr>
        <w:t xml:space="preserve">5.2 План доходов и расходов</w:t>
      </w:r>
    </w:p>
    <w:p>
      <w:pPr>
        <w:spacing w:after="0" w:line="360"/>
        <w:ind w:firstLine="708"/>
        <w:jc w:val="both"/>
      </w:pPr>
      <w:r>
        <w:rPr>
          <w:rFonts w:ascii="Times New Roman" w:cs="Times New Roman" w:eastAsia="Times New Roman" w:hAnsi="Times New Roman"/>
          <w:sz w:val="28"/>
          <w:szCs w:val="28"/>
        </w:rPr>
        <w:t xml:space="preserve">Показатели первого и второго годов развития проекта приведены поквартально (таблицы 11 и 12), третьего и последующих лет — в годовой оценке (таблица 13). Первым годом развития считается период с IV квартала 2026 года по III квартал 2027 года. Применяемый режим налогообложения — упрощённая система налогообложения с объектом «доходы» (ставка 6 %).</w:t>
      </w:r>
    </w:p>
    <w:p>
      <w:pPr>
        <w:spacing w:after="80" w:before="200" w:line="360"/>
        <w:jc w:val="left"/>
      </w:pPr>
      <w:r>
        <w:rPr>
          <w:rFonts w:ascii="Times New Roman" w:cs="Times New Roman" w:eastAsia="Times New Roman" w:hAnsi="Times New Roman"/>
          <w:sz w:val="28"/>
          <w:szCs w:val="28"/>
        </w:rPr>
        <w:t xml:space="preserve">Таблица 11 – План доходов и расходов, 1-й год развития проекта,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807"/>
        <w:gridCol w:w="1310"/>
        <w:gridCol w:w="1310"/>
        <w:gridCol w:w="1310"/>
        <w:gridCol w:w="1310"/>
        <w:gridCol w:w="1310"/>
      </w:tblGrid>
      <w:tr>
        <w:trPr>
          <w:tblHeader/>
        </w:trPr>
        <w:tc>
          <w:tcPr>
            <w:tcW w:type="dxa" w:w="280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Показатель</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IV кв. 2026</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 кв. 2027</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 кв. 2027</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III кв. 2027</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Итого</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Выручка от подписки</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2,10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доходы</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2,10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Оплата труда с отчислениями</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0,45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2,70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Инфраструктура и обращения к моделям</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0,40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Данные и интеграции</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Маркетинг и продвижение</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0,95</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Прочие расходы</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0,07</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0,25</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расходы</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1,29</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1,53</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4,50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Налог (УСН, 6 %)</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0,01</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0,04</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0,06</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0,13</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Финансовый результат</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−0,56</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−0,71</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−0,61</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−2,53</w:t>
            </w:r>
          </w:p>
        </w:tc>
      </w:tr>
    </w:tbl>
    <w:p>
      <w:pPr>
        <w:spacing w:after="200"/>
      </w:pPr>
    </w:p>
    <w:p>
      <w:pPr>
        <w:spacing w:after="80" w:before="200" w:line="360"/>
        <w:jc w:val="left"/>
      </w:pPr>
      <w:r>
        <w:rPr>
          <w:rFonts w:ascii="Times New Roman" w:cs="Times New Roman" w:eastAsia="Times New Roman" w:hAnsi="Times New Roman"/>
          <w:sz w:val="28"/>
          <w:szCs w:val="28"/>
        </w:rPr>
        <w:t xml:space="preserve">Таблица 12 – План доходов и расходов, 2-й год развития проекта,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807"/>
        <w:gridCol w:w="1310"/>
        <w:gridCol w:w="1310"/>
        <w:gridCol w:w="1310"/>
        <w:gridCol w:w="1310"/>
        <w:gridCol w:w="1310"/>
      </w:tblGrid>
      <w:tr>
        <w:trPr>
          <w:tblHeader/>
        </w:trPr>
        <w:tc>
          <w:tcPr>
            <w:tcW w:type="dxa" w:w="280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Показатель</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IV кв. 2027</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 кв. 2028</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 кв. 2028</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III кв. 2028</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Итого</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Выручка от подписки</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1,40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2,80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3,75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10,00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Выручка от программного интерфейса</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0,45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1,10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доходы</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2,25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3,10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11,10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Оплата труда с отчислениями</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1,80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2,10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6,60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Инфраструктура и обращения к моделям</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0,40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1,17</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Данные и интеграции</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0,44</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Маркетинг и продвижение</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0,80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1,00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3,60</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Прочие расходы</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0,14</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0,16</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0,52</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расходы</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2,20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2,77</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3,38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3,98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12,33</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Налог (УСН, 6 %)</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0,09</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0,14</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0,19</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0,25</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0,67</w:t>
            </w:r>
          </w:p>
        </w:tc>
      </w:tr>
      <w:tr>
        <w:tc>
          <w:tcPr>
            <w:tcW w:type="dxa" w:w="280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Финансовый результат</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−0,74</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−0,66</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−0,47</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−0,03</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−1,90</w:t>
            </w:r>
          </w:p>
        </w:tc>
      </w:tr>
    </w:tbl>
    <w:p>
      <w:pPr>
        <w:spacing w:after="200"/>
      </w:pPr>
    </w:p>
    <w:p>
      <w:pPr>
        <w:spacing w:after="80" w:before="200" w:line="360"/>
        <w:jc w:val="left"/>
      </w:pPr>
      <w:r>
        <w:rPr>
          <w:rFonts w:ascii="Times New Roman" w:cs="Times New Roman" w:eastAsia="Times New Roman" w:hAnsi="Times New Roman"/>
          <w:sz w:val="28"/>
          <w:szCs w:val="28"/>
        </w:rPr>
        <w:t xml:space="preserve">Таблица 13 – План доходов и расходов, 3–5-й годы развития проекта,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4303"/>
        <w:gridCol w:w="1684"/>
        <w:gridCol w:w="1684"/>
        <w:gridCol w:w="1684"/>
      </w:tblGrid>
      <w:tr>
        <w:trPr>
          <w:tblHeader/>
        </w:trPr>
        <w:tc>
          <w:tcPr>
            <w:tcW w:type="dxa" w:w="4303"/>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Показатель</w:t>
            </w:r>
          </w:p>
        </w:tc>
        <w:tc>
          <w:tcPr>
            <w:tcW w:type="dxa" w:w="1684"/>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3-й год</w:t>
            </w:r>
          </w:p>
        </w:tc>
        <w:tc>
          <w:tcPr>
            <w:tcW w:type="dxa" w:w="1684"/>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4-й год</w:t>
            </w:r>
          </w:p>
        </w:tc>
        <w:tc>
          <w:tcPr>
            <w:tcW w:type="dxa" w:w="1684"/>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5-й год</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Итого доходы</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26,00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48,00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78,00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Оплата труда с отчислениями</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12,60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20,50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30,00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Инфраструктура и обращения к моделям</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2,10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3,60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5,50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Данные и интеграции</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0,80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1,20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1,80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Маркетинг и продвижение</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6,00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11,00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18,00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Прочие расходы</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1,70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2,70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Итого расходы</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22,50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38,00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58,00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Налог (УСН, 6 %)</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1,56</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2,88</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4,68</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Финансовый результат</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1,94</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7,12</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15,32</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5.3 План денежных поступлений и выплат</w:t>
      </w:r>
    </w:p>
    <w:p>
      <w:pPr>
        <w:spacing w:after="0" w:line="360"/>
        <w:ind w:firstLine="708"/>
        <w:jc w:val="both"/>
      </w:pPr>
      <w:r>
        <w:rPr>
          <w:rFonts w:ascii="Times New Roman" w:cs="Times New Roman" w:eastAsia="Times New Roman" w:hAnsi="Times New Roman"/>
          <w:sz w:val="28"/>
          <w:szCs w:val="28"/>
        </w:rPr>
        <w:t xml:space="preserve">План денежных поступлений и выплат первого года развития проекта приведён в таблице 14, второго года — в таблице 15, третьего и последующих лет — в таблице 16.</w:t>
      </w:r>
    </w:p>
    <w:p>
      <w:pPr>
        <w:spacing w:after="80" w:before="200" w:line="360"/>
        <w:jc w:val="left"/>
      </w:pPr>
      <w:r>
        <w:rPr>
          <w:rFonts w:ascii="Times New Roman" w:cs="Times New Roman" w:eastAsia="Times New Roman" w:hAnsi="Times New Roman"/>
          <w:sz w:val="28"/>
          <w:szCs w:val="28"/>
        </w:rPr>
        <w:t xml:space="preserve">Таблица 14 – План денежных поступлений и выплат, 1-й год,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994"/>
        <w:gridCol w:w="1216"/>
        <w:gridCol w:w="1216"/>
        <w:gridCol w:w="1216"/>
        <w:gridCol w:w="1216"/>
        <w:gridCol w:w="1497"/>
      </w:tblGrid>
      <w:tr>
        <w:trPr>
          <w:tblHeader/>
        </w:trPr>
        <w:tc>
          <w:tcPr>
            <w:tcW w:type="dxa" w:w="2994"/>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Показатель</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IV кв. 2026</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 кв. 2027</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 кв. 2027</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III кв. 2027</w:t>
            </w:r>
          </w:p>
        </w:tc>
        <w:tc>
          <w:tcPr>
            <w:tcW w:type="dxa" w:w="1497"/>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Итого</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Остаток денежных средств на начало</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0,02</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1,75</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Поступления от продаж</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0,35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0,62</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0,98</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2,10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Поступление гранта «Старт-1»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2,00</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4,00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Собственные средства</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поступления</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2,62</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2,98</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6,70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Выплаты по операционной деятельности</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0,98</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1,29</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1,53</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4,50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Уплата налогов</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0,02</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0,04</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0,06</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0,13</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выплаты</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1,33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1,59</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4,63</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Чистый денежный поток</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0,04</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1,29</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1,39</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2,07</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Остаток денежных средств на конец</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0,04</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1,28</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2,67</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2,07</w:t>
            </w:r>
          </w:p>
        </w:tc>
      </w:tr>
    </w:tbl>
    <w:p>
      <w:pPr>
        <w:spacing w:after="200"/>
      </w:pPr>
    </w:p>
    <w:p>
      <w:pPr>
        <w:spacing w:after="80" w:before="200" w:line="360"/>
        <w:jc w:val="left"/>
      </w:pPr>
      <w:r>
        <w:rPr>
          <w:rFonts w:ascii="Times New Roman" w:cs="Times New Roman" w:eastAsia="Times New Roman" w:hAnsi="Times New Roman"/>
          <w:sz w:val="28"/>
          <w:szCs w:val="28"/>
        </w:rPr>
        <w:t xml:space="preserve">Таблица 15 – План денежных поступлений и выплат, 2-й год,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994"/>
        <w:gridCol w:w="1216"/>
        <w:gridCol w:w="1216"/>
        <w:gridCol w:w="1216"/>
        <w:gridCol w:w="1216"/>
        <w:gridCol w:w="1497"/>
      </w:tblGrid>
      <w:tr>
        <w:trPr>
          <w:tblHeader/>
        </w:trPr>
        <w:tc>
          <w:tcPr>
            <w:tcW w:type="dxa" w:w="2994"/>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Показатель</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IV кв. 2027</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 кв. 2028</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 кв. 2028</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III кв. 2028</w:t>
            </w:r>
          </w:p>
        </w:tc>
        <w:tc>
          <w:tcPr>
            <w:tcW w:type="dxa" w:w="1497"/>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Итого</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Остаток денежных средств на начало</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1,33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8,20</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2,07</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Поступления от продаж</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2,25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3,10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4,20</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11,10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Венчурные (ангельские) инвестиции</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8,00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0,00</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8,00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поступления</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2,25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11,10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4,20</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19,10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Выплаты по операционной деятельности</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2,20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2,77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3,38</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3,98</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12,33</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Уплата налогов</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0,09</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0,14</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0,19</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0,25</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0,67</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Итого выплаты</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2,29</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2,91</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3,57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4,23</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13,00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Чистый денежный поток</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−0,74</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−0,66</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7,53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−0,03</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6,10</w:t>
            </w:r>
          </w:p>
        </w:tc>
      </w:tr>
      <w:tr>
        <w:tc>
          <w:tcPr>
            <w:tcW w:type="dxa" w:w="299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Остаток денежных средств на конец</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1,33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0,67</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8,20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8,17</w:t>
            </w:r>
          </w:p>
        </w:tc>
        <w:tc>
          <w:tcPr>
            <w:tcW w:type="dxa" w:w="1497"/>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8,17</w:t>
            </w:r>
          </w:p>
        </w:tc>
      </w:tr>
    </w:tbl>
    <w:p>
      <w:pPr>
        <w:spacing w:after="200"/>
      </w:pPr>
    </w:p>
    <w:p>
      <w:pPr>
        <w:spacing w:after="80" w:before="200" w:line="360"/>
        <w:jc w:val="left"/>
      </w:pPr>
      <w:r>
        <w:rPr>
          <w:rFonts w:ascii="Times New Roman" w:cs="Times New Roman" w:eastAsia="Times New Roman" w:hAnsi="Times New Roman"/>
          <w:sz w:val="28"/>
          <w:szCs w:val="28"/>
        </w:rPr>
        <w:t xml:space="preserve">Таблица 16 – План денежных поступлений и выплат, 3–5-й годы,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4303"/>
        <w:gridCol w:w="1684"/>
        <w:gridCol w:w="1684"/>
        <w:gridCol w:w="1684"/>
      </w:tblGrid>
      <w:tr>
        <w:trPr>
          <w:tblHeader/>
        </w:trPr>
        <w:tc>
          <w:tcPr>
            <w:tcW w:type="dxa" w:w="4303"/>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4"/>
                <w:szCs w:val="24"/>
              </w:rPr>
              <w:t xml:space="preserve">Показатель</w:t>
            </w:r>
          </w:p>
        </w:tc>
        <w:tc>
          <w:tcPr>
            <w:tcW w:type="dxa" w:w="1684"/>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3-й год</w:t>
            </w:r>
          </w:p>
        </w:tc>
        <w:tc>
          <w:tcPr>
            <w:tcW w:type="dxa" w:w="1684"/>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4-й год</w:t>
            </w:r>
          </w:p>
        </w:tc>
        <w:tc>
          <w:tcPr>
            <w:tcW w:type="dxa" w:w="1684"/>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4"/>
                <w:szCs w:val="24"/>
              </w:rPr>
              <w:t xml:space="preserve">5-й год</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Остаток денежных средств на начало</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8,17</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10,11</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17,23</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Итого поступления</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26,00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48,00</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78,00</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Итого выплаты</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24,06</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40,88</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62,68</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Чистый денежный поток</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1,94</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7,12</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15,32</w:t>
            </w:r>
          </w:p>
        </w:tc>
      </w:tr>
      <w:tr>
        <w:tc>
          <w:tcPr>
            <w:tcW w:type="dxa" w:w="4303"/>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4"/>
                <w:szCs w:val="24"/>
              </w:rPr>
              <w:t xml:space="preserve">Остаток денежных средств на конец</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10,11</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17,23</w:t>
            </w:r>
          </w:p>
        </w:tc>
        <w:tc>
          <w:tcPr>
            <w:tcW w:type="dxa" w:w="1684"/>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4"/>
                <w:szCs w:val="24"/>
              </w:rPr>
              <w:t xml:space="preserve">32,55</w:t>
            </w:r>
          </w:p>
        </w:tc>
      </w:tr>
    </w:tbl>
    <w:p>
      <w:pPr>
        <w:spacing w:after="200"/>
      </w:pPr>
    </w:p>
    <w:p>
      <w:pPr>
        <w:pStyle w:val="Heading2"/>
        <w:spacing w:after="120" w:before="200" w:line="360"/>
        <w:ind w:firstLine="708"/>
        <w:jc w:val="left"/>
      </w:pPr>
      <w:r>
        <w:rPr>
          <w:rFonts w:ascii="Times New Roman" w:cs="Times New Roman" w:eastAsia="Times New Roman" w:hAnsi="Times New Roman"/>
          <w:b/>
          <w:bCs/>
          <w:sz w:val="28"/>
          <w:szCs w:val="28"/>
        </w:rPr>
        <w:t xml:space="preserve">5.4 Финансовые результаты и окупаемость</w:t>
      </w:r>
    </w:p>
    <w:p>
      <w:pPr>
        <w:spacing w:after="0" w:line="360"/>
        <w:ind w:firstLine="708"/>
        <w:jc w:val="both"/>
      </w:pPr>
      <w:r>
        <w:rPr>
          <w:rFonts w:ascii="Times New Roman" w:cs="Times New Roman" w:eastAsia="Times New Roman" w:hAnsi="Times New Roman"/>
          <w:sz w:val="28"/>
          <w:szCs w:val="28"/>
        </w:rPr>
        <w:t xml:space="preserve">Сводные финансовые результаты реализации проекта приведены в таблице 17.</w:t>
      </w:r>
    </w:p>
    <w:p>
      <w:pPr>
        <w:spacing w:after="80" w:before="200" w:line="360"/>
        <w:jc w:val="left"/>
      </w:pPr>
      <w:r>
        <w:rPr>
          <w:rFonts w:ascii="Times New Roman" w:cs="Times New Roman" w:eastAsia="Times New Roman" w:hAnsi="Times New Roman"/>
          <w:sz w:val="28"/>
          <w:szCs w:val="28"/>
        </w:rPr>
        <w:t xml:space="preserve">Таблица 17 – Сводные финансовые результаты проекта, млн руб.</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3181"/>
        <w:gridCol w:w="1216"/>
        <w:gridCol w:w="1216"/>
        <w:gridCol w:w="1216"/>
        <w:gridCol w:w="1216"/>
        <w:gridCol w:w="1310"/>
      </w:tblGrid>
      <w:tr>
        <w:trPr>
          <w:tblHeader/>
        </w:trPr>
        <w:tc>
          <w:tcPr>
            <w:tcW w:type="dxa" w:w="3181"/>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Показатель</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1-й год</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2-й год</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3-й год</w:t>
            </w:r>
          </w:p>
        </w:tc>
        <w:tc>
          <w:tcPr>
            <w:tcW w:type="dxa" w:w="1216"/>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4-й год</w:t>
            </w:r>
          </w:p>
        </w:tc>
        <w:tc>
          <w:tcPr>
            <w:tcW w:type="dxa" w:w="1310"/>
            <w:shd w:fill="F2EDFE" w:val="clear"/>
            <w:tcMar>
              <w:top w:type="dxa" w:w="50"/>
              <w:left w:type="dxa" w:w="80"/>
              <w:bottom w:type="dxa" w:w="50"/>
              <w:right w:type="dxa" w:w="80"/>
            </w:tcMar>
          </w:tcPr>
          <w:p>
            <w:pPr>
              <w:spacing w:line="240"/>
              <w:jc w:val="right"/>
            </w:pPr>
            <w:r>
              <w:rPr>
                <w:rFonts w:ascii="Times New Roman" w:cs="Times New Roman" w:eastAsia="Times New Roman" w:hAnsi="Times New Roman"/>
                <w:b/>
                <w:bCs/>
                <w:sz w:val="20"/>
                <w:szCs w:val="20"/>
              </w:rPr>
              <w:t xml:space="preserve">5-й год</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Выручка</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2,10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11,10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26,00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48,00</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78,00</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Расходы с налогами</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4,63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13,00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24,06</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40,88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62,68</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Финансовый результат за период</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−2,53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−1,90</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1,94</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7,12</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15,32</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Финансовый результат нарастающим итогом</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−2,53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−4,43</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−2,49</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4,63</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19,95</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Рентабельность по чистой прибыли, %</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7,5</w:t>
            </w:r>
          </w:p>
        </w:tc>
        <w:tc>
          <w:tcPr>
            <w:tcW w:type="dxa" w:w="1216"/>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14,8</w:t>
            </w:r>
          </w:p>
        </w:tc>
        <w:tc>
          <w:tcPr>
            <w:tcW w:type="dxa" w:w="1310"/>
            <w:tcMar>
              <w:top w:type="dxa" w:w="50"/>
              <w:left w:type="dxa" w:w="80"/>
              <w:bottom w:type="dxa" w:w="50"/>
              <w:right w:type="dxa" w:w="80"/>
            </w:tcMar>
          </w:tcPr>
          <w:p>
            <w:pPr>
              <w:spacing w:line="240"/>
              <w:jc w:val="right"/>
            </w:pPr>
            <w:r>
              <w:rPr>
                <w:rFonts w:ascii="Times New Roman" w:cs="Times New Roman" w:eastAsia="Times New Roman" w:hAnsi="Times New Roman"/>
                <w:b w:val="false"/>
                <w:bCs w:val="false"/>
                <w:sz w:val="20"/>
                <w:szCs w:val="20"/>
              </w:rPr>
              <w:t xml:space="preserve">19,6</w:t>
            </w:r>
          </w:p>
        </w:tc>
      </w:tr>
    </w:tbl>
    <w:p>
      <w:pPr>
        <w:spacing w:after="200"/>
      </w:pPr>
    </w:p>
    <w:p>
      <w:pPr>
        <w:spacing w:after="0" w:line="360"/>
        <w:ind w:firstLine="708"/>
        <w:jc w:val="both"/>
      </w:pPr>
      <w:r>
        <w:rPr>
          <w:rFonts w:ascii="Times New Roman" w:cs="Times New Roman" w:eastAsia="Times New Roman" w:hAnsi="Times New Roman"/>
          <w:sz w:val="28"/>
          <w:szCs w:val="28"/>
        </w:rPr>
        <w:t xml:space="preserve">Операционная безубыточность достигается в III квартале 2028 года (окончание второго года развития проекта). Накопленный финансовый результат становится положительным на четвёртом году. Совокупный объём привлечённого финансирования (13,6 млн рублей) окупается выручкой пятого года, превышающей эту сумму в 5,7 раза.</w:t>
      </w:r>
    </w:p>
    <w:p>
      <w:pPr>
        <w:pStyle w:val="Heading2"/>
        <w:spacing w:after="120" w:before="200" w:line="360"/>
        <w:ind w:firstLine="708"/>
        <w:jc w:val="left"/>
      </w:pPr>
      <w:r>
        <w:rPr>
          <w:rFonts w:ascii="Times New Roman" w:cs="Times New Roman" w:eastAsia="Times New Roman" w:hAnsi="Times New Roman"/>
          <w:b/>
          <w:bCs/>
          <w:sz w:val="28"/>
          <w:szCs w:val="28"/>
        </w:rPr>
        <w:t xml:space="preserve">5.5 Источники финансирования дальнейшего развития</w:t>
      </w:r>
    </w:p>
    <w:p>
      <w:pPr>
        <w:spacing w:after="0" w:line="360"/>
        <w:ind w:firstLine="708"/>
        <w:jc w:val="both"/>
      </w:pPr>
      <w:r>
        <w:rPr>
          <w:rFonts w:ascii="Times New Roman" w:cs="Times New Roman" w:eastAsia="Times New Roman" w:hAnsi="Times New Roman"/>
          <w:sz w:val="28"/>
          <w:szCs w:val="28"/>
        </w:rPr>
        <w:t xml:space="preserve">Оценка вероятности привлечения источников финансирования дальнейшего развития проекта приведена в таблице 18.</w:t>
      </w:r>
    </w:p>
    <w:p>
      <w:pPr>
        <w:spacing w:after="80" w:before="200" w:line="360"/>
        <w:jc w:val="left"/>
      </w:pPr>
      <w:r>
        <w:rPr>
          <w:rFonts w:ascii="Times New Roman" w:cs="Times New Roman" w:eastAsia="Times New Roman" w:hAnsi="Times New Roman"/>
          <w:sz w:val="28"/>
          <w:szCs w:val="28"/>
        </w:rPr>
        <w:t xml:space="preserve">Таблица 18 – Источники финансирования дальнейшего развития</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2432"/>
        <w:gridCol w:w="1497"/>
        <w:gridCol w:w="5426"/>
      </w:tblGrid>
      <w:tr>
        <w:trPr>
          <w:tblHeader/>
        </w:trPr>
        <w:tc>
          <w:tcPr>
            <w:tcW w:type="dxa" w:w="2432"/>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Источник</w:t>
            </w:r>
          </w:p>
        </w:tc>
        <w:tc>
          <w:tcPr>
            <w:tcW w:type="dxa" w:w="1497"/>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Сумма, млн руб.</w:t>
            </w:r>
          </w:p>
        </w:tc>
        <w:tc>
          <w:tcPr>
            <w:tcW w:type="dxa" w:w="5426"/>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Обоснование потенциала привлечения</w:t>
            </w:r>
          </w:p>
        </w:tc>
      </w:tr>
      <w:tr>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Грант ФСИ, программа «Старт-1»</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до 4,0</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Проект соответствует требованиям программы: завершён этап «Студенческий стартап», создан прототип с подтверждённой работоспособностью, определён рынок сбыта. Вероятность оценивается как высокая</w:t>
            </w:r>
          </w:p>
        </w:tc>
      </w:tr>
      <w:tr>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Венчурные (ангельские) инвестиции</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8,0</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Привлечение планируется при выручке от 10 млн руб. в год и подтверждённой воспроизводимости продаж; отраслевые инвесторы активны в сегменте B2B SaaS. Вероятность средняя</w:t>
            </w:r>
          </w:p>
        </w:tc>
      </w:tr>
      <w:tr>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Льготное кредитование для ИТ-компаний</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до 5,0</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Резервный источник при получении аккредитации ИТ-компании. Вероятность средняя</w:t>
            </w:r>
          </w:p>
        </w:tc>
      </w:tr>
      <w:tr>
        <w:tc>
          <w:tcPr>
            <w:tcW w:type="dxa" w:w="2432"/>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Собственная выручка (реинвестирование)</w:t>
            </w:r>
          </w:p>
        </w:tc>
        <w:tc>
          <w:tcPr>
            <w:tcW w:type="dxa" w:w="1497"/>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 3-го года</w:t>
            </w:r>
          </w:p>
        </w:tc>
        <w:tc>
          <w:tcPr>
            <w:tcW w:type="dxa" w:w="542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Основной источник финансирования развития начиная с третьего года; не зависит от внешних решений</w:t>
            </w:r>
          </w:p>
        </w:tc>
      </w:tr>
    </w:tbl>
    <w:p>
      <w:pPr>
        <w:spacing w:after="200"/>
      </w:pPr>
    </w:p>
    <w:p>
      <w:pPr>
        <w:spacing w:after="0" w:line="360"/>
        <w:ind w:firstLine="708"/>
        <w:jc w:val="both"/>
      </w:pPr>
      <w:r>
        <w:rPr>
          <w:rFonts w:ascii="Times New Roman" w:cs="Times New Roman" w:eastAsia="Times New Roman" w:hAnsi="Times New Roman"/>
          <w:sz w:val="28"/>
          <w:szCs w:val="28"/>
        </w:rPr>
        <w:t xml:space="preserve">Базовый сценарий развития проекта не предполагает обязательного привлечения венчурных инвестиций: при их отсутствии темпы роста снижаются, а выход на положительный накопленный результат смещается с четвёртого на пятый год развития проекта.</w:t>
      </w:r>
    </w:p>
    <w:p>
      <w:pPr>
        <w:pStyle w:val="Heading1"/>
        <w:pageBreakBefore/>
        <w:spacing w:after="120" w:line="360"/>
        <w:jc w:val="center"/>
      </w:pPr>
      <w:r>
        <w:rPr>
          <w:rFonts w:ascii="Times New Roman" w:cs="Times New Roman" w:eastAsia="Times New Roman" w:hAnsi="Times New Roman"/>
          <w:b/>
          <w:bCs/>
          <w:sz w:val="28"/>
          <w:szCs w:val="28"/>
        </w:rPr>
        <w:t xml:space="preserve">ПРИЛОЖЕНИЕ А</w:t>
      </w:r>
    </w:p>
    <w:p>
      <w:pPr>
        <w:spacing w:after="200" w:line="360"/>
        <w:jc w:val="center"/>
      </w:pPr>
      <w:r>
        <w:rPr>
          <w:rFonts w:ascii="Times New Roman" w:cs="Times New Roman" w:eastAsia="Times New Roman" w:hAnsi="Times New Roman"/>
          <w:sz w:val="28"/>
          <w:szCs w:val="28"/>
        </w:rPr>
        <w:t xml:space="preserve">(справочное)</w:t>
      </w:r>
    </w:p>
    <w:p>
      <w:pPr>
        <w:spacing w:after="200" w:line="360"/>
        <w:jc w:val="center"/>
      </w:pPr>
      <w:r>
        <w:rPr>
          <w:rFonts w:ascii="Times New Roman" w:cs="Times New Roman" w:eastAsia="Times New Roman" w:hAnsi="Times New Roman"/>
          <w:b/>
          <w:bCs/>
          <w:sz w:val="28"/>
          <w:szCs w:val="28"/>
        </w:rPr>
        <w:t xml:space="preserve">Расчёт ёмкости рынка</w:t>
      </w:r>
    </w:p>
    <w:p>
      <w:pPr>
        <w:spacing w:after="0" w:line="360"/>
        <w:ind w:firstLine="708"/>
        <w:jc w:val="both"/>
      </w:pPr>
      <w:r>
        <w:rPr>
          <w:rFonts w:ascii="Times New Roman" w:cs="Times New Roman" w:eastAsia="Times New Roman" w:hAnsi="Times New Roman"/>
          <w:sz w:val="28"/>
          <w:szCs w:val="28"/>
        </w:rPr>
        <w:t xml:space="preserve">Расчёт выполнен «снизу вверх» — от числа организаций, потенциально заинтересованных в подписке, и средней стоимости подписки на рынке. Исходные данные и промежуточные значения приведены в таблице А.1.</w:t>
      </w:r>
    </w:p>
    <w:p>
      <w:pPr>
        <w:spacing w:after="80" w:before="200" w:line="360"/>
        <w:jc w:val="left"/>
      </w:pPr>
      <w:r>
        <w:rPr>
          <w:rFonts w:ascii="Times New Roman" w:cs="Times New Roman" w:eastAsia="Times New Roman" w:hAnsi="Times New Roman"/>
          <w:sz w:val="28"/>
          <w:szCs w:val="28"/>
        </w:rPr>
        <w:t xml:space="preserve">Таблица А.1 – Расчёт ёмкости рынка</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3555"/>
        <w:gridCol w:w="1684"/>
        <w:gridCol w:w="4116"/>
      </w:tblGrid>
      <w:tr>
        <w:trPr>
          <w:tblHeader/>
        </w:trPr>
        <w:tc>
          <w:tcPr>
            <w:tcW w:type="dxa" w:w="3555"/>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Параметр</w:t>
            </w:r>
          </w:p>
        </w:tc>
        <w:tc>
          <w:tcPr>
            <w:tcW w:type="dxa" w:w="1684"/>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Значение</w:t>
            </w:r>
          </w:p>
        </w:tc>
        <w:tc>
          <w:tcPr>
            <w:tcW w:type="dxa" w:w="4116"/>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Источник или основание</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Субъекты МСП — поставщики госкомпаний по 223-ФЗ, 2024 г.</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226 тыс.</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Данные Корпорации МСП по итогам 2024 года</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Оценка числа поставщиков по 44-ФЗ, не пересекающихся с предыдущей группой</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 174 тыс.</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Экспертная оценка на основе 3,58 млн контрактов по 44-ФЗ за 2024 год</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Общее число потенциальных пользователей</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 400 тыс.</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Сумма предыдущих строк</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Средняя стоимость подписки на рынке</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30 тыс. руб./год</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Диапазон цен конкурентов 21–60 тыс. руб./год без учёта тарифов сопровождения</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Общий объём рынка (TAM)</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12,0 млрд руб./год</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 тыс. × 30 тыс. руб.</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Доля организаций, участвующих в закупках регулярно и готовых к подписке</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30 %</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Экспертная оценка: регулярное участие предполагает не менее одной процедуры в квартал</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Доступный объём рынка (SAM)</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3,0 млрд руб./год</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120 тыс. × 25 тыс. руб. средней подписки в сегменте МСП</w:t>
            </w:r>
          </w:p>
        </w:tc>
      </w:tr>
      <w:tr>
        <w:tc>
          <w:tcPr>
            <w:tcW w:type="dxa" w:w="3555"/>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Достижимый объём рынка (SOM) к 5-му году</w:t>
            </w:r>
          </w:p>
        </w:tc>
        <w:tc>
          <w:tcPr>
            <w:tcW w:type="dxa" w:w="168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78 млн руб./год</w:t>
            </w:r>
          </w:p>
        </w:tc>
        <w:tc>
          <w:tcPr>
            <w:tcW w:type="dxa" w:w="4116"/>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2 500 платящих организаций × 31 тыс. руб. средней выручки</w:t>
            </w:r>
          </w:p>
        </w:tc>
      </w:tr>
    </w:tbl>
    <w:p>
      <w:pPr>
        <w:spacing w:after="200"/>
      </w:pPr>
    </w:p>
    <w:p>
      <w:pPr>
        <w:pStyle w:val="Heading1"/>
        <w:pageBreakBefore/>
        <w:spacing w:after="120" w:line="360"/>
        <w:jc w:val="center"/>
      </w:pPr>
      <w:r>
        <w:rPr>
          <w:rFonts w:ascii="Times New Roman" w:cs="Times New Roman" w:eastAsia="Times New Roman" w:hAnsi="Times New Roman"/>
          <w:b/>
          <w:bCs/>
          <w:sz w:val="28"/>
          <w:szCs w:val="28"/>
        </w:rPr>
        <w:t xml:space="preserve">ПРИЛОЖЕНИЕ Б</w:t>
      </w:r>
    </w:p>
    <w:p>
      <w:pPr>
        <w:spacing w:after="200" w:line="360"/>
        <w:jc w:val="center"/>
      </w:pPr>
      <w:r>
        <w:rPr>
          <w:rFonts w:ascii="Times New Roman" w:cs="Times New Roman" w:eastAsia="Times New Roman" w:hAnsi="Times New Roman"/>
          <w:sz w:val="28"/>
          <w:szCs w:val="28"/>
        </w:rPr>
        <w:t xml:space="preserve">(справочное)</w:t>
      </w:r>
    </w:p>
    <w:p>
      <w:pPr>
        <w:spacing w:after="200" w:line="360"/>
        <w:jc w:val="center"/>
      </w:pPr>
      <w:r>
        <w:rPr>
          <w:rFonts w:ascii="Times New Roman" w:cs="Times New Roman" w:eastAsia="Times New Roman" w:hAnsi="Times New Roman"/>
          <w:b/>
          <w:bCs/>
          <w:sz w:val="28"/>
          <w:szCs w:val="28"/>
        </w:rPr>
        <w:t xml:space="preserve">Допущения финансовой модели</w:t>
      </w:r>
    </w:p>
    <w:p>
      <w:pPr>
        <w:spacing w:after="80" w:before="200" w:line="360"/>
        <w:jc w:val="left"/>
      </w:pPr>
      <w:r>
        <w:rPr>
          <w:rFonts w:ascii="Times New Roman" w:cs="Times New Roman" w:eastAsia="Times New Roman" w:hAnsi="Times New Roman"/>
          <w:sz w:val="28"/>
          <w:szCs w:val="28"/>
        </w:rPr>
        <w:t xml:space="preserve">Таблица Б.1 – Допущения, принятые при построении финансовой модели</w:t>
      </w:r>
    </w:p>
    <w:tbl>
      <w:tblPr>
        <w:tblW w:type="dxa" w:w="9355"/>
        <w:tblBorders>
          <w:top w:val="single" w:color="999999" w:sz="4"/>
          <w:left w:val="single" w:color="999999" w:sz="4"/>
          <w:bottom w:val="single" w:color="999999" w:sz="4"/>
          <w:right w:val="single" w:color="999999" w:sz="4"/>
          <w:insideH w:val="single" w:color="BBBBBB" w:sz="4"/>
          <w:insideV w:val="single" w:color="BBBBBB" w:sz="4"/>
        </w:tblBorders>
      </w:tblPr>
      <w:tblGrid>
        <w:gridCol w:w="3181"/>
        <w:gridCol w:w="6174"/>
      </w:tblGrid>
      <w:tr>
        <w:trPr>
          <w:tblHeader/>
        </w:trPr>
        <w:tc>
          <w:tcPr>
            <w:tcW w:type="dxa" w:w="3181"/>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Допущение</w:t>
            </w:r>
          </w:p>
        </w:tc>
        <w:tc>
          <w:tcPr>
            <w:tcW w:type="dxa" w:w="6174"/>
            <w:shd w:fill="F2EDFE" w:val="clear"/>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Принятое значение</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Начало первого года развития проекта</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IV квартал 2026 года (после завершения договора о предоставлении гранта)</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Режим налогообложения</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Упрощённая система налогообложения, объект «доходы», ставка 6 %</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Средняя выручка на платящую организацию</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22 тыс. руб./год в 1-й год с ростом до 31 тыс. руб./год к 5-му году за счёт роста доли тарифов Team и API</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Конверсия из бесплатного тарифа в платный</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4–6 %</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Отток платящих клиентов (годовой)</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18 % в 1–2-й годы, 12 % начиная с 3-го года</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Стоимость привлечения платящего клиента</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не более 3,5 тыс. руб.</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Предельные затраты на обслуживание пользователя</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1,2–1,5 тыс. руб./год (вычислительные ресурсы и обращения к языковой модели)</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Численность команды</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3 человека в 1-й год, 6 человек во 2-й год, 12 человек к 5-му году</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Инфляционная индексация расходов</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учтена в темпах роста статьи «оплата труда»</w:t>
            </w:r>
          </w:p>
        </w:tc>
      </w:tr>
      <w:tr>
        <w:tc>
          <w:tcPr>
            <w:tcW w:type="dxa" w:w="3181"/>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Валютные риски</w:t>
            </w:r>
          </w:p>
        </w:tc>
        <w:tc>
          <w:tcPr>
            <w:tcW w:type="dxa" w:w="6174"/>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отсутствуют: инфраструктура и поставщики моделей — российские</w:t>
            </w:r>
          </w:p>
        </w:tc>
      </w:tr>
    </w:tbl>
    <w:p>
      <w:pPr>
        <w:spacing w:after="200"/>
      </w:pPr>
    </w:p>
    <w:p>
      <w:pPr>
        <w:spacing w:after="0" w:line="360"/>
        <w:ind w:firstLine="708"/>
        <w:jc w:val="both"/>
      </w:pPr>
      <w:r>
        <w:rPr>
          <w:rFonts w:ascii="Times New Roman" w:cs="Times New Roman" w:eastAsia="Times New Roman" w:hAnsi="Times New Roman"/>
          <w:sz w:val="28"/>
          <w:szCs w:val="28"/>
        </w:rPr>
        <w:t xml:space="preserve">Финансовая модель построена по консервативному сценарию: при расчёте не учитывались возможные доходы от партнёрских программ и от продажи отраслевых аналитических отчётов.</w:t>
      </w:r>
    </w:p>
    <w:sectPr>
      <w:footerReference w:type="default" r:id="rId7"/>
      <w:footerReference w:type="first" r:id="rId8"/>
      <w:pgSz w:w="11906" w:h="16838" w:orient="portrait"/>
      <w:pgMar w:top="1133" w:right="850" w:bottom="1133" w:left="17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231bc70353ad9211e70d5c8529d27c2a946d6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Бизнес-план проекта</dc:title>
  <dc:creator>Янышевская К. В.</dc:creator>
  <dc:description>Создание веб-сервиса умного поиска тендеров с помощью искусственного интеллекта</dc:description>
  <cp:lastModifiedBy>Un-named</cp:lastModifiedBy>
  <cp:revision>1</cp:revision>
  <dcterms:created xsi:type="dcterms:W3CDTF">2026-08-18T14:46:28.115Z</dcterms:created>
  <dcterms:modified xsi:type="dcterms:W3CDTF">2026-08-18T14:46:28.115Z</dcterms:modified>
</cp:coreProperties>
</file>

<file path=docProps/custom.xml><?xml version="1.0" encoding="utf-8"?>
<Properties xmlns="http://schemas.openxmlformats.org/officeDocument/2006/custom-properties" xmlns:vt="http://schemas.openxmlformats.org/officeDocument/2006/docPropsVTypes"/>
</file>