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РЕФЕРАТ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Отчёт 30 с., 8 рис., 12 табл., 13 источников, 3 прил.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ВЕБ-СЕРВИС, ПОИСК ТЕНДЕРОВ, ГОСУДАРСТВЕННЫЕ ЗАКУПКИ, 44-ФЗ, 223-ФЗ, ИСКУССТВЕННЫЙ ИНТЕЛЛЕКТ, БОЛЬШИЕ ЯЗЫКОВЫЕ МОДЕЛИ, RAG, ГИБРИДНЫЙ ПОИСК, СЕМАНТИЧЕСКИЙ ПОИСК, BM25, ЭМБЕДДИНГИ, ПРОТОТИП, ТЕСТИРОВАНИЕ, СТАРТАП-ПРОЕКТ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Объектом разработки является веб-сервис умного поиска тендеров с применением искусственного интеллекта. Цель работ отчётного этапа — создание работоспособного прототипа сервиса, обеспечивающего подбор закупок по 44-ФЗ и 223-ФЗ по запросу на естественном языке и разъяснение условий участия.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ходе выполнения Работ разработан прототип дизайна интерфейса, реализован прототип RAG-ассистента на основе гибридного поиска (BM25 и плотные векторные представления с объединением ранжирований методом Reciprocal Rank Fusion), разработаны прототипы frontend- и backend-модулей, выполнено тестирование работоспособности и создан сайт стартап-проекта.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Прототип подтвердил работоспособность предложенных решений: все 70 автоматических тестов пройдены, точность поиска на первой позиции составила 68 %, полнота выдачи в первых пяти позициях — 95 %, средний обратный ранг — 0,803, задержка поиска по 95-му процентилю — 92 мс. Механизм контроля ссылок на источники исключает формирование ответов, не подтверждённых карточками закупок.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Результаты работ применимы для дальнейшего развития проекта до промышленного решения и коммерциализации.</w:t>
      </w:r>
    </w:p>
    <w:p>
      <w:pPr>
        <w:pStyle w:val="Heading1"/>
        <w:pageBreakBefore/>
        <w:spacing w:after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СОДЕРЖАНИЕ</w:t>
      </w:r>
    </w:p>
    <w:p>
      <w:pPr>
        <w:tabs>
          <w:tab w:val="right" w:pos="9355" w:leader="dot"/>
        </w:tabs>
        <w:spacing w:line="300"/>
        <w:ind w:left="0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ТЕРМИНЫ И ОПРЕДЕЛЕНИЯ</w:t>
      </w:r>
      <w:r>
        <w:rPr>
          <w:rFonts w:ascii="Times New Roman" w:cs="Times New Roman" w:eastAsia="Times New Roman" w:hAnsi="Times New Roman"/>
          <w:sz w:val="26"/>
          <w:szCs w:val="26"/>
        </w:rPr>
        <w:tab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4</w:t>
      </w:r>
    </w:p>
    <w:p>
      <w:pPr>
        <w:tabs>
          <w:tab w:val="right" w:pos="9355" w:leader="dot"/>
        </w:tabs>
        <w:spacing w:line="300"/>
        <w:ind w:left="0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ПЕРЕЧЕНЬ СОКРАЩЕНИЙ И ОБОЗНАЧЕНИЙ</w:t>
      </w:r>
      <w:r>
        <w:rPr>
          <w:rFonts w:ascii="Times New Roman" w:cs="Times New Roman" w:eastAsia="Times New Roman" w:hAnsi="Times New Roman"/>
          <w:sz w:val="26"/>
          <w:szCs w:val="26"/>
        </w:rPr>
        <w:tab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5</w:t>
      </w:r>
    </w:p>
    <w:p>
      <w:pPr>
        <w:tabs>
          <w:tab w:val="right" w:pos="9355" w:leader="dot"/>
        </w:tabs>
        <w:spacing w:line="300"/>
        <w:ind w:left="0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ВВЕДЕНИЕ</w:t>
      </w:r>
      <w:r>
        <w:rPr>
          <w:rFonts w:ascii="Times New Roman" w:cs="Times New Roman" w:eastAsia="Times New Roman" w:hAnsi="Times New Roman"/>
          <w:sz w:val="26"/>
          <w:szCs w:val="26"/>
        </w:rPr>
        <w:tab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6</w:t>
      </w:r>
    </w:p>
    <w:p>
      <w:pPr>
        <w:tabs>
          <w:tab w:val="right" w:pos="9355" w:leader="dot"/>
        </w:tabs>
        <w:spacing w:line="300"/>
        <w:ind w:left="0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1 Разработка прототипа дизайна для веб-сервиса по поиску тендеров</w:t>
      </w:r>
      <w:r>
        <w:rPr>
          <w:rFonts w:ascii="Times New Roman" w:cs="Times New Roman" w:eastAsia="Times New Roman" w:hAnsi="Times New Roman"/>
          <w:sz w:val="26"/>
          <w:szCs w:val="26"/>
        </w:rPr>
        <w:tab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8</w:t>
      </w:r>
    </w:p>
    <w:p>
      <w:pPr>
        <w:tabs>
          <w:tab w:val="right" w:pos="9355" w:leader="dot"/>
        </w:tabs>
        <w:spacing w:line="300"/>
        <w:ind w:left="708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1.1 Постановка задачи и пользовательские сценарии</w:t>
      </w:r>
      <w:r>
        <w:rPr>
          <w:rFonts w:ascii="Times New Roman" w:cs="Times New Roman" w:eastAsia="Times New Roman" w:hAnsi="Times New Roman"/>
          <w:sz w:val="26"/>
          <w:szCs w:val="26"/>
        </w:rPr>
        <w:tab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8</w:t>
      </w:r>
    </w:p>
    <w:p>
      <w:pPr>
        <w:tabs>
          <w:tab w:val="right" w:pos="9355" w:leader="dot"/>
        </w:tabs>
        <w:spacing w:line="300"/>
        <w:ind w:left="708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1.2 Дизайн-система и структура интерфейса</w:t>
      </w:r>
      <w:r>
        <w:rPr>
          <w:rFonts w:ascii="Times New Roman" w:cs="Times New Roman" w:eastAsia="Times New Roman" w:hAnsi="Times New Roman"/>
          <w:sz w:val="26"/>
          <w:szCs w:val="26"/>
        </w:rPr>
        <w:tab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8</w:t>
      </w:r>
    </w:p>
    <w:p>
      <w:pPr>
        <w:tabs>
          <w:tab w:val="right" w:pos="9355" w:leader="dot"/>
        </w:tabs>
        <w:spacing w:line="300"/>
        <w:ind w:left="708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1.3 Экраны прототипа</w:t>
      </w:r>
      <w:r>
        <w:rPr>
          <w:rFonts w:ascii="Times New Roman" w:cs="Times New Roman" w:eastAsia="Times New Roman" w:hAnsi="Times New Roman"/>
          <w:sz w:val="26"/>
          <w:szCs w:val="26"/>
        </w:rPr>
        <w:tab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8</w:t>
      </w:r>
    </w:p>
    <w:p>
      <w:pPr>
        <w:tabs>
          <w:tab w:val="right" w:pos="9355" w:leader="dot"/>
        </w:tabs>
        <w:spacing w:line="300"/>
        <w:ind w:left="708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1.4 Состояния интерфейса и доступность</w:t>
      </w:r>
      <w:r>
        <w:rPr>
          <w:rFonts w:ascii="Times New Roman" w:cs="Times New Roman" w:eastAsia="Times New Roman" w:hAnsi="Times New Roman"/>
          <w:sz w:val="26"/>
          <w:szCs w:val="26"/>
        </w:rPr>
        <w:tab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11</w:t>
      </w:r>
    </w:p>
    <w:p>
      <w:pPr>
        <w:tabs>
          <w:tab w:val="right" w:pos="9355" w:leader="dot"/>
        </w:tabs>
        <w:spacing w:line="300"/>
        <w:ind w:left="708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1.5 Результат работы</w:t>
      </w:r>
      <w:r>
        <w:rPr>
          <w:rFonts w:ascii="Times New Roman" w:cs="Times New Roman" w:eastAsia="Times New Roman" w:hAnsi="Times New Roman"/>
          <w:sz w:val="26"/>
          <w:szCs w:val="26"/>
        </w:rPr>
        <w:tab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11</w:t>
      </w:r>
    </w:p>
    <w:p>
      <w:pPr>
        <w:tabs>
          <w:tab w:val="right" w:pos="9355" w:leader="dot"/>
        </w:tabs>
        <w:spacing w:line="300"/>
        <w:ind w:left="0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2 Разработка прототипа RAG-ассистента для веб-сервиса по поиску тендеров</w:t>
      </w:r>
      <w:r>
        <w:rPr>
          <w:rFonts w:ascii="Times New Roman" w:cs="Times New Roman" w:eastAsia="Times New Roman" w:hAnsi="Times New Roman"/>
          <w:sz w:val="26"/>
          <w:szCs w:val="26"/>
        </w:rPr>
        <w:tab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12</w:t>
      </w:r>
    </w:p>
    <w:p>
      <w:pPr>
        <w:tabs>
          <w:tab w:val="right" w:pos="9355" w:leader="dot"/>
        </w:tabs>
        <w:spacing w:line="300"/>
        <w:ind w:left="708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2.1 Архитектура конвейера обработки запроса</w:t>
      </w:r>
      <w:r>
        <w:rPr>
          <w:rFonts w:ascii="Times New Roman" w:cs="Times New Roman" w:eastAsia="Times New Roman" w:hAnsi="Times New Roman"/>
          <w:sz w:val="26"/>
          <w:szCs w:val="26"/>
        </w:rPr>
        <w:tab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12</w:t>
      </w:r>
    </w:p>
    <w:p>
      <w:pPr>
        <w:tabs>
          <w:tab w:val="right" w:pos="9355" w:leader="dot"/>
        </w:tabs>
        <w:spacing w:line="300"/>
        <w:ind w:left="708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2.2 Разбор запроса на естественном языке</w:t>
      </w:r>
      <w:r>
        <w:rPr>
          <w:rFonts w:ascii="Times New Roman" w:cs="Times New Roman" w:eastAsia="Times New Roman" w:hAnsi="Times New Roman"/>
          <w:sz w:val="26"/>
          <w:szCs w:val="26"/>
        </w:rPr>
        <w:tab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12</w:t>
      </w:r>
    </w:p>
    <w:p>
      <w:pPr>
        <w:tabs>
          <w:tab w:val="right" w:pos="9355" w:leader="dot"/>
        </w:tabs>
        <w:spacing w:line="300"/>
        <w:ind w:left="708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2.3 Индексация и гибридный поиск</w:t>
      </w:r>
      <w:r>
        <w:rPr>
          <w:rFonts w:ascii="Times New Roman" w:cs="Times New Roman" w:eastAsia="Times New Roman" w:hAnsi="Times New Roman"/>
          <w:sz w:val="26"/>
          <w:szCs w:val="26"/>
        </w:rPr>
        <w:tab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13</w:t>
      </w:r>
    </w:p>
    <w:p>
      <w:pPr>
        <w:tabs>
          <w:tab w:val="right" w:pos="9355" w:leader="dot"/>
        </w:tabs>
        <w:spacing w:line="300"/>
        <w:ind w:left="708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2.4 Формирование ответа и подключение языковых моделей</w:t>
      </w:r>
      <w:r>
        <w:rPr>
          <w:rFonts w:ascii="Times New Roman" w:cs="Times New Roman" w:eastAsia="Times New Roman" w:hAnsi="Times New Roman"/>
          <w:sz w:val="26"/>
          <w:szCs w:val="26"/>
        </w:rPr>
        <w:tab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13</w:t>
      </w:r>
    </w:p>
    <w:p>
      <w:pPr>
        <w:tabs>
          <w:tab w:val="right" w:pos="9355" w:leader="dot"/>
        </w:tabs>
        <w:spacing w:line="300"/>
        <w:ind w:left="708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2.5 Контроль достоверности ответа</w:t>
      </w:r>
      <w:r>
        <w:rPr>
          <w:rFonts w:ascii="Times New Roman" w:cs="Times New Roman" w:eastAsia="Times New Roman" w:hAnsi="Times New Roman"/>
          <w:sz w:val="26"/>
          <w:szCs w:val="26"/>
        </w:rPr>
        <w:tab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14</w:t>
      </w:r>
    </w:p>
    <w:p>
      <w:pPr>
        <w:tabs>
          <w:tab w:val="right" w:pos="9355" w:leader="dot"/>
        </w:tabs>
        <w:spacing w:line="300"/>
        <w:ind w:left="708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2.6 Результат работы</w:t>
      </w:r>
      <w:r>
        <w:rPr>
          <w:rFonts w:ascii="Times New Roman" w:cs="Times New Roman" w:eastAsia="Times New Roman" w:hAnsi="Times New Roman"/>
          <w:sz w:val="26"/>
          <w:szCs w:val="26"/>
        </w:rPr>
        <w:tab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15</w:t>
      </w:r>
    </w:p>
    <w:p>
      <w:pPr>
        <w:tabs>
          <w:tab w:val="right" w:pos="9355" w:leader="dot"/>
        </w:tabs>
        <w:spacing w:line="300"/>
        <w:ind w:left="0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3 Разработка прототипа frontend и backend модулей веб-сервиса</w:t>
      </w:r>
      <w:r>
        <w:rPr>
          <w:rFonts w:ascii="Times New Roman" w:cs="Times New Roman" w:eastAsia="Times New Roman" w:hAnsi="Times New Roman"/>
          <w:sz w:val="26"/>
          <w:szCs w:val="26"/>
        </w:rPr>
        <w:tab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16</w:t>
      </w:r>
    </w:p>
    <w:p>
      <w:pPr>
        <w:tabs>
          <w:tab w:val="right" w:pos="9355" w:leader="dot"/>
        </w:tabs>
        <w:spacing w:line="300"/>
        <w:ind w:left="708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3.1 Общая архитектура и технологический стек</w:t>
      </w:r>
      <w:r>
        <w:rPr>
          <w:rFonts w:ascii="Times New Roman" w:cs="Times New Roman" w:eastAsia="Times New Roman" w:hAnsi="Times New Roman"/>
          <w:sz w:val="26"/>
          <w:szCs w:val="26"/>
        </w:rPr>
        <w:tab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16</w:t>
      </w:r>
    </w:p>
    <w:p>
      <w:pPr>
        <w:tabs>
          <w:tab w:val="right" w:pos="9355" w:leader="dot"/>
        </w:tabs>
        <w:spacing w:line="300"/>
        <w:ind w:left="708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3.2 Backend-модуль</w:t>
      </w:r>
      <w:r>
        <w:rPr>
          <w:rFonts w:ascii="Times New Roman" w:cs="Times New Roman" w:eastAsia="Times New Roman" w:hAnsi="Times New Roman"/>
          <w:sz w:val="26"/>
          <w:szCs w:val="26"/>
        </w:rPr>
        <w:tab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16</w:t>
      </w:r>
    </w:p>
    <w:p>
      <w:pPr>
        <w:tabs>
          <w:tab w:val="right" w:pos="9355" w:leader="dot"/>
        </w:tabs>
        <w:spacing w:line="300"/>
        <w:ind w:left="708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3.3 Frontend-модуль</w:t>
      </w:r>
      <w:r>
        <w:rPr>
          <w:rFonts w:ascii="Times New Roman" w:cs="Times New Roman" w:eastAsia="Times New Roman" w:hAnsi="Times New Roman"/>
          <w:sz w:val="26"/>
          <w:szCs w:val="26"/>
        </w:rPr>
        <w:tab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17</w:t>
      </w:r>
    </w:p>
    <w:p>
      <w:pPr>
        <w:tabs>
          <w:tab w:val="right" w:pos="9355" w:leader="dot"/>
        </w:tabs>
        <w:spacing w:line="300"/>
        <w:ind w:left="708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3.4 Модель данных и источник закупок</w:t>
      </w:r>
      <w:r>
        <w:rPr>
          <w:rFonts w:ascii="Times New Roman" w:cs="Times New Roman" w:eastAsia="Times New Roman" w:hAnsi="Times New Roman"/>
          <w:sz w:val="26"/>
          <w:szCs w:val="26"/>
        </w:rPr>
        <w:tab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17</w:t>
      </w:r>
    </w:p>
    <w:p>
      <w:pPr>
        <w:tabs>
          <w:tab w:val="right" w:pos="9355" w:leader="dot"/>
        </w:tabs>
        <w:spacing w:line="300"/>
        <w:ind w:left="708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3.5 Результат работы</w:t>
      </w:r>
      <w:r>
        <w:rPr>
          <w:rFonts w:ascii="Times New Roman" w:cs="Times New Roman" w:eastAsia="Times New Roman" w:hAnsi="Times New Roman"/>
          <w:sz w:val="26"/>
          <w:szCs w:val="26"/>
        </w:rPr>
        <w:tab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18</w:t>
      </w:r>
    </w:p>
    <w:p>
      <w:pPr>
        <w:tabs>
          <w:tab w:val="right" w:pos="9355" w:leader="dot"/>
        </w:tabs>
        <w:spacing w:line="300"/>
        <w:ind w:left="0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4 Тестирование веб-сервиса на работоспособность</w:t>
      </w:r>
      <w:r>
        <w:rPr>
          <w:rFonts w:ascii="Times New Roman" w:cs="Times New Roman" w:eastAsia="Times New Roman" w:hAnsi="Times New Roman"/>
          <w:sz w:val="26"/>
          <w:szCs w:val="26"/>
        </w:rPr>
        <w:tab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19</w:t>
      </w:r>
    </w:p>
    <w:p>
      <w:pPr>
        <w:tabs>
          <w:tab w:val="right" w:pos="9355" w:leader="dot"/>
        </w:tabs>
        <w:spacing w:line="300"/>
        <w:ind w:left="708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4.1 Методика тестирования</w:t>
      </w:r>
      <w:r>
        <w:rPr>
          <w:rFonts w:ascii="Times New Roman" w:cs="Times New Roman" w:eastAsia="Times New Roman" w:hAnsi="Times New Roman"/>
          <w:sz w:val="26"/>
          <w:szCs w:val="26"/>
        </w:rPr>
        <w:tab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19</w:t>
      </w:r>
    </w:p>
    <w:p>
      <w:pPr>
        <w:tabs>
          <w:tab w:val="right" w:pos="9355" w:leader="dot"/>
        </w:tabs>
        <w:spacing w:line="300"/>
        <w:ind w:left="708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4.2 Функциональное и интеграционное тестирование</w:t>
      </w:r>
      <w:r>
        <w:rPr>
          <w:rFonts w:ascii="Times New Roman" w:cs="Times New Roman" w:eastAsia="Times New Roman" w:hAnsi="Times New Roman"/>
          <w:sz w:val="26"/>
          <w:szCs w:val="26"/>
        </w:rPr>
        <w:tab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19</w:t>
      </w:r>
    </w:p>
    <w:p>
      <w:pPr>
        <w:tabs>
          <w:tab w:val="right" w:pos="9355" w:leader="dot"/>
        </w:tabs>
        <w:spacing w:line="300"/>
        <w:ind w:left="708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4.3 Оценка качества поиска</w:t>
      </w:r>
      <w:r>
        <w:rPr>
          <w:rFonts w:ascii="Times New Roman" w:cs="Times New Roman" w:eastAsia="Times New Roman" w:hAnsi="Times New Roman"/>
          <w:sz w:val="26"/>
          <w:szCs w:val="26"/>
        </w:rPr>
        <w:tab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20</w:t>
      </w:r>
    </w:p>
    <w:p>
      <w:pPr>
        <w:tabs>
          <w:tab w:val="right" w:pos="9355" w:leader="dot"/>
        </w:tabs>
        <w:spacing w:line="300"/>
        <w:ind w:left="708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4.4 Проверка производительности</w:t>
      </w:r>
      <w:r>
        <w:rPr>
          <w:rFonts w:ascii="Times New Roman" w:cs="Times New Roman" w:eastAsia="Times New Roman" w:hAnsi="Times New Roman"/>
          <w:sz w:val="26"/>
          <w:szCs w:val="26"/>
        </w:rPr>
        <w:tab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20</w:t>
      </w:r>
    </w:p>
    <w:p>
      <w:pPr>
        <w:tabs>
          <w:tab w:val="right" w:pos="9355" w:leader="dot"/>
        </w:tabs>
        <w:spacing w:line="300"/>
        <w:ind w:left="708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4.5 Проверка ассистента и режимов деградации</w:t>
      </w:r>
      <w:r>
        <w:rPr>
          <w:rFonts w:ascii="Times New Roman" w:cs="Times New Roman" w:eastAsia="Times New Roman" w:hAnsi="Times New Roman"/>
          <w:sz w:val="26"/>
          <w:szCs w:val="26"/>
        </w:rPr>
        <w:tab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21</w:t>
      </w:r>
    </w:p>
    <w:p>
      <w:pPr>
        <w:tabs>
          <w:tab w:val="right" w:pos="9355" w:leader="dot"/>
        </w:tabs>
        <w:spacing w:line="300"/>
        <w:ind w:left="708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4.6 Выявленные и устранённые дефекты</w:t>
      </w:r>
      <w:r>
        <w:rPr>
          <w:rFonts w:ascii="Times New Roman" w:cs="Times New Roman" w:eastAsia="Times New Roman" w:hAnsi="Times New Roman"/>
          <w:sz w:val="26"/>
          <w:szCs w:val="26"/>
        </w:rPr>
        <w:tab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21</w:t>
      </w:r>
    </w:p>
    <w:p>
      <w:pPr>
        <w:tabs>
          <w:tab w:val="right" w:pos="9355" w:leader="dot"/>
        </w:tabs>
        <w:spacing w:line="300"/>
        <w:ind w:left="708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4.7 Результат работы</w:t>
      </w:r>
      <w:r>
        <w:rPr>
          <w:rFonts w:ascii="Times New Roman" w:cs="Times New Roman" w:eastAsia="Times New Roman" w:hAnsi="Times New Roman"/>
          <w:sz w:val="26"/>
          <w:szCs w:val="26"/>
        </w:rPr>
        <w:tab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22</w:t>
      </w:r>
    </w:p>
    <w:p>
      <w:pPr>
        <w:tabs>
          <w:tab w:val="right" w:pos="9355" w:leader="dot"/>
        </w:tabs>
        <w:spacing w:line="300"/>
        <w:ind w:left="0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5 Создание сайта стартап-проекта</w:t>
      </w:r>
      <w:r>
        <w:rPr>
          <w:rFonts w:ascii="Times New Roman" w:cs="Times New Roman" w:eastAsia="Times New Roman" w:hAnsi="Times New Roman"/>
          <w:sz w:val="26"/>
          <w:szCs w:val="26"/>
        </w:rPr>
        <w:tab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23</w:t>
      </w:r>
    </w:p>
    <w:p>
      <w:pPr>
        <w:tabs>
          <w:tab w:val="right" w:pos="9355" w:leader="dot"/>
        </w:tabs>
        <w:spacing w:line="300"/>
        <w:ind w:left="708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5.1 Требования к сайту и принятые решения</w:t>
      </w:r>
      <w:r>
        <w:rPr>
          <w:rFonts w:ascii="Times New Roman" w:cs="Times New Roman" w:eastAsia="Times New Roman" w:hAnsi="Times New Roman"/>
          <w:sz w:val="26"/>
          <w:szCs w:val="26"/>
        </w:rPr>
        <w:tab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23</w:t>
      </w:r>
    </w:p>
    <w:p>
      <w:pPr>
        <w:tabs>
          <w:tab w:val="right" w:pos="9355" w:leader="dot"/>
        </w:tabs>
        <w:spacing w:line="300"/>
        <w:ind w:left="708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5.2 Структура и содержание сайта</w:t>
      </w:r>
      <w:r>
        <w:rPr>
          <w:rFonts w:ascii="Times New Roman" w:cs="Times New Roman" w:eastAsia="Times New Roman" w:hAnsi="Times New Roman"/>
          <w:sz w:val="26"/>
          <w:szCs w:val="26"/>
        </w:rPr>
        <w:tab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23</w:t>
      </w:r>
    </w:p>
    <w:p>
      <w:pPr>
        <w:tabs>
          <w:tab w:val="right" w:pos="9355" w:leader="dot"/>
        </w:tabs>
        <w:spacing w:line="300"/>
        <w:ind w:left="708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5.3 Размещение и сопровождение сайта</w:t>
      </w:r>
      <w:r>
        <w:rPr>
          <w:rFonts w:ascii="Times New Roman" w:cs="Times New Roman" w:eastAsia="Times New Roman" w:hAnsi="Times New Roman"/>
          <w:sz w:val="26"/>
          <w:szCs w:val="26"/>
        </w:rPr>
        <w:tab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25</w:t>
      </w:r>
    </w:p>
    <w:p>
      <w:pPr>
        <w:tabs>
          <w:tab w:val="right" w:pos="9355" w:leader="dot"/>
        </w:tabs>
        <w:spacing w:line="300"/>
        <w:ind w:left="708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5.4 Результат работы</w:t>
      </w:r>
      <w:r>
        <w:rPr>
          <w:rFonts w:ascii="Times New Roman" w:cs="Times New Roman" w:eastAsia="Times New Roman" w:hAnsi="Times New Roman"/>
          <w:sz w:val="26"/>
          <w:szCs w:val="26"/>
        </w:rPr>
        <w:tab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25</w:t>
      </w:r>
    </w:p>
    <w:p>
      <w:pPr>
        <w:tabs>
          <w:tab w:val="right" w:pos="9355" w:leader="dot"/>
        </w:tabs>
        <w:spacing w:line="300"/>
        <w:ind w:left="0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ЗАКЛЮЧЕНИЕ</w:t>
      </w:r>
      <w:r>
        <w:rPr>
          <w:rFonts w:ascii="Times New Roman" w:cs="Times New Roman" w:eastAsia="Times New Roman" w:hAnsi="Times New Roman"/>
          <w:sz w:val="26"/>
          <w:szCs w:val="26"/>
        </w:rPr>
        <w:tab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26</w:t>
      </w:r>
    </w:p>
    <w:p>
      <w:pPr>
        <w:tabs>
          <w:tab w:val="right" w:pos="9355" w:leader="dot"/>
        </w:tabs>
        <w:spacing w:line="300"/>
        <w:ind w:left="0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СПИСОК ИСПОЛЬЗОВАННЫХ ИСТОЧНИКОВ</w:t>
      </w:r>
      <w:r>
        <w:rPr>
          <w:rFonts w:ascii="Times New Roman" w:cs="Times New Roman" w:eastAsia="Times New Roman" w:hAnsi="Times New Roman"/>
          <w:sz w:val="26"/>
          <w:szCs w:val="26"/>
        </w:rPr>
        <w:tab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27</w:t>
      </w:r>
    </w:p>
    <w:p>
      <w:pPr>
        <w:tabs>
          <w:tab w:val="right" w:pos="9355" w:leader="dot"/>
        </w:tabs>
        <w:spacing w:line="300"/>
        <w:ind w:left="0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ПРИЛОЖЕНИЕ А. Структура репозитория проекта</w:t>
      </w:r>
      <w:r>
        <w:rPr>
          <w:rFonts w:ascii="Times New Roman" w:cs="Times New Roman" w:eastAsia="Times New Roman" w:hAnsi="Times New Roman"/>
          <w:sz w:val="26"/>
          <w:szCs w:val="26"/>
        </w:rPr>
        <w:tab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28</w:t>
      </w:r>
    </w:p>
    <w:p>
      <w:pPr>
        <w:tabs>
          <w:tab w:val="right" w:pos="9355" w:leader="dot"/>
        </w:tabs>
        <w:spacing w:line="300"/>
        <w:ind w:left="0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ПРИЛОЖЕНИЕ Б. Перечень методов программного интерфейса</w:t>
      </w:r>
      <w:r>
        <w:rPr>
          <w:rFonts w:ascii="Times New Roman" w:cs="Times New Roman" w:eastAsia="Times New Roman" w:hAnsi="Times New Roman"/>
          <w:sz w:val="26"/>
          <w:szCs w:val="26"/>
        </w:rPr>
        <w:tab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29</w:t>
      </w:r>
    </w:p>
    <w:p>
      <w:pPr>
        <w:tabs>
          <w:tab w:val="right" w:pos="9355" w:leader="dot"/>
        </w:tabs>
        <w:spacing w:line="300"/>
        <w:ind w:left="0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ПРИЛОЖЕНИЕ В. Состав набора автоматических тестов</w:t>
      </w:r>
      <w:r>
        <w:rPr>
          <w:rFonts w:ascii="Times New Roman" w:cs="Times New Roman" w:eastAsia="Times New Roman" w:hAnsi="Times New Roman"/>
          <w:sz w:val="26"/>
          <w:szCs w:val="26"/>
        </w:rPr>
        <w:tab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30</w:t>
      </w:r>
    </w:p>
    <w:p>
      <w:pPr>
        <w:pStyle w:val="Heading1"/>
        <w:pageBreakBefore/>
        <w:spacing w:after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ТЕРМИНЫ И ОПРЕДЕЛЕНИЯ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настоящем отчёте применены следующие термины с соответствующими определениями: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тендер (закупка):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Конкурентная процедура выбора поставщика товаров, работ или услуг, проводимая заказчиком в соответствии с установленными законом правилами.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извещение о закупке: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Документ, публикуемый заказчиком в единой информационной системе и содержащий сведения об объекте закупки, требованиях к участникам и сроках подачи заявок.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начальная (максимальная) цена контракта: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Предельная цена, по которой заказчик готов заключить контракт по результатам закупочной процедуры.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релевантность: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Мера соответствия найденного документа информационной потребности пользователя.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эмбеддинг (векторное представление):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Числовой вектор фиксированной размерности, отражающий смысловое содержание текста и позволяющий сравнивать тексты по близости в векторном пространстве.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чанк: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Смысловой фрагмент документа, являющийся единицей индексации и цитирования.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генерация, дополненная поиском: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Архитектура, при которой языковая модель формирует ответ на основе фрагментов, предварительно найденных поисковой подсистемой во внешней базе знаний.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галлюцинация языковой модели: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Утверждение, сформированное моделью и не подтверждённое источниками, переданными ей в контексте.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прототип: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Действующая упрощённая реализация продукта, предназначенная для проверки технических и продуктовых гипотез.</w:t>
      </w:r>
    </w:p>
    <w:p>
      <w:pPr>
        <w:pStyle w:val="Heading1"/>
        <w:pageBreakBefore/>
        <w:spacing w:after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ПЕРЕЧЕНЬ СОКРАЩЕНИЙ И ОБОЗНАЧЕНИЙ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настоящем отчёте применены следующие сокращения и обозначения: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ЕИС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единая информационная система в сфере закупок;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ИИ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искусственный интеллект;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ИС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информационная система;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НМЦК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начальная (максимальная) цена контракта;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ОКПД2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общероссийский классификатор продукции по видам экономической деятельности;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программное обеспечение;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РНП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реестр недобросовестных поставщиков;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СМП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субъекты малого предпринимательства;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ФЗ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федеральный закон;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API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программный интерфейс приложения (application programming interface);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BM25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функция ранжирования Okapi BM25;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LLM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большая языковая модель (large language model);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MRR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средний обратный ранг (mean reciprocal rank);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RAG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генерация, дополненная поиском (retrieval-augmented generation);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RRF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слияние ранжирований по обратным рангам (reciprocal rank fusion);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TRL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уровень готовности технологии (technology readiness level);</w:t>
      </w:r>
    </w:p>
    <w:p>
      <w:pPr>
        <w:pStyle w:val="Heading1"/>
        <w:pageBreakBefore/>
        <w:spacing w:after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ВВЕДЕНИЕ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Рынок государственных и корпоративных закупок Российской Федерации является одним из крупнейших каналов сбыта для предприятий малого и среднего предпринимательства. Вместе с тем инструменты поиска закупок, доступные на существующих площадках, рассчитаны на подготовленного пользователя: они требуют знания точной терминологии заказчика, кодов ОКПД2 и структуры фильтров. Формулировки предмета закупки, используемые заказчиками, систематически расходятся с тем, как поставщик описывает собственную продукцию, вследствие чего часть подходящих закупок не обнаруживается при поиске по ключевым словам.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Дополнительная трудность состоит в том, что решение об участии требует изучения извещения и приложений к нему: требований к участникам, необходимых лицензий, размеров обеспечения, сроков поставки. Совокупные затраты времени на мониторинг и первичный отбор закупок для предприятия без выделенного тендерного подразделения составляют несколько часов в неделю.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Целью развития проекта является создание веб-сервиса умного поиска тендеров, который принимает запрос на естественном языке, самостоятельно распознаёт условия отбора, находит релевантные закупки и разъясняет условия участия, подтверждая каждое утверждение ссылкой на первоисточник.</w:t>
      </w:r>
    </w:p>
    <w:p>
      <w:pPr>
        <w:spacing w:after="6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достижения указанной цели на отчётном этапе решались следующие задачи:</w:t>
      </w:r>
    </w:p>
    <w:p>
      <w:pPr>
        <w:spacing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разработка прототипа дизайна веб-сервиса, определяющего пользовательские сценарии и структуру интерфейса;</w:t>
      </w:r>
    </w:p>
    <w:p>
      <w:pPr>
        <w:spacing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разработка прототипа ассистента на базе технологии генерации, дополненной поиском, обеспечивающего понимание запроса на естественном языке и формирование ответов со ссылками на источники;</w:t>
      </w:r>
    </w:p>
    <w:p>
      <w:pPr>
        <w:spacing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разработка прототипов frontend- и backend-модулей, реализующих поиск, работу с карточками закупок и взаимодействие с ассистентом;</w:t>
      </w:r>
    </w:p>
    <w:p>
      <w:pPr>
        <w:spacing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тестирование веб-сервиса на работоспособность с количественной оценкой качества поиска и производительности;</w:t>
      </w:r>
    </w:p>
    <w:p>
      <w:pPr>
        <w:spacing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создание сайта стартап-проекта.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Задачи соответствуют работам календарного плана выполнения Работ; наименования разделов основной части настоящего отчёта совпадают с наименованиями работ. Соответствие работ и полученных результатов приведено в таблице 1.</w:t>
      </w:r>
    </w:p>
    <w:p>
      <w:pPr>
        <w:spacing w:after="80" w:before="20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1 – Соответствие работ календарного плана и полученных результатов</w:t>
      </w:r>
    </w:p>
    <w:tbl>
      <w:tblPr>
        <w:tblW w:type="dxa" w:w="9355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BBBBBB" w:sz="4"/>
          <w:insideV w:val="single" w:color="BBBBBB" w:sz="4"/>
        </w:tblBorders>
      </w:tblPr>
      <w:tblGrid>
        <w:gridCol w:w="3929"/>
        <w:gridCol w:w="5426"/>
      </w:tblGrid>
      <w:tr>
        <w:trPr>
          <w:tblHeader/>
        </w:trPr>
        <w:tc>
          <w:tcPr>
            <w:tcW w:type="dxa" w:w="3929"/>
            <w:shd w:fill="F2ED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Работа</w:t>
            </w:r>
          </w:p>
        </w:tc>
        <w:tc>
          <w:tcPr>
            <w:tcW w:type="dxa" w:w="5426"/>
            <w:shd w:fill="F2ED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Полученный результат</w:t>
            </w:r>
          </w:p>
        </w:tc>
      </w:tr>
      <w:tr>
        <w:tc>
          <w:tcPr>
            <w:tcW w:type="dxa" w:w="39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1. Разработка прототипа дизайна для веб-сервиса по поиску тендеров</w:t>
            </w:r>
          </w:p>
        </w:tc>
        <w:tc>
          <w:tcPr>
            <w:tcW w:type="dxa" w:w="5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Действующий прототип интерфейса: экраны поиска, карточки закупки, диалога с ассистентом и аналитики; описание дизайн-системы</w:t>
            </w:r>
          </w:p>
        </w:tc>
      </w:tr>
      <w:tr>
        <w:tc>
          <w:tcPr>
            <w:tcW w:type="dxa" w:w="39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2. Разработка прототипа RAG-ассистента для веб-сервиса по поиску тендеров</w:t>
            </w:r>
          </w:p>
        </w:tc>
        <w:tc>
          <w:tcPr>
            <w:tcW w:type="dxa" w:w="5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Программный модуль ассистента: разбор запроса, гибридный поиск, генерация ответа со ссылками, контроль достоверности</w:t>
            </w:r>
          </w:p>
        </w:tc>
      </w:tr>
      <w:tr>
        <w:tc>
          <w:tcPr>
            <w:tcW w:type="dxa" w:w="39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3. Разработка прототипа frontend и backend модулей веб-сервиса</w:t>
            </w:r>
          </w:p>
        </w:tc>
        <w:tc>
          <w:tcPr>
            <w:tcW w:type="dxa" w:w="5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Backend на FastAPI (7 методов API) и одностраничное frontend-приложение; корпус из 480 карточек закупок; адаптер источника данных ЕИС</w:t>
            </w:r>
          </w:p>
        </w:tc>
      </w:tr>
      <w:tr>
        <w:tc>
          <w:tcPr>
            <w:tcW w:type="dxa" w:w="39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4. Тестирование веб-сервиса на работоспособность</w:t>
            </w:r>
          </w:p>
        </w:tc>
        <w:tc>
          <w:tcPr>
            <w:tcW w:type="dxa" w:w="5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Набор из 70 автоматических тестов, методика и отчёт о тестировании с количественными метриками качества поиска и производительности</w:t>
            </w:r>
          </w:p>
        </w:tc>
      </w:tr>
      <w:tr>
        <w:tc>
          <w:tcPr>
            <w:tcW w:type="dxa" w:w="39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5. Создание сайта стартап-проекта</w:t>
            </w:r>
          </w:p>
        </w:tc>
        <w:tc>
          <w:tcPr>
            <w:tcW w:type="dxa" w:w="5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Опубликованный сайт стартап-проекта с описанием продукта, рынка, дорожной карты, команды и сведений о поддержке</w:t>
            </w:r>
          </w:p>
        </w:tc>
      </w:tr>
    </w:tbl>
    <w:p>
      <w:pPr>
        <w:spacing w:after="200"/>
      </w:pPr>
    </w:p>
    <w:p>
      <w:pPr>
        <w:pStyle w:val="Heading1"/>
        <w:pageBreakBefore/>
        <w:spacing w:after="20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 Разработка прототипа дизайна для веб-сервиса по поиску тендеров</w:t>
      </w:r>
    </w:p>
    <w:p>
      <w:pPr>
        <w:pStyle w:val="Heading2"/>
        <w:spacing w:after="120" w:before="20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1.1 Постановка задачи и пользовательские сценарии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Проектирование интерфейса выполнялось исходя из принципа: пользователь не должен владеть терминологией сферы закупок, чтобы начать работу с сервисом. Поле поиска принимает произвольную формулировку, а сервис отображает результат её распознавания, что обеспечивает контролируемость и предсказуемость выдачи.</w:t>
      </w:r>
    </w:p>
    <w:p>
      <w:pPr>
        <w:spacing w:after="6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Выделены четыре основных пользовательских сценария:</w:t>
      </w:r>
    </w:p>
    <w:p>
      <w:pPr>
        <w:spacing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поиск закупок по профилю деятельности поставщика — один запрос обычными словами и получение релевантной выдачи;</w:t>
      </w:r>
    </w:p>
    <w:p>
      <w:pPr>
        <w:spacing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оценка применимости конкретной закупки — получение сведений о требованиях и сроках без обращения к документации на площадке;</w:t>
      </w:r>
    </w:p>
    <w:p>
      <w:pPr>
        <w:spacing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контроль сроков подачи заявок — отображение статуса и остатка времени непосредственно в карточке результата;</w:t>
      </w:r>
    </w:p>
    <w:p>
      <w:pPr>
        <w:spacing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оценка ниши — распределение закупок по категориям, регионам и объёму начальных цен контрактов.</w:t>
      </w:r>
    </w:p>
    <w:p>
      <w:pPr>
        <w:pStyle w:val="Heading2"/>
        <w:spacing w:after="120" w:before="20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1.2 Дизайн-система и структура интерфейса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Разработана дизайн-система, задающая палитру, типографику, сетку и параметры элементов управления. Палитра построена на нейтральном светлом фоне и акцентном фиолетовом цвете; контраст основного текста к фону составляет 15,9:1, вторичного — 4,9:1, что соответствует уровню AA рекомендаций по доступности. Базовый кегль текста — 15 px, межстрочный интервал — 1,55; скругления карточек — 14 px.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Основной экран построен по трёхколоночной сетке: панель фильтров, лента результатов и панель ассистента. Предусмотрены три контрольные точки адаптивной вёрстки: при ширине окна менее 1180 px скрывается панель ассистента, менее 900 px — перестраиваются панели аналитики, менее 820 px — интерфейс переходит к одноколоночной компоновке.</w:t>
      </w:r>
    </w:p>
    <w:p>
      <w:pPr>
        <w:pStyle w:val="Heading2"/>
        <w:spacing w:after="120" w:before="20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1.3 Экраны прототипа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Состав экранов прототипа и их назначение приведены в таблице 2.</w:t>
      </w:r>
    </w:p>
    <w:p>
      <w:pPr>
        <w:spacing w:after="80" w:before="20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2 – Состав экранов прототипа</w:t>
      </w:r>
    </w:p>
    <w:tbl>
      <w:tblPr>
        <w:tblW w:type="dxa" w:w="9355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BBBBBB" w:sz="4"/>
          <w:insideV w:val="single" w:color="BBBBBB" w:sz="4"/>
        </w:tblBorders>
      </w:tblPr>
      <w:tblGrid>
        <w:gridCol w:w="1684"/>
        <w:gridCol w:w="2807"/>
        <w:gridCol w:w="4865"/>
      </w:tblGrid>
      <w:tr>
        <w:trPr>
          <w:tblHeader/>
        </w:trPr>
        <w:tc>
          <w:tcPr>
            <w:tcW w:type="dxa" w:w="1684"/>
            <w:shd w:fill="F2ED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Экран</w:t>
            </w:r>
          </w:p>
        </w:tc>
        <w:tc>
          <w:tcPr>
            <w:tcW w:type="dxa" w:w="2807"/>
            <w:shd w:fill="F2ED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Назначение</w:t>
            </w:r>
          </w:p>
        </w:tc>
        <w:tc>
          <w:tcPr>
            <w:tcW w:type="dxa" w:w="4865"/>
            <w:shd w:fill="F2ED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Ключевые элементы</w:t>
            </w:r>
          </w:p>
        </w:tc>
      </w:tr>
      <w:tr>
        <w:tc>
          <w:tcPr>
            <w:tcW w:type="dxa" w:w="16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Поиск</w:t>
            </w:r>
          </w:p>
        </w:tc>
        <w:tc>
          <w:tcPr>
            <w:tcW w:type="dxa" w:w="28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Основной рабочий экран</w:t>
            </w:r>
          </w:p>
        </w:tc>
        <w:tc>
          <w:tcPr>
            <w:tcW w:type="dxa" w:w="48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Строка запроса, строка распознанных условий, панель фильтров, лента результатов, панель ассистента</w:t>
            </w:r>
          </w:p>
        </w:tc>
      </w:tr>
      <w:tr>
        <w:tc>
          <w:tcPr>
            <w:tcW w:type="dxa" w:w="16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Карточка закупки</w:t>
            </w:r>
          </w:p>
        </w:tc>
        <w:tc>
          <w:tcPr>
            <w:tcW w:type="dxa" w:w="28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Принятие решения об участии</w:t>
            </w:r>
          </w:p>
        </w:tc>
        <w:tc>
          <w:tcPr>
            <w:tcW w:type="dxa" w:w="48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Реквизиты извещения, требования к участникам, сроки, преференции, похожие закупки</w:t>
            </w:r>
          </w:p>
        </w:tc>
      </w:tr>
      <w:tr>
        <w:tc>
          <w:tcPr>
            <w:tcW w:type="dxa" w:w="16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Аналитика</w:t>
            </w:r>
          </w:p>
        </w:tc>
        <w:tc>
          <w:tcPr>
            <w:tcW w:type="dxa" w:w="28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Оценка рынка и ниши</w:t>
            </w:r>
          </w:p>
        </w:tc>
        <w:tc>
          <w:tcPr>
            <w:tcW w:type="dxa" w:w="48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Пять ключевых показателей, распределения по категориям, регионам и законам, список закупок с ближайшими дедлайнами</w:t>
            </w:r>
          </w:p>
        </w:tc>
      </w:tr>
      <w:tr>
        <w:tc>
          <w:tcPr>
            <w:tcW w:type="dxa" w:w="16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 сервисе</w:t>
            </w:r>
          </w:p>
        </w:tc>
        <w:tc>
          <w:tcPr>
            <w:tcW w:type="dxa" w:w="28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Демонстрация решения</w:t>
            </w:r>
          </w:p>
        </w:tc>
        <w:tc>
          <w:tcPr>
            <w:tcW w:type="dxa" w:w="48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Описание конвейера обработки запроса и технологического стека</w:t>
            </w:r>
          </w:p>
        </w:tc>
      </w:tr>
    </w:tbl>
    <w:p>
      <w:pPr>
        <w:spacing w:after="200"/>
      </w:pP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Главный экран прототипа в момент обработки запроса «разработка информационной системы в Москве до 20 млн по 44-ФЗ» приведён на рисунке 1. Под строкой поиска отображаются распознанные условия отбора, а под каждым результатом — причины его включения в подборку.</w:t>
      </w:r>
    </w:p>
    <w:p>
      <w:pPr>
        <w:spacing w:after="100" w:before="200" w:line="240" w:lineRule="auto"/>
        <w:jc w:val="center"/>
      </w:pPr>
      <w:r>
        <w:drawing>
          <wp:inline distT="0" distB="0" distL="0" distR="0">
            <wp:extent cx="5905500" cy="3609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 – Главный экран прототипа веб-сервиса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Карточка закупки, открываемая по нажатию на результат поиска, приведена на рисунке 2. Карточка содержит полные реквизиты извещения, перечень требований к участникам, сведения об обеспечении и сроках, а также переход к диалогу с ассистентом по данной закупке.</w:t>
      </w:r>
    </w:p>
    <w:p>
      <w:pPr>
        <w:spacing w:after="100" w:before="200" w:line="240" w:lineRule="auto"/>
        <w:jc w:val="center"/>
      </w:pPr>
      <w:r>
        <w:drawing>
          <wp:inline distT="0" distB="0" distL="0" distR="0">
            <wp:extent cx="3333750" cy="5162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516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2 – Карточка закупки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Экран аналитики (рисунок 3) отображает агрегированные показатели по корпусу закупок. Для сравнения категорий и регионов применены горизонтальные полосы, поскольку сравнение длин воспринимается точнее, чем сравнение секторов круговой диаграммы.</w:t>
      </w:r>
    </w:p>
    <w:p>
      <w:pPr>
        <w:spacing w:after="100" w:before="200" w:line="240" w:lineRule="auto"/>
        <w:jc w:val="center"/>
      </w:pPr>
      <w:r>
        <w:drawing>
          <wp:inline distT="0" distB="0" distL="0" distR="0">
            <wp:extent cx="5905500" cy="3609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3 – Экран аналитики</w:t>
      </w:r>
    </w:p>
    <w:p>
      <w:pPr>
        <w:pStyle w:val="Heading2"/>
        <w:spacing w:after="120" w:before="20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1.4 Состояния интерфейса и доступность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Проработаны состояния интерфейса, возникающие при работе с сетевым сервисом: загрузка выдачи отображается скелетонами карточек, пустая выдача сопровождается подсказкой о том, какое условие следует ослабить, формирование ответа ассистента — индикатором набора текста. Отдельно предусмотрен индикатор режима работы, показывающий источник данных, что исключает неоднозначность при демонстрации автономной версии прототипа.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Все интерактивные элементы реализованы нативными элементами управления, что обеспечивает работу клавиатурной навигации и программ экранного доступа; модальное окно закрывается клавишей Esc и нажатием на подложку.</w:t>
      </w:r>
    </w:p>
    <w:p>
      <w:pPr>
        <w:pStyle w:val="Heading2"/>
        <w:spacing w:after="120" w:before="20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1.5 Результат работы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Работа выполнена в полном объёме. Получен действующий прототип дизайна веб-сервиса, включающий четыре экрана и описанную дизайн-систему. Прототип реализован без применения сборщиков и внешних библиотек, что обеспечивает его запуск одним файлом и исключает расхождение между макетом и реализацией.</w:t>
      </w:r>
    </w:p>
    <w:p>
      <w:pPr>
        <w:pStyle w:val="Heading1"/>
        <w:pageBreakBefore/>
        <w:spacing w:after="20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 Разработка прототипа RAG-ассистента для веб-сервиса по поиску тендеров</w:t>
      </w:r>
    </w:p>
    <w:p>
      <w:pPr>
        <w:pStyle w:val="Heading2"/>
        <w:spacing w:after="120" w:before="20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 Архитектура конвейера обработки запроса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Ассистент реализован по архитектуре генерации, дополненной поиском: языковая модель формирует ответ исключительно на основе фрагментов карточек закупок, предварительно найденных поисковой подсистемой. Такой подход исключает использование сведений, отсутствующих в базе закупок, и обеспечивает прослеживаемость каждого утверждения до источника. Схема конвейера приведена на рисунке 4.</w:t>
      </w:r>
    </w:p>
    <w:p>
      <w:pPr>
        <w:spacing w:after="100" w:before="200" w:line="240" w:lineRule="auto"/>
        <w:jc w:val="center"/>
      </w:pPr>
      <w:r>
        <w:drawing>
          <wp:inline distT="0" distB="0" distL="0" distR="0">
            <wp:extent cx="5334000" cy="3752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4 – Схема конвейера обработки запроса</w:t>
      </w:r>
    </w:p>
    <w:p>
      <w:pPr>
        <w:pStyle w:val="Heading2"/>
        <w:spacing w:after="120" w:before="20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 Разбор запроса на естественном языке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Первым звеном конвейера является модуль разбора запроса, который извлекает из произвольной формулировки структурные условия отбора: применяемый закон (44-ФЗ либо 223-ФЗ), регион, категорию продукции, диапазон начальной (максимальной) цены контракта, признак закупки для субъектов малого предпринимательства и требование актуальности. Так, запрос «разработка информационной системы в Москве до 20 млн по 44-ФЗ» преобразуется в четыре точных фильтра и очищенную поисковую строку.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Распознанные условия отображаются пользователю и могут быть изменены вручную в панели фильтров; при этом явно заданное в интерфейсе условие имеет приоритет над распознанным из текста запроса.</w:t>
      </w:r>
    </w:p>
    <w:p>
      <w:pPr>
        <w:pStyle w:val="Heading2"/>
        <w:spacing w:after="120" w:before="20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2.3 Индексация и гибридный поиск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Каждая карточка закупки разбивается на три смысловых фрагмента: сведения о закупке, условия и сроки, требования к участникам. Разбиение по смысловым разделам, в отличие от разбиения по фиксированному числу символов, позволяет ассистенту ссылаться на конкретный раздел карточки. Корпус из 480 карточек образует 1440 индексируемых фрагментов.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Поиск выполняется двумя независимыми методами. Лексический поиск на основе функции ранжирования BM25 обеспечивает нахождение точных терминов, кодов ОКПД2 и реестровых номеров; для устойчивости к словоформам применён стеммер русского языка, для устойчивости к опечаткам — сопоставление терминов запроса со словарём индекса по расстоянию редактирования не более единицы. Семантический поиск по плотным векторным представлениям обеспечивает нахождение синонимов и близких по смыслу формулировок.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Два ранжирования объединяются методом Reciprocal Rank Fusion, который не требует приведения оценок разных методов к единой шкале. К объединённой оценке применяется ограниченная надбавка за бизнес-признаки: открытый приём заявок, близость срока подачи, свежесть публикации и совпадение атрибутов. Значения параметров ранжирования приведены в таблице 3.</w:t>
      </w:r>
    </w:p>
    <w:p>
      <w:pPr>
        <w:spacing w:after="80" w:before="20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3 – Параметры подсистемы ранжирования</w:t>
      </w:r>
    </w:p>
    <w:tbl>
      <w:tblPr>
        <w:tblW w:type="dxa" w:w="9355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BBBBBB" w:sz="4"/>
          <w:insideV w:val="single" w:color="BBBBBB" w:sz="4"/>
        </w:tblBorders>
      </w:tblPr>
      <w:tblGrid>
        <w:gridCol w:w="2807"/>
        <w:gridCol w:w="1497"/>
        <w:gridCol w:w="5052"/>
      </w:tblGrid>
      <w:tr>
        <w:trPr>
          <w:tblHeader/>
        </w:trPr>
        <w:tc>
          <w:tcPr>
            <w:tcW w:type="dxa" w:w="2807"/>
            <w:shd w:fill="F2ED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Параметр</w:t>
            </w:r>
          </w:p>
        </w:tc>
        <w:tc>
          <w:tcPr>
            <w:tcW w:type="dxa" w:w="1497"/>
            <w:shd w:fill="F2ED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Значение</w:t>
            </w:r>
          </w:p>
        </w:tc>
        <w:tc>
          <w:tcPr>
            <w:tcW w:type="dxa" w:w="5052"/>
            <w:shd w:fill="F2ED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Назначение</w:t>
            </w:r>
          </w:p>
        </w:tc>
      </w:tr>
      <w:tr>
        <w:tc>
          <w:tcPr>
            <w:tcW w:type="dxa" w:w="28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k1 / b (BM25)</w:t>
            </w:r>
          </w:p>
        </w:tc>
        <w:tc>
          <w:tcPr>
            <w:tcW w:type="dxa" w:w="149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1,5 / 0,75</w:t>
            </w:r>
          </w:p>
        </w:tc>
        <w:tc>
          <w:tcPr>
            <w:tcW w:type="dxa" w:w="50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Классические параметры насыщения частоты термина и нормировки по длине документа</w:t>
            </w:r>
          </w:p>
        </w:tc>
      </w:tr>
      <w:tr>
        <w:tc>
          <w:tcPr>
            <w:tcW w:type="dxa" w:w="28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Вес нечёткого совпадения</w:t>
            </w:r>
          </w:p>
        </w:tc>
        <w:tc>
          <w:tcPr>
            <w:tcW w:type="dxa" w:w="149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0,7</w:t>
            </w:r>
          </w:p>
        </w:tc>
        <w:tc>
          <w:tcPr>
            <w:tcW w:type="dxa" w:w="50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Понижающий коэффициент для терминов, подобранных при исправлении опечатки</w:t>
            </w:r>
          </w:p>
        </w:tc>
      </w:tr>
      <w:tr>
        <w:tc>
          <w:tcPr>
            <w:tcW w:type="dxa" w:w="28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Константа RRF</w:t>
            </w:r>
          </w:p>
        </w:tc>
        <w:tc>
          <w:tcPr>
            <w:tcW w:type="dxa" w:w="149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10</w:t>
            </w:r>
          </w:p>
        </w:tc>
        <w:tc>
          <w:tcPr>
            <w:tcW w:type="dxa" w:w="50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Обеспечивает различимость оценок соседних позиций при слиянии ранжирований</w:t>
            </w:r>
          </w:p>
        </w:tc>
      </w:tr>
      <w:tr>
        <w:tc>
          <w:tcPr>
            <w:tcW w:type="dxa" w:w="28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Вес семантической ветви</w:t>
            </w:r>
          </w:p>
        </w:tc>
        <w:tc>
          <w:tcPr>
            <w:tcW w:type="dxa" w:w="149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0,5</w:t>
            </w:r>
          </w:p>
        </w:tc>
        <w:tc>
          <w:tcPr>
            <w:tcW w:type="dxa" w:w="50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Вклад векторного поиска относительно лексического</w:t>
            </w:r>
          </w:p>
        </w:tc>
      </w:tr>
      <w:tr>
        <w:tc>
          <w:tcPr>
            <w:tcW w:type="dxa" w:w="28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Предел надбавки за бизнес-признаки</w:t>
            </w:r>
          </w:p>
        </w:tc>
        <w:tc>
          <w:tcPr>
            <w:tcW w:type="dxa" w:w="149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0,20</w:t>
            </w:r>
          </w:p>
        </w:tc>
        <w:tc>
          <w:tcPr>
            <w:tcW w:type="dxa" w:w="50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Ограничивает влияние свежести и статуса, сохраняя определяющую роль релевантности</w:t>
            </w:r>
          </w:p>
        </w:tc>
      </w:tr>
    </w:tbl>
    <w:p>
      <w:pPr>
        <w:spacing w:after="200"/>
      </w:pPr>
    </w:p>
    <w:p>
      <w:pPr>
        <w:pStyle w:val="Heading2"/>
        <w:spacing w:after="120" w:before="20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2.4 Формирование ответа и подключение языковых моделей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Найденные фрагменты формируют нумерованный контекст, ограниченный бюджетом в 6000 символов, который передаётся языковой модели вместе с системной инструкцией: отвечать только по контексту, сопровождать утверждения ссылками вида [n], прямо сообщать о недостаточности данных и не давать юридических гарантий. Ассистент распознаёт тип вопроса — о требованиях, сроках, ценах или сводных показателях — и соответствующим образом строит ответ.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Работа с языковыми моделями вынесена за отдельный программный интерфейс, что позволяет сменить поставщика без изменения остальной части системы. Состав поддерживаемых поставщиков приведён в таблице 4.</w:t>
      </w:r>
    </w:p>
    <w:p>
      <w:pPr>
        <w:spacing w:after="80" w:before="20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4 – Поддерживаемые поставщики моделей искусственного интеллекта</w:t>
      </w:r>
    </w:p>
    <w:tbl>
      <w:tblPr>
        <w:tblW w:type="dxa" w:w="9355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BBBBBB" w:sz="4"/>
          <w:insideV w:val="single" w:color="BBBBBB" w:sz="4"/>
        </w:tblBorders>
      </w:tblPr>
      <w:tblGrid>
        <w:gridCol w:w="2058"/>
        <w:gridCol w:w="2245"/>
        <w:gridCol w:w="1871"/>
        <w:gridCol w:w="3181"/>
      </w:tblGrid>
      <w:tr>
        <w:trPr>
          <w:tblHeader/>
        </w:trPr>
        <w:tc>
          <w:tcPr>
            <w:tcW w:type="dxa" w:w="2058"/>
            <w:shd w:fill="F2ED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Поставщик</w:t>
            </w:r>
          </w:p>
        </w:tc>
        <w:tc>
          <w:tcPr>
            <w:tcW w:type="dxa" w:w="2245"/>
            <w:shd w:fill="F2ED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Векторные представления</w:t>
            </w:r>
          </w:p>
        </w:tc>
        <w:tc>
          <w:tcPr>
            <w:tcW w:type="dxa" w:w="1871"/>
            <w:shd w:fill="F2ED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Генерация ответа</w:t>
            </w:r>
          </w:p>
        </w:tc>
        <w:tc>
          <w:tcPr>
            <w:tcW w:type="dxa" w:w="3181"/>
            <w:shd w:fill="F2ED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Особенности</w:t>
            </w:r>
          </w:p>
        </w:tc>
      </w:tr>
      <w:tr>
        <w:tc>
          <w:tcPr>
            <w:tcW w:type="dxa" w:w="20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Локальный режим</w:t>
            </w:r>
          </w:p>
        </w:tc>
        <w:tc>
          <w:tcPr>
            <w:tcW w:type="dxa" w:w="22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Хеширующий векторизатор</w:t>
            </w:r>
          </w:p>
        </w:tc>
        <w:tc>
          <w:tcPr>
            <w:tcW w:type="dxa" w:w="18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Экстрактивный генератор</w:t>
            </w:r>
          </w:p>
        </w:tc>
        <w:tc>
          <w:tcPr>
            <w:tcW w:type="dxa" w:w="31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Работает без ключей доступа и без сети; применяется по умолчанию и как режим деградации</w:t>
            </w:r>
          </w:p>
        </w:tc>
      </w:tr>
      <w:tr>
        <w:tc>
          <w:tcPr>
            <w:tcW w:type="dxa" w:w="20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YandexGPT</w:t>
            </w:r>
          </w:p>
        </w:tc>
        <w:tc>
          <w:tcPr>
            <w:tcW w:type="dxa" w:w="22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text-search-doc</w:t>
            </w:r>
          </w:p>
        </w:tc>
        <w:tc>
          <w:tcPr>
            <w:tcW w:type="dxa" w:w="18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yandexgpt</w:t>
            </w:r>
          </w:p>
        </w:tc>
        <w:tc>
          <w:tcPr>
            <w:tcW w:type="dxa" w:w="31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Размещение данных на территории Российской Федерации</w:t>
            </w:r>
          </w:p>
        </w:tc>
      </w:tr>
      <w:tr>
        <w:tc>
          <w:tcPr>
            <w:tcW w:type="dxa" w:w="20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GigaChat</w:t>
            </w:r>
          </w:p>
        </w:tc>
        <w:tc>
          <w:tcPr>
            <w:tcW w:type="dxa" w:w="22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Embeddings</w:t>
            </w:r>
          </w:p>
        </w:tc>
        <w:tc>
          <w:tcPr>
            <w:tcW w:type="dxa" w:w="18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GigaChat</w:t>
            </w:r>
          </w:p>
        </w:tc>
        <w:tc>
          <w:tcPr>
            <w:tcW w:type="dxa" w:w="31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Размещение данных на территории Российской Федерации</w:t>
            </w:r>
          </w:p>
        </w:tc>
      </w:tr>
      <w:tr>
        <w:tc>
          <w:tcPr>
            <w:tcW w:type="dxa" w:w="20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OpenAI и совместимые</w:t>
            </w:r>
          </w:p>
        </w:tc>
        <w:tc>
          <w:tcPr>
            <w:tcW w:type="dxa" w:w="22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text-embedding-3-small</w:t>
            </w:r>
          </w:p>
        </w:tc>
        <w:tc>
          <w:tcPr>
            <w:tcW w:type="dxa" w:w="18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gpt-4o-mini</w:t>
            </w:r>
          </w:p>
        </w:tc>
        <w:tc>
          <w:tcPr>
            <w:tcW w:type="dxa" w:w="31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Применяется при отсутствии ограничений на трансграничную передачу данных</w:t>
            </w:r>
          </w:p>
        </w:tc>
      </w:tr>
    </w:tbl>
    <w:p>
      <w:pPr>
        <w:spacing w:after="200"/>
      </w:pP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недоступности внешнего интерфейса модели сервис не возвращает ошибку, а переходит к локальному генератору, который формирует ответ по шаблонам из найденных фрагментов. Такое решение обеспечивает демонстрацию прототипа без ключей доступа и одновременно задаёт нижнюю границу качества при сравнении с полноценной языковой моделью.</w:t>
      </w:r>
    </w:p>
    <w:p>
      <w:pPr>
        <w:pStyle w:val="Heading2"/>
        <w:spacing w:after="120" w:before="20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2.5 Контроль достоверности ответа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защиты от формирования не подтверждённых источниками утверждений реализован механизм контроля ссылок: после получения ответа проверяется, что каждая ссылка вида [n] соответствует существующему фрагменту контекста, а ответ при наличии источников содержит хотя бы одну ссылку. Нарушения фиксируются и выводятся пользователю в виде предупреждения. При отсутствии подходящих закупок ассистент прямо сообщает об этом и предлагает изменить условия поиска.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Пример ответа ассистента со ссылками на источники приведён на рисунке 5. Ссылки в тексте ответа являются интерактивными: нажатие открывает карточку соответствующей закупки.</w:t>
      </w:r>
    </w:p>
    <w:p>
      <w:pPr>
        <w:spacing w:after="100" w:before="200" w:line="240" w:lineRule="auto"/>
        <w:jc w:val="center"/>
      </w:pPr>
      <w:r>
        <w:drawing>
          <wp:inline distT="0" distB="0" distL="0" distR="0">
            <wp:extent cx="2476500" cy="5038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5 – Ответ ассистента со ссылками на источники</w:t>
      </w:r>
    </w:p>
    <w:p>
      <w:pPr>
        <w:pStyle w:val="Heading2"/>
        <w:spacing w:after="120" w:before="20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2.6 Результат работы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Работа выполнена в полном объёме. Разработан прототип RAG-ассистента, включающий модули разбора запроса, лексического и семантического поиска, слияния ранжирований, формирования контекста, генерации ответа и контроля достоверности. Ассистент работоспособен как с внешними языковыми моделями, так и в полностью автономном режиме.</w:t>
      </w:r>
    </w:p>
    <w:p>
      <w:pPr>
        <w:pStyle w:val="Heading1"/>
        <w:pageBreakBefore/>
        <w:spacing w:after="20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 Разработка прототипа frontend и backend модулей веб-сервиса</w:t>
      </w:r>
    </w:p>
    <w:p>
      <w:pPr>
        <w:pStyle w:val="Heading2"/>
        <w:spacing w:after="120" w:before="20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 Общая архитектура и технологический стек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Веб-сервис реализован по клиент-серверной архитектуре. Серверная часть построена на языке Python версии 3.11 с применением каркаса FastAPI и библиотеки Pydantic для описания и проверки схем данных. Клиентская часть представляет собой одностраничное приложение, реализованное средствами HTML, CSS и JavaScript без применения сборщиков и внешних библиотек. Состав программных модулей приведён в таблице 5.</w:t>
      </w:r>
    </w:p>
    <w:p>
      <w:pPr>
        <w:spacing w:after="80" w:before="20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5 – Состав программных модулей веб-сервиса</w:t>
      </w:r>
    </w:p>
    <w:tbl>
      <w:tblPr>
        <w:tblW w:type="dxa" w:w="9355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BBBBBB" w:sz="4"/>
          <w:insideV w:val="single" w:color="BBBBBB" w:sz="4"/>
        </w:tblBorders>
      </w:tblPr>
      <w:tblGrid>
        <w:gridCol w:w="3181"/>
        <w:gridCol w:w="6174"/>
      </w:tblGrid>
      <w:tr>
        <w:trPr>
          <w:tblHeader/>
        </w:trPr>
        <w:tc>
          <w:tcPr>
            <w:tcW w:type="dxa" w:w="3181"/>
            <w:shd w:fill="F2ED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Модуль</w:t>
            </w:r>
          </w:p>
        </w:tc>
        <w:tc>
          <w:tcPr>
            <w:tcW w:type="dxa" w:w="6174"/>
            <w:shd w:fill="F2ED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Назначение</w:t>
            </w:r>
          </w:p>
        </w:tc>
      </w:tr>
      <w:tr>
        <w:tc>
          <w:tcPr>
            <w:tcW w:type="dxa" w:w="31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app/main.py</w:t>
            </w:r>
          </w:p>
        </w:tc>
        <w:tc>
          <w:tcPr>
            <w:tcW w:type="dxa" w:w="61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Точка входа приложения, подключение маршрутов, отдача клиентской части и сайта проекта</w:t>
            </w:r>
          </w:p>
        </w:tc>
      </w:tr>
      <w:tr>
        <w:tc>
          <w:tcPr>
            <w:tcW w:type="dxa" w:w="31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app/api/routes.py, app/api/schemas.py</w:t>
            </w:r>
          </w:p>
        </w:tc>
        <w:tc>
          <w:tcPr>
            <w:tcW w:type="dxa" w:w="61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Методы программного интерфейса и схемы запросов и ответов</w:t>
            </w:r>
          </w:p>
        </w:tc>
      </w:tr>
      <w:tr>
        <w:tc>
          <w:tcPr>
            <w:tcW w:type="dxa" w:w="31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app/core/config.py, app/core/store.py</w:t>
            </w:r>
          </w:p>
        </w:tc>
        <w:tc>
          <w:tcPr>
            <w:tcW w:type="dxa" w:w="61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Конфигурация через переменные окружения, загрузка данных и построение индекса</w:t>
            </w:r>
          </w:p>
        </w:tc>
      </w:tr>
      <w:tr>
        <w:tc>
          <w:tcPr>
            <w:tcW w:type="dxa" w:w="31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app/rag/text.py, bm25.py</w:t>
            </w:r>
          </w:p>
        </w:tc>
        <w:tc>
          <w:tcPr>
            <w:tcW w:type="dxa" w:w="61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Обработка русского текста и лексический поиск</w:t>
            </w:r>
          </w:p>
        </w:tc>
      </w:tr>
      <w:tr>
        <w:tc>
          <w:tcPr>
            <w:tcW w:type="dxa" w:w="31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app/rag/embeddings.py, vector_store.py</w:t>
            </w:r>
          </w:p>
        </w:tc>
        <w:tc>
          <w:tcPr>
            <w:tcW w:type="dxa" w:w="61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Векторные представления и векторное хранилище</w:t>
            </w:r>
          </w:p>
        </w:tc>
      </w:tr>
      <w:tr>
        <w:tc>
          <w:tcPr>
            <w:tcW w:type="dxa" w:w="31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app/rag/query_parser.py, retriever.py</w:t>
            </w:r>
          </w:p>
        </w:tc>
        <w:tc>
          <w:tcPr>
            <w:tcW w:type="dxa" w:w="61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Разбор запроса, гибридный поиск и ранжирование</w:t>
            </w:r>
          </w:p>
        </w:tc>
      </w:tr>
      <w:tr>
        <w:tc>
          <w:tcPr>
            <w:tcW w:type="dxa" w:w="31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app/rag/llm.py, assistant.py</w:t>
            </w:r>
          </w:p>
        </w:tc>
        <w:tc>
          <w:tcPr>
            <w:tcW w:type="dxa" w:w="61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Поставщики языковых моделей и конвейер ассистента</w:t>
            </w:r>
          </w:p>
        </w:tc>
      </w:tr>
      <w:tr>
        <w:tc>
          <w:tcPr>
            <w:tcW w:type="dxa" w:w="31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app/data/eis_adapter.py</w:t>
            </w:r>
          </w:p>
        </w:tc>
        <w:tc>
          <w:tcPr>
            <w:tcW w:type="dxa" w:w="61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Адаптер источника данных и проверка полноты записей</w:t>
            </w:r>
          </w:p>
        </w:tc>
      </w:tr>
      <w:tr>
        <w:tc>
          <w:tcPr>
            <w:tcW w:type="dxa" w:w="31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frontend/index.html, offline-engine.js</w:t>
            </w:r>
          </w:p>
        </w:tc>
        <w:tc>
          <w:tcPr>
            <w:tcW w:type="dxa" w:w="61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Клиентское приложение и автономный поисковый движок</w:t>
            </w:r>
          </w:p>
        </w:tc>
      </w:tr>
    </w:tbl>
    <w:p>
      <w:pPr>
        <w:spacing w:after="200"/>
      </w:pPr>
    </w:p>
    <w:p>
      <w:pPr>
        <w:pStyle w:val="Heading2"/>
        <w:spacing w:after="120" w:before="20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 Backend-модуль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Серверная часть предоставляет семь методов программного интерфейса, обеспечивающих проверку состояния сервиса, получение справочников для фильтров, поиск закупок, получение карточки закупки и похожих закупок, обращение к ассистенту и получение агрегированной аналитики. Полный перечень методов с описанием параметров приведён в приложении Б. Документация программного интерфейса формируется автоматически в формате OpenAPI.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Поисковый индекс строится однократно при запуске приложения и размещается в оперативной памяти процесса; время построения для корпуса из 480 карточек составляет около 1,9 с. Пример обращения к методам поиска и ассистента приведён на рисунке 6.</w:t>
      </w:r>
    </w:p>
    <w:p>
      <w:pPr>
        <w:spacing w:after="100" w:before="200" w:line="240" w:lineRule="auto"/>
        <w:jc w:val="center"/>
      </w:pPr>
      <w:r>
        <w:drawing>
          <wp:inline distT="0" distB="0" distL="0" distR="0">
            <wp:extent cx="5334000" cy="4505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6 – Пример обращения к программному интерфейсу сервиса</w:t>
      </w:r>
    </w:p>
    <w:p>
      <w:pPr>
        <w:pStyle w:val="Heading2"/>
        <w:spacing w:after="120" w:before="20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3.3 Frontend-модуль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Клиентское приложение реализует все экраны прототипа и взаимодействует с серверной частью посредством программного интерфейса. Дополнительно разработан автономный поисковый движок, повторяющий на стороне клиента логику разбора запроса, лексического поиска, фильтрации и формирования ответа ассистента. При недоступности серверной части приложение автоматически переходит к автономному режиму, о чём информирует пользователя индикатором в заголовке.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Указанное решение позволило сформировать автономную версию прототипа в виде одного файла размером 1,3 Мбайт, содержащего интерфейс, данные и поисковый движок. Такая версия открывается в браузере без установки программного обеспечения и применяется для демонстрации проекта.</w:t>
      </w:r>
    </w:p>
    <w:p>
      <w:pPr>
        <w:pStyle w:val="Heading2"/>
        <w:spacing w:after="120" w:before="20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3.4 Модель данных и источник закупок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Разработана внутренняя модель данных карточки закупки, включающая 24 поля: реестровый номер, предмет закупки, применяемый закон, способ определения поставщика, электронную площадку, сведения о заказчике, регион, категорию и код ОКПД2, начальную (максимальную) цену контракта, размеры обеспечения, даты публикации и окончания приёма заявок, статус, признак закупки для субъектов малого предпринимательства, требования к участникам, преференции и ссылку на карточку в единой информационной системе.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отчётном этапе прототип функционирует на корпусе из 480 карточек, сформированном детерминированным генератором по структуре выгрузки единой информационной системы. Применение синтетического корпуса на этапе прототипирования обеспечивает воспроизводимость измерений качества поиска и независимость от доступности внешнего источника. Для перехода к промышленной эксплуатации разработан адаптер источника данных, определяющий интерфейс загрузки, правила сопоставления полей извещения единой информационной системы с внутренней моделью и процедуру проверки полноты записей.</w:t>
      </w:r>
    </w:p>
    <w:p>
      <w:pPr>
        <w:pStyle w:val="Heading2"/>
        <w:spacing w:after="120" w:before="20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3.5 Результат работы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Работа выполнена в полном объёме. Разработаны прототипы frontend- и backend-модулей веб-сервиса, обеспечивающие полный цикл работы пользователя: ввод запроса, получение и фильтрацию выдачи, изучение карточки закупки, диалог с ассистентом и просмотр аналитики. Исходный код размещён в публичном репозитории проекта.</w:t>
      </w:r>
    </w:p>
    <w:p>
      <w:pPr>
        <w:pStyle w:val="Heading1"/>
        <w:pageBreakBefore/>
        <w:spacing w:after="20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 Тестирование веб-сервиса на работоспособность</w:t>
      </w:r>
    </w:p>
    <w:p>
      <w:pPr>
        <w:pStyle w:val="Heading2"/>
        <w:spacing w:after="120" w:before="20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4.1 Методика тестирования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Тестирование проводилось на четырёх уровнях: модульное тестирование отдельных компонентов, интеграционное тестирование методов программного интерфейса, количественная оценка качества поиска на размеченном наборе запросов и проверка производительности с оценкой поведения сервиса при недоступности внешних интерфейсов.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Разработан набор из 46 тестовых функций, образующих 70 тестовых случаев. Прогон тестов, измерение метрик и формирование отчёта автоматизированы отдельным сценарием, что обеспечивает воспроизводимость результатов. Перечень тестов приведён в приложении В. Сводные результаты тестирования приведены в таблице 6.</w:t>
      </w:r>
    </w:p>
    <w:p>
      <w:pPr>
        <w:spacing w:after="80" w:before="20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6 – Сводные результаты тестирования веб-сервиса</w:t>
      </w:r>
    </w:p>
    <w:tbl>
      <w:tblPr>
        <w:tblW w:type="dxa" w:w="9355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BBBBBB" w:sz="4"/>
          <w:insideV w:val="single" w:color="BBBBBB" w:sz="4"/>
        </w:tblBorders>
      </w:tblPr>
      <w:tblGrid>
        <w:gridCol w:w="3555"/>
        <w:gridCol w:w="2245"/>
        <w:gridCol w:w="1871"/>
        <w:gridCol w:w="1684"/>
      </w:tblGrid>
      <w:tr>
        <w:trPr>
          <w:tblHeader/>
        </w:trPr>
        <w:tc>
          <w:tcPr>
            <w:tcW w:type="dxa" w:w="3555"/>
            <w:shd w:fill="F2ED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Показатель</w:t>
            </w:r>
          </w:p>
        </w:tc>
        <w:tc>
          <w:tcPr>
            <w:tcW w:type="dxa" w:w="2245"/>
            <w:shd w:fill="F2ED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Полученное значение</w:t>
            </w:r>
          </w:p>
        </w:tc>
        <w:tc>
          <w:tcPr>
            <w:tcW w:type="dxa" w:w="1871"/>
            <w:shd w:fill="F2ED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Критерий приёмки</w:t>
            </w:r>
          </w:p>
        </w:tc>
        <w:tc>
          <w:tcPr>
            <w:tcW w:type="dxa" w:w="1684"/>
            <w:shd w:fill="F2ED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Итог</w:t>
            </w:r>
          </w:p>
        </w:tc>
      </w:tr>
      <w:tr>
        <w:tc>
          <w:tcPr>
            <w:tcW w:type="dxa" w:w="35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Автоматические тесты</w:t>
            </w:r>
          </w:p>
        </w:tc>
        <w:tc>
          <w:tcPr>
            <w:tcW w:type="dxa" w:w="22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70 пройдено, 0 провалено</w:t>
            </w:r>
          </w:p>
        </w:tc>
        <w:tc>
          <w:tcPr>
            <w:tcW w:type="dxa" w:w="18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 провалов</w:t>
            </w:r>
          </w:p>
        </w:tc>
        <w:tc>
          <w:tcPr>
            <w:tcW w:type="dxa" w:w="16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соответствует</w:t>
            </w:r>
          </w:p>
        </w:tc>
      </w:tr>
      <w:tr>
        <w:tc>
          <w:tcPr>
            <w:tcW w:type="dxa" w:w="35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Точность на первой позиции (P@1)</w:t>
            </w:r>
          </w:p>
        </w:tc>
        <w:tc>
          <w:tcPr>
            <w:tcW w:type="dxa" w:w="22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68 %</w:t>
            </w:r>
          </w:p>
        </w:tc>
        <w:tc>
          <w:tcPr>
            <w:tcW w:type="dxa" w:w="18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не менее 60 %</w:t>
            </w:r>
          </w:p>
        </w:tc>
        <w:tc>
          <w:tcPr>
            <w:tcW w:type="dxa" w:w="16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соответствует</w:t>
            </w:r>
          </w:p>
        </w:tc>
      </w:tr>
      <w:tr>
        <w:tc>
          <w:tcPr>
            <w:tcW w:type="dxa" w:w="35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Полнота выдачи Recall@5</w:t>
            </w:r>
          </w:p>
        </w:tc>
        <w:tc>
          <w:tcPr>
            <w:tcW w:type="dxa" w:w="22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95 %</w:t>
            </w:r>
          </w:p>
        </w:tc>
        <w:tc>
          <w:tcPr>
            <w:tcW w:type="dxa" w:w="18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не менее 90 %</w:t>
            </w:r>
          </w:p>
        </w:tc>
        <w:tc>
          <w:tcPr>
            <w:tcW w:type="dxa" w:w="16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соответствует</w:t>
            </w:r>
          </w:p>
        </w:tc>
      </w:tr>
      <w:tr>
        <w:tc>
          <w:tcPr>
            <w:tcW w:type="dxa" w:w="35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Полнота выдачи Recall@10</w:t>
            </w:r>
          </w:p>
        </w:tc>
        <w:tc>
          <w:tcPr>
            <w:tcW w:type="dxa" w:w="22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97 %</w:t>
            </w:r>
          </w:p>
        </w:tc>
        <w:tc>
          <w:tcPr>
            <w:tcW w:type="dxa" w:w="18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не менее 92 %</w:t>
            </w:r>
          </w:p>
        </w:tc>
        <w:tc>
          <w:tcPr>
            <w:tcW w:type="dxa" w:w="16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соответствует</w:t>
            </w:r>
          </w:p>
        </w:tc>
      </w:tr>
      <w:tr>
        <w:tc>
          <w:tcPr>
            <w:tcW w:type="dxa" w:w="35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Средний обратный ранг (MRR)</w:t>
            </w:r>
          </w:p>
        </w:tc>
        <w:tc>
          <w:tcPr>
            <w:tcW w:type="dxa" w:w="22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0,803</w:t>
            </w:r>
          </w:p>
        </w:tc>
        <w:tc>
          <w:tcPr>
            <w:tcW w:type="dxa" w:w="18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не менее 0,72</w:t>
            </w:r>
          </w:p>
        </w:tc>
        <w:tc>
          <w:tcPr>
            <w:tcW w:type="dxa" w:w="16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соответствует</w:t>
            </w:r>
          </w:p>
        </w:tc>
      </w:tr>
      <w:tr>
        <w:tc>
          <w:tcPr>
            <w:tcW w:type="dxa" w:w="35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Задержка поиска, 95-й процентиль</w:t>
            </w:r>
          </w:p>
        </w:tc>
        <w:tc>
          <w:tcPr>
            <w:tcW w:type="dxa" w:w="22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92 мс</w:t>
            </w:r>
          </w:p>
        </w:tc>
        <w:tc>
          <w:tcPr>
            <w:tcW w:type="dxa" w:w="18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менее 500 мс</w:t>
            </w:r>
          </w:p>
        </w:tc>
        <w:tc>
          <w:tcPr>
            <w:tcW w:type="dxa" w:w="16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соответствует</w:t>
            </w:r>
          </w:p>
        </w:tc>
      </w:tr>
      <w:tr>
        <w:tc>
          <w:tcPr>
            <w:tcW w:type="dxa" w:w="35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Задержка ответа ассистента, 95-й процентиль</w:t>
            </w:r>
          </w:p>
        </w:tc>
        <w:tc>
          <w:tcPr>
            <w:tcW w:type="dxa" w:w="22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70 мс</w:t>
            </w:r>
          </w:p>
        </w:tc>
        <w:tc>
          <w:tcPr>
            <w:tcW w:type="dxa" w:w="18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менее 1000 мс</w:t>
            </w:r>
          </w:p>
        </w:tc>
        <w:tc>
          <w:tcPr>
            <w:tcW w:type="dxa" w:w="16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соответствует</w:t>
            </w:r>
          </w:p>
        </w:tc>
      </w:tr>
      <w:tr>
        <w:tc>
          <w:tcPr>
            <w:tcW w:type="dxa" w:w="35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Корректность ссылок на источники</w:t>
            </w:r>
          </w:p>
        </w:tc>
        <w:tc>
          <w:tcPr>
            <w:tcW w:type="dxa" w:w="22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 из 8 без замечаний</w:t>
            </w:r>
          </w:p>
        </w:tc>
        <w:tc>
          <w:tcPr>
            <w:tcW w:type="dxa" w:w="18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100 %</w:t>
            </w:r>
          </w:p>
        </w:tc>
        <w:tc>
          <w:tcPr>
            <w:tcW w:type="dxa" w:w="16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соответствует</w:t>
            </w:r>
          </w:p>
        </w:tc>
      </w:tr>
    </w:tbl>
    <w:p>
      <w:pPr>
        <w:spacing w:after="200"/>
      </w:pPr>
    </w:p>
    <w:p>
      <w:pPr>
        <w:pStyle w:val="Heading2"/>
        <w:spacing w:after="120" w:before="20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4.2 Функциональное и интеграционное тестирование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Проверены все методы программного интерфейса, включая постраничный вывод, все режимы сортировки, приоритет фильтров интерфейса над условиями, распознанными из текста запроса, обработку обращения к несуществующей карточке закупки и отклонение пустого запроса к ассистенту. Отдельно проверена согласованность агрегированной аналитики: суммы по категориям, регионам и законам совпадают с общим числом закупок в корпусе.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Проверена устойчивость поиска к формулировкам: словоформы «ноутбуки», «ноутбуков» и «ноутбуками» дают одинаковую категорию в верхних позициях выдачи; опечатка в один символ сохраняет пересечение выдачи не менее чем в трёх позициях из десяти; поиск по реестровому номеру возвращает точное совпадение на первой позиции.</w:t>
      </w:r>
    </w:p>
    <w:p>
      <w:pPr>
        <w:pStyle w:val="Heading2"/>
        <w:spacing w:after="120" w:before="20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4.3 Оценка качества поиска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количественной оценки сформирован размеченный набор из 60 запросов. Каждый запрос строится как перефразирование предмета конкретной закупки с добавлением условия по региону, закону или бюджету; эталонным документом считается исходная закупка. Набор формируется детерминированно, что обеспечивает воспроизводимость измерений. Измерялись точность на первой позиции, полнота выдачи в первых пяти и десяти позициях и средний обратный ранг.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качестве базовой линии использован чисто лексический поиск BM25. Результаты сравнения приведены в таблице 7.</w:t>
      </w:r>
    </w:p>
    <w:p>
      <w:pPr>
        <w:spacing w:after="80" w:before="20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7 – Сравнение гибридного поиска с базовой линией</w:t>
      </w:r>
    </w:p>
    <w:tbl>
      <w:tblPr>
        <w:tblW w:type="dxa" w:w="9355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BBBBBB" w:sz="4"/>
          <w:insideV w:val="single" w:color="BBBBBB" w:sz="4"/>
        </w:tblBorders>
      </w:tblPr>
      <w:tblGrid>
        <w:gridCol w:w="3742"/>
        <w:gridCol w:w="2058"/>
        <w:gridCol w:w="1871"/>
        <w:gridCol w:w="1684"/>
      </w:tblGrid>
      <w:tr>
        <w:trPr>
          <w:tblHeader/>
        </w:trPr>
        <w:tc>
          <w:tcPr>
            <w:tcW w:type="dxa" w:w="3742"/>
            <w:shd w:fill="F2ED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Метрика</w:t>
            </w:r>
          </w:p>
        </w:tc>
        <w:tc>
          <w:tcPr>
            <w:tcW w:type="dxa" w:w="2058"/>
            <w:shd w:fill="F2ED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BM25 (базовая линия)</w:t>
            </w:r>
          </w:p>
        </w:tc>
        <w:tc>
          <w:tcPr>
            <w:tcW w:type="dxa" w:w="1871"/>
            <w:shd w:fill="F2ED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Гибридный поиск</w:t>
            </w:r>
          </w:p>
        </w:tc>
        <w:tc>
          <w:tcPr>
            <w:tcW w:type="dxa" w:w="1684"/>
            <w:shd w:fill="F2ED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Изменение</w:t>
            </w:r>
          </w:p>
        </w:tc>
      </w:tr>
      <w:tr>
        <w:tc>
          <w:tcPr>
            <w:tcW w:type="dxa" w:w="37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Точность на первой позиции (P@1)</w:t>
            </w:r>
          </w:p>
        </w:tc>
        <w:tc>
          <w:tcPr>
            <w:tcW w:type="dxa" w:w="20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65 %</w:t>
            </w:r>
          </w:p>
        </w:tc>
        <w:tc>
          <w:tcPr>
            <w:tcW w:type="dxa" w:w="18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68 %</w:t>
            </w:r>
          </w:p>
        </w:tc>
        <w:tc>
          <w:tcPr>
            <w:tcW w:type="dxa" w:w="16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+3 п. п.</w:t>
            </w:r>
          </w:p>
        </w:tc>
      </w:tr>
      <w:tr>
        <w:tc>
          <w:tcPr>
            <w:tcW w:type="dxa" w:w="37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Полнота выдачи Recall@5</w:t>
            </w:r>
          </w:p>
        </w:tc>
        <w:tc>
          <w:tcPr>
            <w:tcW w:type="dxa" w:w="20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97 %</w:t>
            </w:r>
          </w:p>
        </w:tc>
        <w:tc>
          <w:tcPr>
            <w:tcW w:type="dxa" w:w="18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95 %</w:t>
            </w:r>
          </w:p>
        </w:tc>
        <w:tc>
          <w:tcPr>
            <w:tcW w:type="dxa" w:w="16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–2 п. п.</w:t>
            </w:r>
          </w:p>
        </w:tc>
      </w:tr>
      <w:tr>
        <w:tc>
          <w:tcPr>
            <w:tcW w:type="dxa" w:w="37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Полнота выдачи Recall@10</w:t>
            </w:r>
          </w:p>
        </w:tc>
        <w:tc>
          <w:tcPr>
            <w:tcW w:type="dxa" w:w="20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97 %</w:t>
            </w:r>
          </w:p>
        </w:tc>
        <w:tc>
          <w:tcPr>
            <w:tcW w:type="dxa" w:w="18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97 %</w:t>
            </w:r>
          </w:p>
        </w:tc>
        <w:tc>
          <w:tcPr>
            <w:tcW w:type="dxa" w:w="16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без изменений</w:t>
            </w:r>
          </w:p>
        </w:tc>
      </w:tr>
      <w:tr>
        <w:tc>
          <w:tcPr>
            <w:tcW w:type="dxa" w:w="37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Средний обратный ранг (MRR)</w:t>
            </w:r>
          </w:p>
        </w:tc>
        <w:tc>
          <w:tcPr>
            <w:tcW w:type="dxa" w:w="20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0,791</w:t>
            </w:r>
          </w:p>
        </w:tc>
        <w:tc>
          <w:tcPr>
            <w:tcW w:type="dxa" w:w="18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0,803</w:t>
            </w:r>
          </w:p>
        </w:tc>
        <w:tc>
          <w:tcPr>
            <w:tcW w:type="dxa" w:w="16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+0,012</w:t>
            </w:r>
          </w:p>
        </w:tc>
      </w:tr>
    </w:tbl>
    <w:p>
      <w:pPr>
        <w:spacing w:after="200"/>
      </w:pP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Незначительность преимущества гибридного поиска на данном наборе объясняется способом его построения: запросы формируются из текстов самих карточек закупок, вследствие чего лексическая ветвь поиска заведомо находится в выигрышном положении. Преимущество семантической ветви проявляется на запросах с синонимами, не встречающимися в тексте извещения, и подтверждено отдельными тестами устойчивости к формулировкам (подраздел 4.2).</w:t>
      </w:r>
    </w:p>
    <w:p>
      <w:pPr>
        <w:pStyle w:val="Heading2"/>
        <w:spacing w:after="120" w:before="20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4.4 Проверка производительности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Измерения выполнялись на наборе из шести характерных запросов при многократном повторении. Результаты приведены в таблице 8.</w:t>
      </w:r>
    </w:p>
    <w:p>
      <w:pPr>
        <w:spacing w:after="80" w:before="20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8 – Показатели производительности веб-сервиса</w:t>
      </w:r>
    </w:p>
    <w:tbl>
      <w:tblPr>
        <w:tblW w:type="dxa" w:w="9355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BBBBBB" w:sz="4"/>
          <w:insideV w:val="single" w:color="BBBBBB" w:sz="4"/>
        </w:tblBorders>
      </w:tblPr>
      <w:tblGrid>
        <w:gridCol w:w="4303"/>
        <w:gridCol w:w="2526"/>
        <w:gridCol w:w="2526"/>
      </w:tblGrid>
      <w:tr>
        <w:trPr>
          <w:tblHeader/>
        </w:trPr>
        <w:tc>
          <w:tcPr>
            <w:tcW w:type="dxa" w:w="4303"/>
            <w:shd w:fill="F2ED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Операция</w:t>
            </w:r>
          </w:p>
        </w:tc>
        <w:tc>
          <w:tcPr>
            <w:tcW w:type="dxa" w:w="2526"/>
            <w:shd w:fill="F2ED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Среднее значение</w:t>
            </w:r>
          </w:p>
        </w:tc>
        <w:tc>
          <w:tcPr>
            <w:tcW w:type="dxa" w:w="2526"/>
            <w:shd w:fill="F2ED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95-й процентиль</w:t>
            </w:r>
          </w:p>
        </w:tc>
      </w:tr>
      <w:tr>
        <w:tc>
          <w:tcPr>
            <w:tcW w:type="dxa" w:w="43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Поиск по индексу</w:t>
            </w:r>
          </w:p>
        </w:tc>
        <w:tc>
          <w:tcPr>
            <w:tcW w:type="dxa" w:w="2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76 мс</w:t>
            </w:r>
          </w:p>
        </w:tc>
        <w:tc>
          <w:tcPr>
            <w:tcW w:type="dxa" w:w="2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92 мс</w:t>
            </w:r>
          </w:p>
        </w:tc>
      </w:tr>
      <w:tr>
        <w:tc>
          <w:tcPr>
            <w:tcW w:type="dxa" w:w="43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Формирование ответа ассистента</w:t>
            </w:r>
          </w:p>
        </w:tc>
        <w:tc>
          <w:tcPr>
            <w:tcW w:type="dxa" w:w="2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69 мс</w:t>
            </w:r>
          </w:p>
        </w:tc>
        <w:tc>
          <w:tcPr>
            <w:tcW w:type="dxa" w:w="2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70 мс</w:t>
            </w:r>
          </w:p>
        </w:tc>
      </w:tr>
      <w:tr>
        <w:tc>
          <w:tcPr>
            <w:tcW w:type="dxa" w:w="43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Построение индекса при запуске приложения</w:t>
            </w:r>
          </w:p>
        </w:tc>
        <w:tc>
          <w:tcPr>
            <w:tcW w:type="dxa" w:w="2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1931 мс</w:t>
            </w:r>
          </w:p>
        </w:tc>
        <w:tc>
          <w:tcPr>
            <w:tcW w:type="dxa" w:w="2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—</w:t>
            </w:r>
          </w:p>
        </w:tc>
      </w:tr>
    </w:tbl>
    <w:p>
      <w:pPr>
        <w:spacing w:after="200"/>
      </w:pP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Полученные значения задержек обеспечивают восприятие работы сервиса как мгновенной. Построение индекса выполняется однократно при запуске приложения и не влияет на время отклика при обслуживании запросов пользователей.</w:t>
      </w:r>
    </w:p>
    <w:p>
      <w:pPr>
        <w:pStyle w:val="Heading2"/>
        <w:spacing w:after="120" w:before="20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4.5 Проверка ассистента и режимов деградации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Проверено, что каждая ссылка в ответе ассистента соответствует существующему фрагменту контекста, а каждый источник прослеживается до реальной карточки закупки по реестровому номеру. При запросе, не имеющем соответствий в корпусе, ассистент сообщает об отсутствии подходящих закупок и не формирует вымышленных сведений. Отдельно проверено, что при отсутствии ключей доступа к внешним интерфейсам векторных представлений и языковых моделей сервис переходит к локальному режиму и сохраняет работоспособность.</w:t>
      </w:r>
    </w:p>
    <w:p>
      <w:pPr>
        <w:pStyle w:val="Heading2"/>
        <w:spacing w:after="120" w:before="20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4.6 Выявленные и устранённые дефекты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ходе тестирования выявлены и устранены три существенных дефекта, приведённые в таблице 9.</w:t>
      </w:r>
    </w:p>
    <w:p>
      <w:pPr>
        <w:spacing w:after="80" w:before="20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9 – Дефекты, выявленные при тестировании, и принятые решения</w:t>
      </w:r>
    </w:p>
    <w:tbl>
      <w:tblPr>
        <w:tblW w:type="dxa" w:w="9355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BBBBBB" w:sz="4"/>
          <w:insideV w:val="single" w:color="BBBBBB" w:sz="4"/>
        </w:tblBorders>
      </w:tblPr>
      <w:tblGrid>
        <w:gridCol w:w="2432"/>
        <w:gridCol w:w="3181"/>
        <w:gridCol w:w="3742"/>
      </w:tblGrid>
      <w:tr>
        <w:trPr>
          <w:tblHeader/>
        </w:trPr>
        <w:tc>
          <w:tcPr>
            <w:tcW w:type="dxa" w:w="2432"/>
            <w:shd w:fill="F2ED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Дефект</w:t>
            </w:r>
          </w:p>
        </w:tc>
        <w:tc>
          <w:tcPr>
            <w:tcW w:type="dxa" w:w="3181"/>
            <w:shd w:fill="F2ED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Проявление</w:t>
            </w:r>
          </w:p>
        </w:tc>
        <w:tc>
          <w:tcPr>
            <w:tcW w:type="dxa" w:w="3742"/>
            <w:shd w:fill="F2ED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Принятое решение</w:t>
            </w:r>
          </w:p>
        </w:tc>
      </w:tr>
      <w:tr>
        <w:tc>
          <w:tcPr>
            <w:tcW w:type="dxa" w:w="24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Бизнес-признаки перевешивали релевантность</w:t>
            </w:r>
          </w:p>
        </w:tc>
        <w:tc>
          <w:tcPr>
            <w:tcW w:type="dxa" w:w="31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Гибридный поиск уступал базовой линии BM25: средний обратный ранг 0,63 против 0,79</w:t>
            </w:r>
          </w:p>
        </w:tc>
        <w:tc>
          <w:tcPr>
            <w:tcW w:type="dxa" w:w="37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Уменьшена константа слияния ранжирований, надбавка за свежесть и статус ограничена 20 %; результат закреплён регрессионным тестом</w:t>
            </w:r>
          </w:p>
        </w:tc>
      </w:tr>
      <w:tr>
        <w:tc>
          <w:tcPr>
            <w:tcW w:type="dxa" w:w="24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Отсечение кандидатов до применения фильтров</w:t>
            </w:r>
          </w:p>
        </w:tc>
        <w:tc>
          <w:tcPr>
            <w:tcW w:type="dxa" w:w="31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Узкий запрос не находил существующие в корпусе закупки</w:t>
            </w:r>
          </w:p>
        </w:tc>
        <w:tc>
          <w:tcPr>
            <w:tcW w:type="dxa" w:w="37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Жёсткие фильтры перенесены на этап после ранжирования полного индекса</w:t>
            </w:r>
          </w:p>
        </w:tc>
      </w:tr>
      <w:tr>
        <w:tc>
          <w:tcPr>
            <w:tcW w:type="dxa" w:w="24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Ложное определение категории по служебным словам</w:t>
            </w:r>
          </w:p>
        </w:tc>
        <w:tc>
          <w:tcPr>
            <w:tcW w:type="dxa" w:w="31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Предлог «по» внутри слова «поставка» относил запрос к категории «ИТ и разработка ПО»</w:t>
            </w:r>
          </w:p>
        </w:tc>
        <w:tc>
          <w:tcPr>
            <w:tcW w:type="dxa" w:w="37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Сопоставление ключевых слов переведено на регулярные выражения с границами слова</w:t>
            </w:r>
          </w:p>
        </w:tc>
      </w:tr>
    </w:tbl>
    <w:p>
      <w:pPr>
        <w:spacing w:after="200"/>
      </w:pPr>
    </w:p>
    <w:p>
      <w:pPr>
        <w:pStyle w:val="Heading2"/>
        <w:spacing w:after="120" w:before="20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4.7 Результат работы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Работа выполнена в полном объёме. Работоспособность веб-сервиса подтверждена: все автоматические тесты пройдены, показатели качества поиска и производительности соответствуют установленным критериям приёмки, механизмы контроля достоверности ответов ассистента срабатывают корректно, деградация при недоступности внешних сервисов не приводит к отказу. Отчёт о тестировании формируется автоматически и входит в состав материалов проекта.</w:t>
      </w:r>
    </w:p>
    <w:p>
      <w:pPr>
        <w:pStyle w:val="Heading1"/>
        <w:pageBreakBefore/>
        <w:spacing w:after="20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 Создание сайта стартап-проекта</w:t>
      </w:r>
    </w:p>
    <w:p>
      <w:pPr>
        <w:pStyle w:val="Heading2"/>
        <w:spacing w:after="120" w:before="20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5.1 Требования к сайту и принятые решения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Сайт стартап-проекта создан с учётом требований, предъявляемых к результатам программы: на главной странице размещены сведения о продукте, логотипы Фонда содействия инновациям и мероприятия «Платформа университетского технологического предпринимательства», а также указание на поддержку проекта. Соответствие сайта предъявляемым требованиям приведено в таблице 10.</w:t>
      </w:r>
    </w:p>
    <w:p>
      <w:pPr>
        <w:spacing w:after="80" w:before="20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10 – Соответствие сайта стартап-проекта предъявляемым требованиям</w:t>
      </w:r>
    </w:p>
    <w:tbl>
      <w:tblPr>
        <w:tblW w:type="dxa" w:w="9355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BBBBBB" w:sz="4"/>
          <w:insideV w:val="single" w:color="BBBBBB" w:sz="4"/>
        </w:tblBorders>
      </w:tblPr>
      <w:tblGrid>
        <w:gridCol w:w="3555"/>
        <w:gridCol w:w="5800"/>
      </w:tblGrid>
      <w:tr>
        <w:trPr>
          <w:tblHeader/>
        </w:trPr>
        <w:tc>
          <w:tcPr>
            <w:tcW w:type="dxa" w:w="3555"/>
            <w:shd w:fill="F2ED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Требование</w:t>
            </w:r>
          </w:p>
        </w:tc>
        <w:tc>
          <w:tcPr>
            <w:tcW w:type="dxa" w:w="5800"/>
            <w:shd w:fill="F2ED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Реализация</w:t>
            </w:r>
          </w:p>
        </w:tc>
      </w:tr>
      <w:tr>
        <w:tc>
          <w:tcPr>
            <w:tcW w:type="dxa" w:w="35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Сведения о новом товаре, технологии или услуге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Разделы «Проблема», «Решение», «Как это работает» с описанием продукта и конвейера обработки запроса</w:t>
            </w:r>
          </w:p>
        </w:tc>
      </w:tr>
      <w:tr>
        <w:tc>
          <w:tcPr>
            <w:tcW w:type="dxa" w:w="35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Логотипы Фонда содействия инновациям и Платформы университетского технологического предпринимательства на главной странице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Блок «При поддержке» в первом экране сайта, а также раздел «Партнёры»</w:t>
            </w:r>
          </w:p>
        </w:tc>
      </w:tr>
      <w:tr>
        <w:tc>
          <w:tcPr>
            <w:tcW w:type="dxa" w:w="35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Указание на поддержку проекта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Формулировка о реализации проекта при поддержке Фонда содействия инновациям размещена в первом экране, в разделе «Партнёры» и в нижнем колонтитуле</w:t>
            </w:r>
          </w:p>
        </w:tc>
      </w:tr>
      <w:tr>
        <w:tc>
          <w:tcPr>
            <w:tcW w:type="dxa" w:w="35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Доступность сайта в сети Интернет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Сайт опубликован по адресу https://fanot.github.io/tenderai/</w:t>
            </w:r>
          </w:p>
        </w:tc>
      </w:tr>
    </w:tbl>
    <w:p>
      <w:pPr>
        <w:spacing w:after="200"/>
      </w:pPr>
    </w:p>
    <w:p>
      <w:pPr>
        <w:pStyle w:val="Heading2"/>
        <w:spacing w:after="120" w:before="20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5.2 Структура и содержание сайта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Сайт выполнен в виде одностраничного ресурса с навигацией по разделам: описание проблемы, решение, принцип работы сервиса, рынок и модель монетизации, дорожная карта развития, команда, партнёры и контакты. Первый экран сайта приведён на рисунке 7.</w:t>
      </w:r>
    </w:p>
    <w:p>
      <w:pPr>
        <w:spacing w:after="100" w:before="200" w:line="240" w:lineRule="auto"/>
        <w:jc w:val="center"/>
      </w:pPr>
      <w:r>
        <w:drawing>
          <wp:inline distT="0" distB="0" distL="0" distR="0">
            <wp:extent cx="5334000" cy="4171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7 – Главная страница сайта стартап-проекта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 сайта доступен интерактивный прототип сервиса, что позволяет ознакомиться с продуктом без регистрации и установки программного обеспечения. Блок сведений о партнёрах проекта приведён на рисунке 8.</w:t>
      </w:r>
    </w:p>
    <w:p>
      <w:pPr>
        <w:spacing w:after="100" w:before="200" w:line="240" w:lineRule="auto"/>
        <w:jc w:val="center"/>
      </w:pPr>
      <w:r>
        <w:drawing>
          <wp:inline distT="0" distB="0" distL="0" distR="0">
            <wp:extent cx="5715000" cy="3533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8 – Раздел «Партнёры» сайта стартап-проекта</w:t>
      </w:r>
    </w:p>
    <w:p>
      <w:pPr>
        <w:pStyle w:val="Heading2"/>
        <w:spacing w:after="120" w:before="20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5.3 Размещение и сопровождение сайта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Сайт размещён на платформе GitHub Pages по адресу https://fanot.github.io/tenderai/ и не требует расходов на хостинг. Публикация автоматизирована: изменения в основной ветке репозитория проекта инициируют сборку и обновление сайта без ручных операций. Вёрстка адаптивна и корректно отображается на мобильных устройствах.</w:t>
      </w:r>
    </w:p>
    <w:p>
      <w:pPr>
        <w:pStyle w:val="Heading2"/>
        <w:spacing w:after="120" w:before="20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5.4 Результат работы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Работа выполнена в полном объёме. Создан и опубликован в сети Интернет сайт стартап-проекта, содержащий сведения о продукте, рынке, дорожной карте развития, команде и партнёрах проекта, а также интерактивную демонстрационную версию сервиса.</w:t>
      </w:r>
    </w:p>
    <w:p>
      <w:pPr>
        <w:pStyle w:val="Heading1"/>
        <w:pageBreakBefore/>
        <w:spacing w:after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ЗАКЛЮЧЕНИЕ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ходе выполнения Работ по договору о предоставлении гранта создан работоспособный прототип веб-сервиса умного поиска тендеров с применением искусственного интеллекта. Все пять работ календарного плана выполнены в полном объёме.</w:t>
      </w:r>
    </w:p>
    <w:p>
      <w:pPr>
        <w:spacing w:after="6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результатам развития проекта сделаны следующие выводы.</w:t>
      </w:r>
    </w:p>
    <w:p>
      <w:pPr>
        <w:spacing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Предложенный подход к поиску закупок работоспособен: разбор запроса на естественном языке в сочетании с гибридным поиском обеспечивает точность на первой позиции 68 % и полноту выдачи 95 % в первых пяти позициях при задержке поиска не более 92 мс по 95-му процентилю.</w:t>
      </w:r>
    </w:p>
    <w:p>
      <w:pPr>
        <w:spacing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Архитектура генерации, дополненной поиском, применима к предметной области закупок: ответы ассистента формируются исключительно из найденных карточек и сопровождаются проверяемыми ссылками на источники, что является необходимым условием доверия к сервису в задачах, связанных с юридически значимыми сведениями.</w:t>
      </w:r>
    </w:p>
    <w:p>
      <w:pPr>
        <w:spacing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Вынесение поставщиков моделей искусственного интеллекта за отдельный программный интерфейс подтвердило практическую ценность: сервис сохраняет работоспособность при недоступности внешних интерфейсов и допускает выбор поставщика исходя из требований заказчика к размещению данных.</w:t>
      </w:r>
    </w:p>
    <w:p>
      <w:pPr>
        <w:spacing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Количественное тестирование выявило неочевидный дефект ранжирования, при котором надбавка за свежесть и статус закупки перевешивала релевантность и ухудшала качество поиска относительно базовой линии. Дефект устранён, результат закреплён регрессионным тестом. Это подтверждает необходимость измеримых критериев качества поиска на всех этапах развития проекта.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Поставленные на отчётный этап задачи решены полностью. Полученные результаты достаточны для перехода к следующему этапу развития проекта, содержанием которого являются подключение к открытым данным единой информационной системы в сфере закупок и регулярная синхронизация корпуса, реализация личного кабинета и уведомлений о новых закупках, перенос векторного хранилища во внешнюю специализированную систему, а также проведение пилотных внедрений с предприятиями-поставщиками.</w:t>
      </w:r>
    </w:p>
    <w:p>
      <w:pPr>
        <w:pStyle w:val="Heading1"/>
        <w:pageBreakBefore/>
        <w:spacing w:after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СПИСОК ИСПОЛЬЗОВАННЫХ ИСТОЧНИКОВ</w:t>
      </w:r>
    </w:p>
    <w:p>
      <w:pPr>
        <w:spacing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 Российская Федерация. Законы. О контрактной системе в сфере закупок товаров, работ, услуг для обеспечения государственных и муниципальных нужд : Федеральный закон от 05.04.2013 № 44-ФЗ : [принят Государственной Думой 22 марта 2013 года].</w:t>
      </w:r>
    </w:p>
    <w:p>
      <w:pPr>
        <w:spacing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 Российская Федерация. Законы. О закупках товаров, работ, услуг отдельными видами юридических лиц : Федеральный закон от 18.07.2011 № 223-ФЗ : [принят Государственной Думой 8 июля 2011 года].</w:t>
      </w:r>
    </w:p>
    <w:p>
      <w:pPr>
        <w:spacing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 Об установлении запрета на допуск программного обеспечения, происходящего из иностранных государств, для целей осуществления закупок для обеспечения государственных и муниципальных нужд : постановление Правительства Российской Федерации от 16.11.2015 № 1236.</w:t>
      </w:r>
    </w:p>
    <w:p>
      <w:pPr>
        <w:spacing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 ГОСТ 7.32-2017. Система стандартов по информации, библиотечному и издательскому делу. Отчёт о научно-исследовательской работе. Структура и правила оформления. – Москва : Стандартинформ, 2018. – 27 с.</w:t>
      </w:r>
    </w:p>
    <w:p>
      <w:pPr>
        <w:spacing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 Единая информационная система в сфере закупок : официальный сайт. – URL: https://zakupki.gov.ru (дата обращения: 18.08.2026).</w:t>
      </w:r>
    </w:p>
    <w:p>
      <w:pPr>
        <w:spacing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 Фонд содействия инновациям. Программа «Студенческий стартап» : официальный сайт. – URL: https://fasie.ru/programs/programma-studstartup/ (дата обращения: 18.08.2026).</w:t>
      </w:r>
    </w:p>
    <w:p>
      <w:pPr>
        <w:spacing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7 Платформа университетского технологического предпринимательства : официальный сайт. – URL: https://univertechpred.ru (дата обращения: 18.08.2026).</w:t>
      </w:r>
    </w:p>
    <w:p>
      <w:pPr>
        <w:spacing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8 Robertson S., Zaragoza H. The Probabilistic Relevance Framework: BM25 and Beyond // Foundations and Trends in Information Retrieval. – 2009. – Vol. 3, № 4. – P. 333–389.</w:t>
      </w:r>
    </w:p>
    <w:p>
      <w:pPr>
        <w:spacing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9 Cormack G. V., Clarke C. L. A., Buettcher S. Reciprocal Rank Fusion Outperforms Condorcet and Individual Rank Learning Methods // Proceedings of the 32nd International ACM SIGIR Conference on Research and Development in Information Retrieval. – New York : ACM, 2009. – P. 758–759.</w:t>
      </w:r>
    </w:p>
    <w:p>
      <w:pPr>
        <w:spacing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10 Lewis P., Perez E., Piktus A. [et al.]. Retrieval-Augmented Generation for Knowledge-Intensive NLP Tasks // Advances in Neural Information Processing Systems. – 2020. – Vol. 33. – P. 9459–9474.</w:t>
      </w:r>
    </w:p>
    <w:p>
      <w:pPr>
        <w:spacing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11 FastAPI : документация каркаса. – URL: https://fastapi.tiangolo.com (дата обращения: 18.08.2026).</w:t>
      </w:r>
    </w:p>
    <w:p>
      <w:pPr>
        <w:spacing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12 TenderAI : репозиторий исходного кода проекта. – URL: https://github.com/fanot/tenderai (дата обращения: 18.08.2026).</w:t>
      </w:r>
    </w:p>
    <w:p>
      <w:pPr>
        <w:spacing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13 TenderAI : сайт стартап-проекта. – URL: https://fanot.github.io/tenderai/ (дата обращения: 18.08.2026).</w:t>
      </w:r>
    </w:p>
    <w:p>
      <w:pPr>
        <w:pStyle w:val="Heading1"/>
        <w:pageBreakBefore/>
        <w:spacing w:after="12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ПРИЛОЖЕНИЕ А</w:t>
      </w:r>
    </w:p>
    <w:p>
      <w:pPr>
        <w:spacing w:after="20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(справочное)</w:t>
      </w:r>
    </w:p>
    <w:p>
      <w:pPr>
        <w:spacing w:after="20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Структура репозитория проекта</w:t>
      </w:r>
    </w:p>
    <w:p>
      <w:pPr>
        <w:spacing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backend/app/main.py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точка входа приложения FastAPI;</w:t>
      </w:r>
    </w:p>
    <w:p>
      <w:pPr>
        <w:spacing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backend/app/api/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методы программного интерфейса и схемы данных;</w:t>
      </w:r>
    </w:p>
    <w:p>
      <w:pPr>
        <w:spacing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backend/app/core/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конфигурация, загрузка данных, построение индекса;</w:t>
      </w:r>
    </w:p>
    <w:p>
      <w:pPr>
        <w:spacing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backend/app/rag/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модули поиска и RAG-ассистента;</w:t>
      </w:r>
    </w:p>
    <w:p>
      <w:pPr>
        <w:spacing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backend/app/data/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корпус закупок, описание схемы, адаптер источника ЕИС;</w:t>
      </w:r>
    </w:p>
    <w:p>
      <w:pPr>
        <w:spacing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frontend/index.html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одностраничное клиентское приложение;</w:t>
      </w:r>
    </w:p>
    <w:p>
      <w:pPr>
        <w:spacing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frontend/offline-engine.js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автономный поисковый движок;</w:t>
      </w:r>
    </w:p>
    <w:p>
      <w:pPr>
        <w:spacing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site/index.html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сайт стартап-проекта;</w:t>
      </w:r>
    </w:p>
    <w:p>
      <w:pPr>
        <w:spacing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tests/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автоматические тесты;</w:t>
      </w:r>
    </w:p>
    <w:p>
      <w:pPr>
        <w:spacing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scripts/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генерация корпуса, сборка автономного прототипа, прогон тестирования;</w:t>
      </w:r>
    </w:p>
    <w:p>
      <w:pPr>
        <w:spacing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docs/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отчёт о тестировании, описание дизайн-прототипа, инструкции по публикации;</w:t>
      </w:r>
    </w:p>
    <w:p>
      <w:pPr>
        <w:spacing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dist/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автономный прототип и материалы для публикации сайта;</w:t>
      </w:r>
    </w:p>
    <w:p>
      <w:pPr>
        <w:pStyle w:val="Heading1"/>
        <w:pageBreakBefore/>
        <w:spacing w:after="12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ПРИЛОЖЕНИЕ Б</w:t>
      </w:r>
    </w:p>
    <w:p>
      <w:pPr>
        <w:spacing w:after="20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(справочное)</w:t>
      </w:r>
    </w:p>
    <w:p>
      <w:pPr>
        <w:spacing w:after="20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Перечень методов программного интерфейса</w:t>
      </w:r>
    </w:p>
    <w:p>
      <w:pPr>
        <w:spacing w:after="80" w:before="20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Б.1 – Методы программного интерфейса веб-сервиса</w:t>
      </w:r>
    </w:p>
    <w:tbl>
      <w:tblPr>
        <w:tblW w:type="dxa" w:w="9355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BBBBBB" w:sz="4"/>
          <w:insideV w:val="single" w:color="BBBBBB" w:sz="4"/>
        </w:tblBorders>
      </w:tblPr>
      <w:tblGrid>
        <w:gridCol w:w="1123"/>
        <w:gridCol w:w="2619"/>
        <w:gridCol w:w="5613"/>
      </w:tblGrid>
      <w:tr>
        <w:trPr>
          <w:tblHeader/>
        </w:trPr>
        <w:tc>
          <w:tcPr>
            <w:tcW w:type="dxa" w:w="1123"/>
            <w:shd w:fill="F2ED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Метод</w:t>
            </w:r>
          </w:p>
        </w:tc>
        <w:tc>
          <w:tcPr>
            <w:tcW w:type="dxa" w:w="2619"/>
            <w:shd w:fill="F2ED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Путь</w:t>
            </w:r>
          </w:p>
        </w:tc>
        <w:tc>
          <w:tcPr>
            <w:tcW w:type="dxa" w:w="5613"/>
            <w:shd w:fill="F2ED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Назначение</w:t>
            </w:r>
          </w:p>
        </w:tc>
      </w:tr>
      <w:tr>
        <w:tc>
          <w:tcPr>
            <w:tcW w:type="dxa" w:w="11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GET</w:t>
            </w:r>
          </w:p>
        </w:tc>
        <w:tc>
          <w:tcPr>
            <w:tcW w:type="dxa" w:w="26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/api/health</w:t>
            </w:r>
          </w:p>
        </w:tc>
        <w:tc>
          <w:tcPr>
            <w:tcW w:type="dxa" w:w="56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Состояние сервиса, объём индекса, время его построения</w:t>
            </w:r>
          </w:p>
        </w:tc>
      </w:tr>
      <w:tr>
        <w:tc>
          <w:tcPr>
            <w:tcW w:type="dxa" w:w="11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GET</w:t>
            </w:r>
          </w:p>
        </w:tc>
        <w:tc>
          <w:tcPr>
            <w:tcW w:type="dxa" w:w="26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/api/meta</w:t>
            </w:r>
          </w:p>
        </w:tc>
        <w:tc>
          <w:tcPr>
            <w:tcW w:type="dxa" w:w="56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Справочники значений для панели фильтров</w:t>
            </w:r>
          </w:p>
        </w:tc>
      </w:tr>
      <w:tr>
        <w:tc>
          <w:tcPr>
            <w:tcW w:type="dxa" w:w="11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POST</w:t>
            </w:r>
          </w:p>
        </w:tc>
        <w:tc>
          <w:tcPr>
            <w:tcW w:type="dxa" w:w="26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/api/search</w:t>
            </w:r>
          </w:p>
        </w:tc>
        <w:tc>
          <w:tcPr>
            <w:tcW w:type="dxa" w:w="56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Поиск закупок: запрос, фильтры, сортировка, постраничный вывод</w:t>
            </w:r>
          </w:p>
        </w:tc>
      </w:tr>
      <w:tr>
        <w:tc>
          <w:tcPr>
            <w:tcW w:type="dxa" w:w="11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GET</w:t>
            </w:r>
          </w:p>
        </w:tc>
        <w:tc>
          <w:tcPr>
            <w:tcW w:type="dxa" w:w="26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/api/tenders/{id}</w:t>
            </w:r>
          </w:p>
        </w:tc>
        <w:tc>
          <w:tcPr>
            <w:tcW w:type="dxa" w:w="56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Полная карточка закупки и перечень похожих закупок</w:t>
            </w:r>
          </w:p>
        </w:tc>
      </w:tr>
      <w:tr>
        <w:tc>
          <w:tcPr>
            <w:tcW w:type="dxa" w:w="11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GET</w:t>
            </w:r>
          </w:p>
        </w:tc>
        <w:tc>
          <w:tcPr>
            <w:tcW w:type="dxa" w:w="26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/api/similar/{id}</w:t>
            </w:r>
          </w:p>
        </w:tc>
        <w:tc>
          <w:tcPr>
            <w:tcW w:type="dxa" w:w="56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Похожие закупки для заданной карточки</w:t>
            </w:r>
          </w:p>
        </w:tc>
      </w:tr>
      <w:tr>
        <w:tc>
          <w:tcPr>
            <w:tcW w:type="dxa" w:w="11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POST</w:t>
            </w:r>
          </w:p>
        </w:tc>
        <w:tc>
          <w:tcPr>
            <w:tcW w:type="dxa" w:w="26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/api/assistant/ask</w:t>
            </w:r>
          </w:p>
        </w:tc>
        <w:tc>
          <w:tcPr>
            <w:tcW w:type="dxa" w:w="56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Вопрос RAG-ассистенту; ответ со ссылками на источники</w:t>
            </w:r>
          </w:p>
        </w:tc>
      </w:tr>
      <w:tr>
        <w:tc>
          <w:tcPr>
            <w:tcW w:type="dxa" w:w="11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GET</w:t>
            </w:r>
          </w:p>
        </w:tc>
        <w:tc>
          <w:tcPr>
            <w:tcW w:type="dxa" w:w="26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/api/analytics/overview</w:t>
            </w:r>
          </w:p>
        </w:tc>
        <w:tc>
          <w:tcPr>
            <w:tcW w:type="dxa" w:w="56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Агрегированные показатели по корпусу закупок</w:t>
            </w:r>
          </w:p>
        </w:tc>
      </w:tr>
    </w:tbl>
    <w:p>
      <w:pPr>
        <w:spacing w:after="200"/>
      </w:pPr>
    </w:p>
    <w:p>
      <w:pPr>
        <w:pStyle w:val="Heading1"/>
        <w:pageBreakBefore/>
        <w:spacing w:after="12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ПРИЛОЖЕНИЕ В</w:t>
      </w:r>
    </w:p>
    <w:p>
      <w:pPr>
        <w:spacing w:after="20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(справочное)</w:t>
      </w:r>
    </w:p>
    <w:p>
      <w:pPr>
        <w:spacing w:after="20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Состав набора автоматических тестов</w:t>
      </w:r>
    </w:p>
    <w:p>
      <w:pPr>
        <w:spacing w:after="80" w:before="20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В.1 – Состав набора автоматических тестов</w:t>
      </w:r>
    </w:p>
    <w:tbl>
      <w:tblPr>
        <w:tblW w:type="dxa" w:w="9355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BBBBBB" w:sz="4"/>
          <w:insideV w:val="single" w:color="BBBBBB" w:sz="4"/>
        </w:tblBorders>
      </w:tblPr>
      <w:tblGrid>
        <w:gridCol w:w="2432"/>
        <w:gridCol w:w="5426"/>
        <w:gridCol w:w="1497"/>
      </w:tblGrid>
      <w:tr>
        <w:trPr>
          <w:tblHeader/>
        </w:trPr>
        <w:tc>
          <w:tcPr>
            <w:tcW w:type="dxa" w:w="2432"/>
            <w:shd w:fill="F2ED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Файл набора</w:t>
            </w:r>
          </w:p>
        </w:tc>
        <w:tc>
          <w:tcPr>
            <w:tcW w:type="dxa" w:w="5426"/>
            <w:shd w:fill="F2ED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Проверяемая функциональность</w:t>
            </w:r>
          </w:p>
        </w:tc>
        <w:tc>
          <w:tcPr>
            <w:tcW w:type="dxa" w:w="1497"/>
            <w:shd w:fill="F2ED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Тестовых случаев</w:t>
            </w:r>
          </w:p>
        </w:tc>
      </w:tr>
      <w:tr>
        <w:tc>
          <w:tcPr>
            <w:tcW w:type="dxa" w:w="24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test_query_parser.py</w:t>
            </w:r>
          </w:p>
        </w:tc>
        <w:tc>
          <w:tcPr>
            <w:tcW w:type="dxa" w:w="5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Разбор запроса на естественном языке: закон, регион, категория, диапазон цены, признак СМП, очистка поисковой строки</w:t>
            </w:r>
          </w:p>
        </w:tc>
        <w:tc>
          <w:tcPr>
            <w:tcW w:type="dxa" w:w="149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20</w:t>
            </w:r>
          </w:p>
        </w:tc>
      </w:tr>
      <w:tr>
        <w:tc>
          <w:tcPr>
            <w:tcW w:type="dxa" w:w="24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test_api.py</w:t>
            </w:r>
          </w:p>
        </w:tc>
        <w:tc>
          <w:tcPr>
            <w:tcW w:type="dxa" w:w="5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Методы программного интерфейса, постраничный вывод, сортировки, приоритет фильтров, обработка ошибок, согласованность аналитики</w:t>
            </w:r>
          </w:p>
        </w:tc>
        <w:tc>
          <w:tcPr>
            <w:tcW w:type="dxa" w:w="149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17</w:t>
            </w:r>
          </w:p>
        </w:tc>
      </w:tr>
      <w:tr>
        <w:tc>
          <w:tcPr>
            <w:tcW w:type="dxa" w:w="24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test_retrieval_quality.py</w:t>
            </w:r>
          </w:p>
        </w:tc>
        <w:tc>
          <w:tcPr>
            <w:tcW w:type="dxa" w:w="5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Качество поиска: P@1, Recall@5, Recall@10, MRR, сравнение с базовой линией, строгость фильтров, точный поиск по реестровому номеру</w:t>
            </w:r>
          </w:p>
        </w:tc>
        <w:tc>
          <w:tcPr>
            <w:tcW w:type="dxa" w:w="149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7</w:t>
            </w:r>
          </w:p>
        </w:tc>
      </w:tr>
      <w:tr>
        <w:tc>
          <w:tcPr>
            <w:tcW w:type="dxa" w:w="24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test_rag_assistant.py</w:t>
            </w:r>
          </w:p>
        </w:tc>
        <w:tc>
          <w:tcPr>
            <w:tcW w:type="dxa" w:w="5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Определение типа вопроса, корректность ссылок на источники, срабатывание контроля достоверности, наследование контекста поиска</w:t>
            </w:r>
          </w:p>
        </w:tc>
        <w:tc>
          <w:tcPr>
            <w:tcW w:type="dxa" w:w="149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15</w:t>
            </w:r>
          </w:p>
        </w:tc>
      </w:tr>
      <w:tr>
        <w:tc>
          <w:tcPr>
            <w:tcW w:type="dxa" w:w="24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test_robustness_and_performance.py</w:t>
            </w:r>
          </w:p>
        </w:tc>
        <w:tc>
          <w:tcPr>
            <w:tcW w:type="dxa" w:w="5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Устойчивость к словоформам и опечаткам, отсутствие дубликатов в выдаче, задержка поиска, режимы деградации</w:t>
            </w:r>
          </w:p>
        </w:tc>
        <w:tc>
          <w:tcPr>
            <w:tcW w:type="dxa" w:w="149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11</w:t>
            </w:r>
          </w:p>
        </w:tc>
      </w:tr>
    </w:tbl>
    <w:p>
      <w:pPr>
        <w:spacing w:after="200"/>
      </w:pP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Общее количество тестовых случаев — 70. Прогон набора занимает около 15 с. Результаты прогона и рассчитанные метрики сохраняются в машиночитаемом виде и в виде отчёта о тестировании.</w:t>
      </w:r>
    </w:p>
    <w:sectPr>
      <w:footerReference w:type="default" r:id="rId7"/>
      <w:pgSz w:w="11906" w:h="16838" w:orient="portrait"/>
      <w:pgMar w:top="1133" w:right="850" w:bottom="1133" w:left="1700" w:header="708" w:footer="708" w:gutter="0"/>
      <w:pgNumType w:start="2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5231bc70353ad9211e70d5c8529d27c2a946d6ed.png"/><Relationship Id="rId9" Type="http://schemas.openxmlformats.org/officeDocument/2006/relationships/image" Target="media/e4cb85df1e6b2afc7bfa4ff051deef703b665250.png"/><Relationship Id="rId10" Type="http://schemas.openxmlformats.org/officeDocument/2006/relationships/image" Target="media/77b91273feebc56a010189b255db8f8a63964943.png"/><Relationship Id="rId11" Type="http://schemas.openxmlformats.org/officeDocument/2006/relationships/image" Target="media/5155b0ea309cc31ce079bca3ae2cee2921f17885.png"/><Relationship Id="rId12" Type="http://schemas.openxmlformats.org/officeDocument/2006/relationships/image" Target="media/40602358dd5f5487a5c0eb26a57350a1329b421f.png"/><Relationship Id="rId13" Type="http://schemas.openxmlformats.org/officeDocument/2006/relationships/image" Target="media/504fb961b8ac7c9ce46c38eedc5dd2d8b804f260.png"/><Relationship Id="rId14" Type="http://schemas.openxmlformats.org/officeDocument/2006/relationships/image" Target="media/2ab6be4ee21cde0a27690874af9dd0abd3600230.png"/><Relationship Id="rId15" Type="http://schemas.openxmlformats.org/officeDocument/2006/relationships/image" Target="media/fb3898faf69a1ffbe4b112c784e7bbf1630d315c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о выполнении Работ (заключительный)</dc:title>
  <dc:creator>Янышевская К. В.</dc:creator>
  <dc:description>Создание веб-сервиса умного поиска тендеров с помощью искусственного интеллекта</dc:description>
  <cp:lastModifiedBy>Un-named</cp:lastModifiedBy>
  <cp:revision>1</cp:revision>
  <dcterms:created xsi:type="dcterms:W3CDTF">2026-08-18T10:18:21.065Z</dcterms:created>
  <dcterms:modified xsi:type="dcterms:W3CDTF">2026-08-18T10:18:21.065Z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