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РЕФЕРАТ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Отчёт 20 с., 6 рис., 9 табл., 13 источников.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ВЕБ-СЕРВИС, ПОИСК ТЕНДЕРОВ, ГОСУДАРСТВЕННЫЕ ЗАКУПКИ, 44-ФЗ, 223-ФЗ, ИСКУССТВЕННЫЙ ИНТЕЛЛЕКТ, БОЛЬШИЕ ЯЗЫКОВЫЕ МОДЕЛИ, RAG, ГИБРИДНЫЙ ПОИСК, СЕМАНТИЧЕСКИЙ ПОИСК, BM25, ЭМБЕДДИНГИ, ПРОТОТИП, ТЕСТИРОВАНИЕ, СТАРТАП-ПРОЕКТ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Объектом разработки является веб-сервис умного поиска тендеров с применением искусственного интеллекта. Цель работ отчётного этапа — создание работоспособного прототипа сервиса, обеспечивающего подбор закупок по 44-ФЗ и 223-ФЗ по запросу на естественном языке и разъяснение условий участия.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выполнения Работ разработан прототип дизайна интерфейса, реализован прототип RAG-ассистента на основе гибридного поиска (BM25 и плотные векторные представления с объединением ранжирований методом Reciprocal Rank Fusion), разработаны прототипы frontend- и backend-модулей, выполнено тестирование работоспособности и создан сайт стартап-проекта.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Прототип подтвердил работоспособность предложенных решений: все 70 автоматических тестов пройдены, точность поиска на первой позиции составила 68 %, полнота выдачи в первых пяти позициях — 95 %, средний обратный ранг — 0,803, задержка поиска по 95-му процентилю — 92 мс. Механизм контроля ссылок на источники исключает формирование ответов, не подтверждённых карточками закупок. Результаты работ применимы для дальнейшего развития проекта до промышленного решения и коммерциализации.</w:t>
      </w:r>
    </w:p>
    <w:p>
      <w:pPr>
        <w:pStyle w:val="Heading1"/>
        <w:pageBreakBefore/>
        <w:spacing w:after="20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ВВЕДЕНИЕ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4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 Разработка прототипа дизайна для веб-сервиса по поиску тендеров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6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1.1 Пользовательские сценарии и структура интерфейса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6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1.2 Экраны прототипа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6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1.3 Результат работы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7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 Разработка прототипа RAG-ассистента для веб-сервиса по поиску тендеров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8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2.1 Архитектура конвейера обработки запроса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8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2.2 Разбор запроса и гибридный поиск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8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2.3 Формирование ответа и контроль достоверности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9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2.4 Результат работы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11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3 Разработка прототипа frontend и backend модулей веб-сервиса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12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3.1 Архитектура и состав программных модулей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12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3.2 Модель данных и источник закупок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13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3.3 Результат работы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13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 Тестирование веб-сервиса на работоспособность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14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4.1 Методика тестирования и сводные результаты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14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4.2 Оценка качества поиска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14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4.3 Производительность и режимы деградации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15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4.4 Выявленные и устранённые дефекты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15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4.5 Результат работы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16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5 Создание сайта стартап-проекта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17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5.1 Требования, структура и содержание сайта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17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5.2 Размещение и сопровождение сайта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18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5.3 Результат работы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18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ЗАКЛЮЧЕНИЕ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19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СПИСОК ИСПОЛЬЗОВАННЫХ ИСТОЧНИКОВ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20</w:t>
      </w:r>
    </w:p>
    <w:p>
      <w:pPr>
        <w:pStyle w:val="Heading1"/>
        <w:pageBreakBefore/>
        <w:spacing w:after="20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ВВЕДЕНИЕ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Рынок государственных и корпоративных закупок — один из крупнейших каналов сбыта для предприятий малого и среднего предпринимательства. Однако инструменты поиска закупок на существующих площадках рассчитаны на подготовленного пользователя: они требуют знания терминологии заказчика, кодов ОКПД2 и структуры фильтров. Формулировки предмета закупки систематически расходятся с тем, как поставщик описывает собственную продукцию, вследствие чего часть подходящих закупок не обнаруживается при поиске по ключевым словам. Решение об участии дополнительно требует изучения извещения: требований к участникам, лицензий, размеров обеспечения и сроков поставки.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Целью развития проекта является создание веб-сервиса умного поиска тендеров, который принимает запрос на естественном языке, самостоятельно распознаёт условия отбора, находит релевантные закупки и разъясняет условия участия, подтверждая каждое утверждение ссылкой на первоисточник.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достижения указанной цели на отчётном этапе решались следующие задачи: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разработка прототипа дизайна веб-сервиса, определяющего пользовательские сценарии и структуру интерфейса;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разработка прототипа ассистента на базе технологии генерации, дополненной поиском, обеспечивающего понимание запроса на естественном языке и формирование ответов со ссылками на источники;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разработка прототипов frontend- и backend-модулей, реализующих поиск, работу с карточками закупок и взаимодействие с ассистентом;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тестирование веб-сервиса на работоспособность с количественной оценкой качества поиска и производительности;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создание сайта стартап-проекта.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Задачи соответствуют работам календарного плана выполнения Работ; наименования разделов основной части настоящего отчёта совпадают с наименованиями работ. Соответствие работ и полученных результатов приведено в таблице 1.</w:t>
      </w:r>
    </w:p>
    <w:p>
      <w:pPr>
        <w:spacing w:after="60" w:before="16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Соответствие работ календарного плана и полученных результатов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3742"/>
        <w:gridCol w:w="5613"/>
      </w:tblGrid>
      <w:tr>
        <w:trPr>
          <w:tblHeader/>
        </w:trPr>
        <w:tc>
          <w:tcPr>
            <w:tcW w:type="dxa" w:w="3742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Работа</w:t>
            </w:r>
          </w:p>
        </w:tc>
        <w:tc>
          <w:tcPr>
            <w:tcW w:type="dxa" w:w="5613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Полученный результат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 Разработка прототипа дизайна для веб-сервиса по поиску тендеров</w:t>
            </w:r>
          </w:p>
        </w:tc>
        <w:tc>
          <w:tcPr>
            <w:tcW w:type="dxa" w:w="56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Действующий прототип интерфейса: экраны поиска, карточки закупки, диалога с ассистентом и аналитики; описание дизайн-системы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 Разработка прототипа RAG-ассистента для веб-сервиса по поиску тендеров</w:t>
            </w:r>
          </w:p>
        </w:tc>
        <w:tc>
          <w:tcPr>
            <w:tcW w:type="dxa" w:w="56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Программный модуль ассистента: разбор запроса, гибридный поиск, генерация ответа со ссылками, контроль достоверности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 Разработка прототипа frontend и backend модулей веб-сервиса</w:t>
            </w:r>
          </w:p>
        </w:tc>
        <w:tc>
          <w:tcPr>
            <w:tcW w:type="dxa" w:w="56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Backend на FastAPI (7 методов API) и одностраничное frontend-приложение; корпус из 480 карточек закупок; адаптер источника данных ЕИС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 Тестирование веб-сервиса на работоспособность</w:t>
            </w:r>
          </w:p>
        </w:tc>
        <w:tc>
          <w:tcPr>
            <w:tcW w:type="dxa" w:w="56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из 70 автоматических тестов, методика и отчёт о тестировании с количественными метриками качества поиска и производительности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 Создание сайта стартап-проекта</w:t>
            </w:r>
          </w:p>
        </w:tc>
        <w:tc>
          <w:tcPr>
            <w:tcW w:type="dxa" w:w="56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Опубликованный сайт стартап-проекта с описанием продукта, рынка, дорожной карты, команды и сведений о поддержке</w:t>
            </w:r>
          </w:p>
        </w:tc>
      </w:tr>
    </w:tbl>
    <w:p>
      <w:pPr>
        <w:spacing w:after="160"/>
      </w:pPr>
    </w:p>
    <w:p>
      <w:pPr>
        <w:pStyle w:val="Heading1"/>
        <w:pageBreakBefore/>
        <w:spacing w:after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Разработка прототипа дизайна для веб-сервиса по поиску тендеров</w:t>
      </w:r>
    </w:p>
    <w:p>
      <w:pPr>
        <w:pStyle w:val="Heading2"/>
        <w:spacing w:after="80" w:before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Пользовательские сценарии и структура интерфейса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Проектирование интерфейса выполнялось исходя из принципа: пользователь не должен владеть терминологией сферы закупок, чтобы начать работу с сервисом. Поле поиска принимает произвольную формулировку, а сервис отображает результат её распознавания, что обеспечивает контролируемость и предсказуемость выдачи. Выделены четыре пользовательских сценария: поиск закупок по профилю деятельности поставщика; оценка применимости конкретной закупки без обращения к документации на площадке; контроль сроков подачи заявок; оценка ниши по распределению закупок и объёму начальных (максимальных) цен контрактов.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Разработана дизайн-система, задающая палитру, типографику, сетку и параметры элементов управления. Контраст основного текста к фону — 15,9:1, вторичного — 4,9:1 (уровень AA рекомендаций по доступности). Основной экран построен по трёхколоночной сетке: панель фильтров, лента результатов и панель ассистента; предусмотрены три контрольные точки адаптивной вёрстки для экранов различной ширины. Интерактивные элементы реализованы нативными элементами управления, что обеспечивает работу клавиатурной навигации и программ экранного доступа.</w:t>
      </w:r>
    </w:p>
    <w:p>
      <w:pPr>
        <w:pStyle w:val="Heading2"/>
        <w:spacing w:after="80" w:before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Экраны прототипа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Прототип включает четыре экрана: поиск (основной рабочий экран), карточку закупки, аналитику и описание принципа работы сервиса. Главный экран прототипа в момент обработки запроса «разработка информационной системы в Москве до 20 млн по 44-ФЗ» приведён на рисунке 1. Под строкой поиска отображаются распознанные условия отбора, а под каждым результатом — причины его включения в подборку. По нажатию на результат открывается карточка закупки с полными реквизитами извещения, требованиями к участникам, сведениями об обеспечении и сроках и переходом к диалогу с ассистентом.</w:t>
      </w:r>
    </w:p>
    <w:p>
      <w:pPr>
        <w:spacing w:after="80" w:before="160" w:line="240" w:lineRule="auto"/>
        <w:jc w:val="center"/>
      </w:pPr>
      <w:r>
        <w:drawing>
          <wp:inline distT="0" distB="0" distL="0" distR="0">
            <wp:extent cx="4191000" cy="2552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Главный экран прототипа веб-сервиса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Экран аналитики (рисунок 2) отображает агрегированные показатели по корпусу закупок: пять ключевых показателей, распределения по категориям, регионам и законам, а также список закупок с ближайшими сроками подачи заявок. Для сравнения категорий и регионов применены горизонтальные полосы, поскольку сравнение длин воспринимается точнее, чем сравнение секторов круговой диаграммы.</w:t>
      </w:r>
    </w:p>
    <w:p>
      <w:pPr>
        <w:spacing w:after="80" w:before="160" w:line="240" w:lineRule="auto"/>
        <w:jc w:val="center"/>
      </w:pPr>
      <w:r>
        <w:drawing>
          <wp:inline distT="0" distB="0" distL="0" distR="0">
            <wp:extent cx="4191000" cy="2552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– Экран аналитики</w:t>
      </w:r>
    </w:p>
    <w:p>
      <w:pPr>
        <w:pStyle w:val="Heading2"/>
        <w:spacing w:after="80" w:before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 Результат работы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выполнена в полном объёме. Получен действующий прототип дизайна веб-сервиса из четырёх экранов с описанной дизайн-системой. Прототип реализован без сборщиков и внешних библиотек, что исключает расхождение между макетом и реализацией.</w:t>
      </w:r>
    </w:p>
    <w:p>
      <w:pPr>
        <w:pStyle w:val="Heading1"/>
        <w:pageBreakBefore/>
        <w:spacing w:after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Разработка прототипа RAG-ассистента для веб-сервиса по поиску тендеров</w:t>
      </w:r>
    </w:p>
    <w:p>
      <w:pPr>
        <w:pStyle w:val="Heading2"/>
        <w:spacing w:after="80" w:before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Архитектура конвейера обработки запроса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Ассистент реализован по архитектуре генерации, дополненной поиском: языковая модель формирует ответ исключительно на основе фрагментов карточек закупок, предварительно найденных поисковой подсистемой. Такой подход исключает использование сведений, отсутствующих в базе закупок, и обеспечивает прослеживаемость каждого утверждения до источника. Схема конвейера приведена на рисунке 3.</w:t>
      </w:r>
    </w:p>
    <w:p>
      <w:pPr>
        <w:spacing w:after="80" w:before="160" w:line="240" w:lineRule="auto"/>
        <w:jc w:val="center"/>
      </w:pPr>
      <w:r>
        <w:drawing>
          <wp:inline distT="0" distB="0" distL="0" distR="0">
            <wp:extent cx="3905250" cy="275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 – Схема конвейера обработки запроса</w:t>
      </w:r>
    </w:p>
    <w:p>
      <w:pPr>
        <w:pStyle w:val="Heading2"/>
        <w:spacing w:after="80" w:before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Разбор запроса и гибридный поиск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Первым звеном конвейера является модуль разбора запроса, который извлекает из произвольной формулировки структурные условия отбора: применяемый закон (44-ФЗ либо 223-ФЗ), регион, категорию продукции, диапазон начальной (максимальной) цены контракта, признак закупки для субъектов малого предпринимательства и требование актуальности. Так, запрос «разработка информационной системы в Москве до 20 млн по 44-ФЗ» преобразуется в четыре точных фильтра и очищенную поисковую строку. Распознанные условия отображаются пользователю и могут быть изменены вручную; явно заданное в интерфейсе условие имеет приоритет над распознанным из текста запроса.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Каждая карточка закупки разбивается на три смысловых фрагмента: сведения о закупке, условия и сроки, требования к участникам. Такое разбиение, в отличие от нарезки по фиксированному числу символов, позволяет ассистенту ссылаться на конкретный раздел карточки. Корпус из 480 карточек образует 1440 индексируемых фрагментов.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Поиск выполняется двумя независимыми методами. Лексический поиск на основе функции ранжирования BM25 обеспечивает нахождение точных терминов, кодов ОКПД2 и реестровых номеров; для устойчивости к словоформам применён стеммер русского языка, для устойчивости к опечаткам — сопоставление терминов запроса со словарём индекса по расстоянию редактирования не более единицы. Семантический поиск по плотным векторным представлениям обеспечивает нахождение синонимов и близких по смыслу формулировок. Два ранжирования объединяются методом Reciprocal Rank Fusion, который не требует приведения оценок разных методов к единой шкале, после чего применяются жёсткие фильтры и ограниченная надбавка за бизнес-признаки. Значения параметров ранжирования приведены в таблице 2.</w:t>
      </w:r>
    </w:p>
    <w:p>
      <w:pPr>
        <w:spacing w:after="60" w:before="16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Параметры подсистемы ранжирования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2807"/>
        <w:gridCol w:w="1310"/>
        <w:gridCol w:w="5239"/>
      </w:tblGrid>
      <w:tr>
        <w:trPr>
          <w:tblHeader/>
        </w:trPr>
        <w:tc>
          <w:tcPr>
            <w:tcW w:type="dxa" w:w="2807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1310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Значение</w:t>
            </w:r>
          </w:p>
        </w:tc>
        <w:tc>
          <w:tcPr>
            <w:tcW w:type="dxa" w:w="5239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Назначение</w:t>
            </w:r>
          </w:p>
        </w:tc>
      </w:tr>
      <w:tr>
        <w:tc>
          <w:tcPr>
            <w:tcW w:type="dxa" w:w="28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k1 / b (BM25)</w:t>
            </w:r>
          </w:p>
        </w:tc>
        <w:tc>
          <w:tcPr>
            <w:tcW w:type="dxa" w:w="13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1,5 / 0,75</w:t>
            </w:r>
          </w:p>
        </w:tc>
        <w:tc>
          <w:tcPr>
            <w:tcW w:type="dxa" w:w="523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Параметры насыщения частоты термина и нормировки по длине документа</w:t>
            </w:r>
          </w:p>
        </w:tc>
      </w:tr>
      <w:tr>
        <w:tc>
          <w:tcPr>
            <w:tcW w:type="dxa" w:w="28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Вес нечёткого совпадения</w:t>
            </w:r>
          </w:p>
        </w:tc>
        <w:tc>
          <w:tcPr>
            <w:tcW w:type="dxa" w:w="13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0,7</w:t>
            </w:r>
          </w:p>
        </w:tc>
        <w:tc>
          <w:tcPr>
            <w:tcW w:type="dxa" w:w="523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Понижающий коэффициент для терминов, подобранных при исправлении опечатки</w:t>
            </w:r>
          </w:p>
        </w:tc>
      </w:tr>
      <w:tr>
        <w:tc>
          <w:tcPr>
            <w:tcW w:type="dxa" w:w="28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Константа RRF</w:t>
            </w:r>
          </w:p>
        </w:tc>
        <w:tc>
          <w:tcPr>
            <w:tcW w:type="dxa" w:w="13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523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Обеспечивает различимость оценок соседних позиций при слиянии ранжирований</w:t>
            </w:r>
          </w:p>
        </w:tc>
      </w:tr>
      <w:tr>
        <w:tc>
          <w:tcPr>
            <w:tcW w:type="dxa" w:w="28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Вес семантической ветви</w:t>
            </w:r>
          </w:p>
        </w:tc>
        <w:tc>
          <w:tcPr>
            <w:tcW w:type="dxa" w:w="13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0,5</w:t>
            </w:r>
          </w:p>
        </w:tc>
        <w:tc>
          <w:tcPr>
            <w:tcW w:type="dxa" w:w="523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Вклад векторного поиска относительно лексического</w:t>
            </w:r>
          </w:p>
        </w:tc>
      </w:tr>
      <w:tr>
        <w:tc>
          <w:tcPr>
            <w:tcW w:type="dxa" w:w="28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Предел надбавки за бизнес-признаки</w:t>
            </w:r>
          </w:p>
        </w:tc>
        <w:tc>
          <w:tcPr>
            <w:tcW w:type="dxa" w:w="13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0,20</w:t>
            </w:r>
          </w:p>
        </w:tc>
        <w:tc>
          <w:tcPr>
            <w:tcW w:type="dxa" w:w="523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Ограничивает влияние свежести и статуса, сохраняя определяющую роль релевантности</w:t>
            </w:r>
          </w:p>
        </w:tc>
      </w:tr>
    </w:tbl>
    <w:p>
      <w:pPr>
        <w:spacing w:after="160"/>
      </w:pPr>
    </w:p>
    <w:p>
      <w:pPr>
        <w:pStyle w:val="Heading2"/>
        <w:spacing w:after="80" w:before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 Формирование ответа и контроль достоверности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Найденные фрагменты формируют нумерованный контекст, ограниченный бюджетом в 6000 символов, который передаётся языковой модели вместе с системной инструкцией: отвечать только по контексту, сопровождать утверждения ссылками вида [n], прямо сообщать о недостаточности данных и не давать юридических гарантий. Ассистент распознаёт тип вопроса — о требованиях, сроках, ценах или сводных показателях — и соответствующим образом строит ответ. Работа с языковыми моделями вынесена за отдельный программный интерфейс, что позволяет сменить поставщика без изменения остальной части системы (таблица 3).</w:t>
      </w:r>
    </w:p>
    <w:p>
      <w:pPr>
        <w:spacing w:after="60" w:before="16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 – Поддерживаемые поставщики моделей искусственного интеллекта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1871"/>
        <w:gridCol w:w="2245"/>
        <w:gridCol w:w="1684"/>
        <w:gridCol w:w="3555"/>
      </w:tblGrid>
      <w:tr>
        <w:trPr>
          <w:tblHeader/>
        </w:trPr>
        <w:tc>
          <w:tcPr>
            <w:tcW w:type="dxa" w:w="1871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Поставщик</w:t>
            </w:r>
          </w:p>
        </w:tc>
        <w:tc>
          <w:tcPr>
            <w:tcW w:type="dxa" w:w="2245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Векторные представления</w:t>
            </w:r>
          </w:p>
        </w:tc>
        <w:tc>
          <w:tcPr>
            <w:tcW w:type="dxa" w:w="1684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Генерация</w:t>
            </w:r>
          </w:p>
        </w:tc>
        <w:tc>
          <w:tcPr>
            <w:tcW w:type="dxa" w:w="3555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Особенности</w:t>
            </w:r>
          </w:p>
        </w:tc>
      </w:tr>
      <w:tr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Локальный режим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Хеширующий векторизатор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Экстрактивный генератор</w:t>
            </w:r>
          </w:p>
        </w:tc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Работает без ключей доступа и без сети; применяется по умолчанию и как режим деградации</w:t>
            </w:r>
          </w:p>
        </w:tc>
      </w:tr>
      <w:tr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YandexGPT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text-search-doc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yandexgpt</w:t>
            </w:r>
          </w:p>
        </w:tc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Размещение данных на территории Российской Федерации</w:t>
            </w:r>
          </w:p>
        </w:tc>
      </w:tr>
      <w:tr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GigaChat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Embeddings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GigaChat</w:t>
            </w:r>
          </w:p>
        </w:tc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Размещение данных на территории Российской Федерации</w:t>
            </w:r>
          </w:p>
        </w:tc>
      </w:tr>
      <w:tr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OpenAI и совместимые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text-embedding-3-small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gpt-4o-mini</w:t>
            </w:r>
          </w:p>
        </w:tc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Применяется при отсутствии ограничений на трансграничную передачу данных</w:t>
            </w:r>
          </w:p>
        </w:tc>
      </w:tr>
    </w:tbl>
    <w:p>
      <w:pPr>
        <w:spacing w:after="160"/>
      </w:pP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недоступности внешнего интерфейса модели сервис не возвращает ошибку, а переходит к локальному генератору, который формирует ответ по шаблонам из найденных фрагментов. Для защиты от не подтверждённых источниками утверждений реализован механизм контроля ссылок: после получения ответа проверяется, что каждая ссылка вида [n] соответствует существующему фрагменту контекста, а ответ при наличии источников содержит хотя бы одну ссылку. Нарушения фиксируются и выводятся пользователю в виде предупреждения. При отсутствии подходящих закупок ассистент прямо сообщает об этом. Пример ответа приведён на рисунке 4; ссылки в тексте ответа интерактивны и открывают карточку соответствующей закупки.</w:t>
      </w:r>
    </w:p>
    <w:p>
      <w:pPr>
        <w:spacing w:after="80" w:before="160" w:line="240" w:lineRule="auto"/>
        <w:jc w:val="center"/>
      </w:pPr>
      <w:r>
        <w:drawing>
          <wp:inline distT="0" distB="0" distL="0" distR="0">
            <wp:extent cx="1762125" cy="3581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2125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 – Ответ ассистента со ссылками на источники</w:t>
      </w:r>
    </w:p>
    <w:p>
      <w:pPr>
        <w:pStyle w:val="Heading2"/>
        <w:spacing w:after="80" w:before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2.4 Результат работы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выполнена в полном объёме. Разработан прототип RAG-ассистента: разбор запроса, лексический и семантический поиск, слияние ранжирований, формирование контекста, генерация ответа и контроль достоверности. Ассистент работоспособен как с внешними языковыми моделями, так и в полностью автономном режиме.</w:t>
      </w:r>
    </w:p>
    <w:p>
      <w:pPr>
        <w:pStyle w:val="Heading1"/>
        <w:pageBreakBefore/>
        <w:spacing w:after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Разработка прототипа frontend и backend модулей веб-сервиса</w:t>
      </w:r>
    </w:p>
    <w:p>
      <w:pPr>
        <w:pStyle w:val="Heading2"/>
        <w:spacing w:after="80" w:before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Архитектура и состав программных модулей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Веб-сервис реализован по клиент-серверной архитектуре. Серверная часть построена на языке Python версии 3.11 с применением каркаса FastAPI и библиотеки Pydantic для описания и проверки схем данных. Клиентская часть представляет собой одностраничное приложение, реализованное средствами HTML, CSS и JavaScript без применения сборщиков и внешних библиотек. Состав программных модулей приведён в таблице 4.</w:t>
      </w:r>
    </w:p>
    <w:p>
      <w:pPr>
        <w:spacing w:after="60" w:before="16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 – Состав программных модулей веб-сервиса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3181"/>
        <w:gridCol w:w="6174"/>
      </w:tblGrid>
      <w:tr>
        <w:trPr>
          <w:tblHeader/>
        </w:trPr>
        <w:tc>
          <w:tcPr>
            <w:tcW w:type="dxa" w:w="3181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Модуль</w:t>
            </w:r>
          </w:p>
        </w:tc>
        <w:tc>
          <w:tcPr>
            <w:tcW w:type="dxa" w:w="6174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Назначение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app/main.py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Точка входа приложения, подключение маршрутов, отдача клиентской части и сайта проекта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app/api/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Методы программного интерфейса и схемы запросов и ответов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app/core/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Конфигурация через переменные окружения, загрузка данных и построение индекса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app/rag/text.py, bm25.py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Обработка русского текста и лексический поиск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app/rag/embeddings.py, vector_store.py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Векторные представления и векторное хранилище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app/rag/query_parser.py, retriever.py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Разбор запроса, гибридный поиск и ранжирование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app/rag/llm.py, assistant.py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Поставщики языковых моделей и конвейер ассистента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app/data/eis_adapter.py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Адаптер источника данных и проверка полноты записей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frontend/index.html, offline-engine.js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Клиентское приложение и автономный поисковый движок</w:t>
            </w:r>
          </w:p>
        </w:tc>
      </w:tr>
    </w:tbl>
    <w:p>
      <w:pPr>
        <w:spacing w:after="160"/>
      </w:pP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Серверная часть предоставляет семь методов программного интерфейса: проверка состояния сервиса, получение справочников для фильтров, поиск закупок, получение карточки закупки, получение похожих закупок, обращение к ассистенту и получение агрегированной аналитики. Документация программного интерфейса формируется автоматически в формате OpenAPI. Поисковый индекс строится однократно при запуске приложения и размещается в оперативной памяти процесса; время построения для корпуса из 480 карточек составляет около 1,9 с.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Клиентское приложение реализует все экраны прототипа. Дополнительно разработан автономный поисковый движок, повторяющий на стороне клиента логику разбора запроса, поиска и формирования ответа ассистента; при недоступности серверной части приложение автоматически переходит к автономному режиму. Это позволило сформировать автономную версию прототипа в виде одного файла размером 1,3 Мбайт, который открывается в браузере без установки программного обеспечения и применяется для демонстрации.</w:t>
      </w:r>
    </w:p>
    <w:p>
      <w:pPr>
        <w:pStyle w:val="Heading2"/>
        <w:spacing w:after="80" w:before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Модель данных и источник закупок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Разработана внутренняя модель данных карточки закупки, включающая 24 поля: реестровый номер, предмет закупки, применяемый закон, способ определения поставщика, электронную площадку, сведения о заказчике, регион, категорию и код ОКПД2, начальную (максимальную) цену контракта, размеры обеспечения, даты публикации и окончания приёма заявок, статус, признак закупки для субъектов малого предпринимательства, требования к участникам, преференции и ссылку на карточку в единой информационной системе.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отчётном этапе прототип функционирует на корпусе из 480 карточек, сформированном детерминированным генератором по структуре выгрузки ЕИС. Синтетический корпус обеспечивает воспроизводимость измерений качества поиска и независимость от доступности внешнего источника. Для перехода к промышленной эксплуатации разработан адаптер источника данных: интерфейс загрузки, правила сопоставления полей извещения ЕИС с внутренней моделью и процедура проверки полноты записей.</w:t>
      </w:r>
    </w:p>
    <w:p>
      <w:pPr>
        <w:pStyle w:val="Heading2"/>
        <w:spacing w:after="80" w:before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Результат работы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выполнена в полном объёме. Разработаны прототипы frontend- и backend-модулей, обеспечивающие полный цикл работы пользователя: ввод запроса, фильтрацию выдачи, изучение карточки закупки, диалог с ассистентом и просмотр аналитики. Исходный код размещён в публичном репозитории проекта.</w:t>
      </w:r>
    </w:p>
    <w:p>
      <w:pPr>
        <w:pStyle w:val="Heading1"/>
        <w:pageBreakBefore/>
        <w:spacing w:after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 Тестирование веб-сервиса на работоспособность</w:t>
      </w:r>
    </w:p>
    <w:p>
      <w:pPr>
        <w:pStyle w:val="Heading2"/>
        <w:spacing w:after="80" w:before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 Методика тестирования и сводные результаты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Тестирование проводилось на четырёх уровнях: модульное тестирование отдельных компонентов, интеграционное тестирование методов программного интерфейса, количественная оценка качества поиска на размеченном наборе запросов и проверка производительности с оценкой поведения сервиса при недоступности внешних интерфейсов. Разработан набор из 46 тестовых функций, образующих 70 тестовых случаев. Прогон тестов, измерение метрик и формирование отчёта автоматизированы отдельным сценарием, что обеспечивает воспроизводимость результатов. Сводные результаты приведены в таблице 5.</w:t>
      </w:r>
    </w:p>
    <w:p>
      <w:pPr>
        <w:spacing w:after="60" w:before="16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5 – Сводные результаты тестирования веб-сервиса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3555"/>
        <w:gridCol w:w="2245"/>
        <w:gridCol w:w="1871"/>
        <w:gridCol w:w="1684"/>
      </w:tblGrid>
      <w:tr>
        <w:trPr>
          <w:tblHeader/>
        </w:trPr>
        <w:tc>
          <w:tcPr>
            <w:tcW w:type="dxa" w:w="3555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Показатель</w:t>
            </w:r>
          </w:p>
        </w:tc>
        <w:tc>
          <w:tcPr>
            <w:tcW w:type="dxa" w:w="2245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Полученное значение</w:t>
            </w:r>
          </w:p>
        </w:tc>
        <w:tc>
          <w:tcPr>
            <w:tcW w:type="dxa" w:w="1871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 приёмки</w:t>
            </w:r>
          </w:p>
        </w:tc>
        <w:tc>
          <w:tcPr>
            <w:tcW w:type="dxa" w:w="1684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Автоматические тесты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70 пройдено, 0 провалено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 провалов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соответствует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Точность на первой позиции (P@1)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68 %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менее 60 %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соответствует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Полнота выдачи Recall@5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95 %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менее 90 %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соответствует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Полнота выдачи Recall@10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97 %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менее 92 %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соответствует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Средний обратный ранг (MRR)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0,803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менее 0,72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соответствует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Задержка поиска, 95-й процентиль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92 мс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менее 500 мс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соответствует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Задержка ответа ассистента, 95-й процентиль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70 мс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менее 1000 мс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соответствует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Корректность ссылок на источники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 из 8 без замечаний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100 %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соответствует</w:t>
            </w:r>
          </w:p>
        </w:tc>
      </w:tr>
    </w:tbl>
    <w:p>
      <w:pPr>
        <w:spacing w:after="160"/>
      </w:pPr>
    </w:p>
    <w:p>
      <w:pPr>
        <w:pStyle w:val="Heading2"/>
        <w:spacing w:after="80" w:before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 Оценка качества поиска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количественной оценки сформирован размеченный набор из 60 запросов. Каждый запрос строится как перефразирование предмета конкретной закупки с добавлением условия по региону, закону или бюджету; эталонным документом считается исходная закупка. Набор формируется детерминированно, что обеспечивает воспроизводимость измерений. В качестве базовой линии использован чисто лексический поиск BM25 (таблица 6).</w:t>
      </w:r>
    </w:p>
    <w:p>
      <w:pPr>
        <w:spacing w:after="60" w:before="16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6 – Сравнение гибридного поиска с базовой линией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3742"/>
        <w:gridCol w:w="2058"/>
        <w:gridCol w:w="1871"/>
        <w:gridCol w:w="1684"/>
      </w:tblGrid>
      <w:tr>
        <w:trPr>
          <w:tblHeader/>
        </w:trPr>
        <w:tc>
          <w:tcPr>
            <w:tcW w:type="dxa" w:w="3742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Метрика</w:t>
            </w:r>
          </w:p>
        </w:tc>
        <w:tc>
          <w:tcPr>
            <w:tcW w:type="dxa" w:w="2058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BM25 (базовая линия)</w:t>
            </w:r>
          </w:p>
        </w:tc>
        <w:tc>
          <w:tcPr>
            <w:tcW w:type="dxa" w:w="1871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Гибридный поиск</w:t>
            </w:r>
          </w:p>
        </w:tc>
        <w:tc>
          <w:tcPr>
            <w:tcW w:type="dxa" w:w="1684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Изменение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Точность на первой позиции (P@1)</w:t>
            </w:r>
          </w:p>
        </w:tc>
        <w:tc>
          <w:tcPr>
            <w:tcW w:type="dxa" w:w="20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65 %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68 %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+3 п. п.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Полнота выдачи Recall@5</w:t>
            </w:r>
          </w:p>
        </w:tc>
        <w:tc>
          <w:tcPr>
            <w:tcW w:type="dxa" w:w="20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97 %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95 %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–2 п. п.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Полнота выдачи Recall@10</w:t>
            </w:r>
          </w:p>
        </w:tc>
        <w:tc>
          <w:tcPr>
            <w:tcW w:type="dxa" w:w="20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97 %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97 %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изменений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Средний обратный ранг (MRR)</w:t>
            </w:r>
          </w:p>
        </w:tc>
        <w:tc>
          <w:tcPr>
            <w:tcW w:type="dxa" w:w="20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0,791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0,803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+0,012</w:t>
            </w:r>
          </w:p>
        </w:tc>
      </w:tr>
    </w:tbl>
    <w:p>
      <w:pPr>
        <w:spacing w:after="160"/>
      </w:pP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Незначительность преимущества гибридного поиска на данном наборе объясняется способом его построения: запросы формируются из текстов самих карточек закупок, вследствие чего лексическая ветвь поиска заведомо находится в выигрышном положении. Преимущество семантической ветви проявляется на запросах с синонимами, не встречающимися в тексте извещения, и подтверждено отдельными тестами устойчивости к формулировкам: словоформы «ноутбуки», «ноутбуков» и «ноутбуками» дают одинаковую категорию в верхних позициях выдачи; опечатка в один символ сохраняет пересечение выдачи не менее чем в трёх позициях из десяти; поиск по реестровому номеру возвращает точное совпадение на первой позиции.</w:t>
      </w:r>
    </w:p>
    <w:p>
      <w:pPr>
        <w:pStyle w:val="Heading2"/>
        <w:spacing w:after="80" w:before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 Производительность и режимы деградации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Измерения выполнялись на наборе из шести характерных запросов при многократном повторении. Результаты приведены в таблице 7.</w:t>
      </w:r>
    </w:p>
    <w:p>
      <w:pPr>
        <w:spacing w:after="60" w:before="16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 – Показатели производительности веб-сервиса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4303"/>
        <w:gridCol w:w="2526"/>
        <w:gridCol w:w="2526"/>
      </w:tblGrid>
      <w:tr>
        <w:trPr>
          <w:tblHeader/>
        </w:trPr>
        <w:tc>
          <w:tcPr>
            <w:tcW w:type="dxa" w:w="4303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Операция</w:t>
            </w:r>
          </w:p>
        </w:tc>
        <w:tc>
          <w:tcPr>
            <w:tcW w:type="dxa" w:w="2526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Среднее значение</w:t>
            </w:r>
          </w:p>
        </w:tc>
        <w:tc>
          <w:tcPr>
            <w:tcW w:type="dxa" w:w="2526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95-й процентиль</w:t>
            </w:r>
          </w:p>
        </w:tc>
      </w:tr>
      <w:tr>
        <w:tc>
          <w:tcPr>
            <w:tcW w:type="dxa" w:w="43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Поиск по индексу</w:t>
            </w:r>
          </w:p>
        </w:tc>
        <w:tc>
          <w:tcPr>
            <w:tcW w:type="dxa" w:w="25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76 мс</w:t>
            </w:r>
          </w:p>
        </w:tc>
        <w:tc>
          <w:tcPr>
            <w:tcW w:type="dxa" w:w="25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92 мс</w:t>
            </w:r>
          </w:p>
        </w:tc>
      </w:tr>
      <w:tr>
        <w:tc>
          <w:tcPr>
            <w:tcW w:type="dxa" w:w="43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Формирование ответа ассистента</w:t>
            </w:r>
          </w:p>
        </w:tc>
        <w:tc>
          <w:tcPr>
            <w:tcW w:type="dxa" w:w="25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69 мс</w:t>
            </w:r>
          </w:p>
        </w:tc>
        <w:tc>
          <w:tcPr>
            <w:tcW w:type="dxa" w:w="25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70 мс</w:t>
            </w:r>
          </w:p>
        </w:tc>
      </w:tr>
      <w:tr>
        <w:tc>
          <w:tcPr>
            <w:tcW w:type="dxa" w:w="43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Построение индекса при запуске приложения</w:t>
            </w:r>
          </w:p>
        </w:tc>
        <w:tc>
          <w:tcPr>
            <w:tcW w:type="dxa" w:w="25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1931 мс</w:t>
            </w:r>
          </w:p>
        </w:tc>
        <w:tc>
          <w:tcPr>
            <w:tcW w:type="dxa" w:w="25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Построение индекса выполняется однократно при запуске приложения и не влияет на время отклика. Проверено, что каждая ссылка в ответе ассистента соответствует существующему фрагменту контекста, а каждый источник прослеживается до реальной карточки закупки по реестровому номеру. При запросе, не имеющем соответствий в корпусе, ассистент сообщает об отсутствии подходящих закупок и не формирует вымышленных сведений. При отсутствии ключей доступа к внешним интерфейсам сервис переходит к локальному режиму и сохраняет работоспособность.</w:t>
      </w:r>
    </w:p>
    <w:p>
      <w:pPr>
        <w:pStyle w:val="Heading2"/>
        <w:spacing w:after="80" w:before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 Выявленные и устранённые дефекты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тестирования выявлены и устранены три существенных дефекта (таблица 8).</w:t>
      </w:r>
    </w:p>
    <w:p>
      <w:pPr>
        <w:spacing w:after="60" w:before="16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8 – Дефекты, выявленные при тестировании, и принятые решения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2432"/>
        <w:gridCol w:w="3181"/>
        <w:gridCol w:w="3742"/>
      </w:tblGrid>
      <w:tr>
        <w:trPr>
          <w:tblHeader/>
        </w:trPr>
        <w:tc>
          <w:tcPr>
            <w:tcW w:type="dxa" w:w="2432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Дефект</w:t>
            </w:r>
          </w:p>
        </w:tc>
        <w:tc>
          <w:tcPr>
            <w:tcW w:type="dxa" w:w="3181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Проявление</w:t>
            </w:r>
          </w:p>
        </w:tc>
        <w:tc>
          <w:tcPr>
            <w:tcW w:type="dxa" w:w="3742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Принятое решение</w:t>
            </w:r>
          </w:p>
        </w:tc>
      </w:tr>
      <w:tr>
        <w:tc>
          <w:tcPr>
            <w:tcW w:type="dxa" w:w="2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Бизнес-признаки перевешивали релевантность</w:t>
            </w:r>
          </w:p>
        </w:tc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Гибридный поиск уступал базовой линии BM25: средний обратный ранг 0,63 против 0,79</w:t>
            </w:r>
          </w:p>
        </w:tc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Уменьшена константа слияния ранжирований, надбавка за свежесть и статус ограничена 20 %; результат закреплён регрессионным тестом</w:t>
            </w:r>
          </w:p>
        </w:tc>
      </w:tr>
      <w:tr>
        <w:tc>
          <w:tcPr>
            <w:tcW w:type="dxa" w:w="2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Отсечение кандидатов до применения фильтров</w:t>
            </w:r>
          </w:p>
        </w:tc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Узкий запрос не находил существующие в корпусе закупки</w:t>
            </w:r>
          </w:p>
        </w:tc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Жёсткие фильтры перенесены на этап после ранжирования полного индекса</w:t>
            </w:r>
          </w:p>
        </w:tc>
      </w:tr>
      <w:tr>
        <w:tc>
          <w:tcPr>
            <w:tcW w:type="dxa" w:w="2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Ложное определение категории по служебным словам</w:t>
            </w:r>
          </w:p>
        </w:tc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Предлог «по» внутри слова «поставка» относил запрос к категории «ИТ и разработка ПО»</w:t>
            </w:r>
          </w:p>
        </w:tc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Сопоставление ключевых слов переведено на регулярные выражения с границами слова</w:t>
            </w:r>
          </w:p>
        </w:tc>
      </w:tr>
    </w:tbl>
    <w:p>
      <w:pPr>
        <w:spacing w:after="160"/>
      </w:pPr>
    </w:p>
    <w:p>
      <w:pPr>
        <w:pStyle w:val="Heading2"/>
        <w:spacing w:after="80" w:before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4.5 Результат работы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выполнена в полном объёме. Работоспособность веб-сервиса подтверждена: все автоматические тесты пройдены, показатели качества поиска и производительности соответствуют критериям приёмки, механизмы контроля достоверности срабатывают корректно, деградация при недоступности внешних сервисов не приводит к отказу.</w:t>
      </w:r>
    </w:p>
    <w:p>
      <w:pPr>
        <w:pStyle w:val="Heading1"/>
        <w:pageBreakBefore/>
        <w:spacing w:after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 Создание сайта стартап-проекта</w:t>
      </w:r>
    </w:p>
    <w:p>
      <w:pPr>
        <w:pStyle w:val="Heading2"/>
        <w:spacing w:after="80" w:before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5.1 Требования, структура и содержание сайта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стартап-проекта создан с учётом требований, предъявляемых к результатам программы: на главной странице размещены сведения о продукте, логотипы партнёров и указание на поддержку проекта. Соответствие сайта требованиям — в таблице 9.</w:t>
      </w:r>
    </w:p>
    <w:p>
      <w:pPr>
        <w:spacing w:after="60" w:before="16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9 – Соответствие сайта стартап-проекта предъявляемым требованиям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3555"/>
        <w:gridCol w:w="5800"/>
      </w:tblGrid>
      <w:tr>
        <w:trPr>
          <w:tblHeader/>
        </w:trPr>
        <w:tc>
          <w:tcPr>
            <w:tcW w:type="dxa" w:w="3555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Требование</w:t>
            </w:r>
          </w:p>
        </w:tc>
        <w:tc>
          <w:tcPr>
            <w:tcW w:type="dxa" w:w="5800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Реализация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Сведения о новом товаре, технологии или услуге</w:t>
            </w:r>
          </w:p>
        </w:tc>
        <w:tc>
          <w:tcPr>
            <w:tcW w:type="dxa" w:w="5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Разделы «Проблема», «Решение», «Как это работает» с описанием продукта и конвейера обработки запроса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Логотипы Фонда содействия инновациям и Платформы университетского технологического предпринимательства на главной странице</w:t>
            </w:r>
          </w:p>
        </w:tc>
        <w:tc>
          <w:tcPr>
            <w:tcW w:type="dxa" w:w="5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Блок «При поддержке» в первом экране сайта, а также раздел «Партнёры»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Указание на поддержку проекта</w:t>
            </w:r>
          </w:p>
        </w:tc>
        <w:tc>
          <w:tcPr>
            <w:tcW w:type="dxa" w:w="5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Размещена дословная формулировка: «Проект реализован при поддержке Фонда содействия инновациям в рамках программы «Студенческий стартап» мероприятия «Платформа университетского технологического предпринимательства» федерального проекта «Технологии».» — в первом экране, в разделе «Партнёры» и в нижнем колонтитуле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Контактные данные организации</w:t>
            </w:r>
          </w:p>
        </w:tc>
        <w:tc>
          <w:tcPr>
            <w:tcW w:type="dxa" w:w="5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 разделе «Контакты» и в нижнем колонтитуле указаны наименование и юридический адрес ООО «НейроТендер», ИНН и ОГРН, адрес электронной почты и телефон для связи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Доступность сайта в сети Интернет</w:t>
            </w:r>
          </w:p>
        </w:tc>
        <w:tc>
          <w:tcPr>
            <w:tcW w:type="dxa" w:w="5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Сайт опубликован по адресу </w:t>
            </w:r>
            <w:hyperlink w:history="1" r:id="rIdm29_thavpoteungc6v3nh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https://fanot.github.io/tenderai/</w:t>
              </w:r>
            </w:hyperlink>
          </w:p>
        </w:tc>
      </w:tr>
    </w:tbl>
    <w:p>
      <w:pPr>
        <w:spacing w:after="160"/>
      </w:pP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выполнен в виде одностраничного ресурса с разделами: проблема, решение, принцип работы сервиса, рынок и модель монетизации, дорожная карта, команда, партнёры и контакты. В разделе «Контакты» и в нижнем колонтитуле указаны реквизиты и контактные данные организации проекта — ООО «НейроТендер». С сайта доступен интерактивный прототип сервиса. Первый экран сайта приведён на рисунке 5, блок сведений о партнёрах — на рисунке 6.</w:t>
      </w:r>
    </w:p>
    <w:p>
      <w:pPr>
        <w:spacing w:after="80" w:before="160" w:line="240" w:lineRule="auto"/>
        <w:jc w:val="center"/>
      </w:pPr>
      <w:r>
        <w:drawing>
          <wp:inline distT="0" distB="0" distL="0" distR="0">
            <wp:extent cx="3333750" cy="2609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 – Главная страница сайта стартап-проекта</w:t>
      </w:r>
    </w:p>
    <w:p>
      <w:pPr>
        <w:spacing w:after="80" w:before="160" w:line="240" w:lineRule="auto"/>
        <w:jc w:val="center"/>
      </w:pPr>
      <w:r>
        <w:drawing>
          <wp:inline distT="0" distB="0" distL="0" distR="0">
            <wp:extent cx="3571875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6 – Раздел «Партнёры» сайта стартап-проекта</w:t>
      </w:r>
    </w:p>
    <w:p>
      <w:pPr>
        <w:pStyle w:val="Heading2"/>
        <w:spacing w:after="80" w:before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5.2 Размещение и сопровождение сайта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размещён на платформе GitHub Pages по адресу </w:t>
      </w:r>
      <w:hyperlink w:history="1" r:id="rIdhsay5xzjsq8xvenaglgp6">
        <w:r>
          <w:rPr>
            <w:rStyle w:val="Hyperlink"/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https://fanot.github.io/tenderai/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 и не требует расходов на хостинг. Публикация автоматизирована: изменения в основной ветке репозитория проекта инициируют сборку и обновление сайта без ручных операций. Вёрстка адаптивна и корректно отображается на мобильных устройствах.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Адреса ресурсов проекта: сайт стартап-проекта — </w:t>
      </w:r>
      <w:hyperlink w:history="1" r:id="rId3qqu0qxboe-lmcgzv589b">
        <w:r>
          <w:rPr>
            <w:rStyle w:val="Hyperlink"/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https://fanot.github.io/tenderai/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; демонстрационная версия сервиса — </w:t>
      </w:r>
      <w:hyperlink w:history="1" r:id="rIdfikbh4sif01kx6xx1kwly">
        <w:r>
          <w:rPr>
            <w:rStyle w:val="Hyperlink"/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https://fanot.github.io/tenderai/demo.html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; репозиторий исходного кода — </w:t>
      </w:r>
      <w:hyperlink w:history="1" r:id="rIdwwy9pqbwiiviqac5ovaoh">
        <w:r>
          <w:rPr>
            <w:rStyle w:val="Hyperlink"/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https://github.com/fanot/tenderai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pStyle w:val="Heading2"/>
        <w:spacing w:after="80" w:before="16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5.3 Результат работы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выполнена в полном объёме. Создан и опубликован в сети Интернет сайт стартап-проекта с интерактивной демонстрационной версией сервиса.</w:t>
      </w:r>
    </w:p>
    <w:p>
      <w:pPr>
        <w:pStyle w:val="Heading1"/>
        <w:pageBreakBefore/>
        <w:spacing w:after="20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ЗАКЛЮЧЕНИЕ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выполнения Работ по договору о предоставлении гранта создан работоспособный прототип веб-сервиса умного поиска тендеров с применением искусственного интеллекта. Все пять работ календарного плана выполнены в полном объёме.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результатам развития проекта сделаны следующие выводы.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Предложенный подход к поиску закупок работоспособен: разбор запроса на естественном языке в сочетании с гибридным поиском обеспечивает точность на первой позиции 68 % и полноту выдачи 95 % в первых пяти позициях при задержке поиска не более 92 мс по 95-му процентилю.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Архитектура генерации, дополненной поиском, применима к предметной области закупок: ответы ассистента формируются исключительно из найденных карточек и сопровождаются проверяемыми ссылками на источники, что является необходимым условием доверия к сервису в задачах, связанных с юридически значимыми сведениями.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Вынесение поставщиков моделей искусственного интеллекта за отдельный программный интерфейс подтвердило практическую ценность: сервис сохраняет работоспособность при недоступности внешних интерфейсов и допускает выбор поставщика исходя из требований заказчика к размещению данных.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Количественное тестирование выявило неочевидный дефект ранжирования, при котором надбавка за свежесть и статус закупки перевешивала релевантность и ухудшала качество поиска относительно базовой линии. Дефект устранён, результат закреплён регрессионным тестом. Это подтверждает необходимость измеримых критериев качества поиска на всех этапах развития проекта.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Поставленные на отчётный этап задачи решены полностью. Полученные результаты достаточны для перехода к следующему этапу развития проекта, содержанием которого являются подключение к открытым данным единой информационной системы в сфере закупок и регулярная синхронизация корпуса, реализация личного кабинета и уведомлений о новых закупках, перенос векторного хранилища во внешнюю специализированную систему, а также проведение пилотных внедрений с предприятиями-поставщиками.</w:t>
      </w:r>
    </w:p>
    <w:p>
      <w:pPr>
        <w:pStyle w:val="Heading1"/>
        <w:pageBreakBefore/>
        <w:spacing w:after="20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СПИСОК ИСПОЛЬЗОВАННЫХ ИСТОЧНИКОВ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 Российская Федерация. Законы. О контрактной системе в сфере закупок товаров, работ, услуг для обеспечения государственных и муниципальных нужд : Федеральный закон от 05.04.2013 № 44-ФЗ.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 Российская Федерация. Законы. О закупках товаров, работ, услуг отдельными видами юридических лиц : Федеральный закон от 18.07.2011 № 223-ФЗ.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 Об установлении запрета на допуск программного обеспечения, происходящего из иностранных государств, для целей осуществления закупок для обеспечения государственных и муниципальных нужд : постановление Правительства Российской Федерации от 16.11.2015 № 1236.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 ГОСТ 7.32-2017. Система стандартов по информации, библиотечному и издательскому делу. Отчёт о научно-исследовательской работе. Структура и правила оформления. – Москва : Стандартинформ, 2018. – 27 с.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 Единая информационная система в сфере закупок : официальный сайт. – URL: https://zakupki.gov.ru (дата обращения: 18.08.2026).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 Фонд содействия инновациям. Программа «Студенческий стартап» : официальный сайт. – URL: https://fasie.ru/programs/programma-studstartup/ (дата обращения: 18.08.2026).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 Платформа университетского технологического предпринимательства : официальный сайт. – URL: https://univertechpred.ru (дата обращения: 18.08.2026).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 Robertson S., Zaragoza H. The Probabilistic Relevance Framework: BM25 and Beyond // Foundations and Trends in Information Retrieval. – 2009. – Vol. 3, № 4. – P. 333–389.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 Cormack G. V., Clarke C. L. A., Buettcher S. Reciprocal Rank Fusion Outperforms Condorcet and Individual Rank Learning Methods // Proceedings of the 32nd International ACM SIGIR Conference on Research and Development in Information Retrieval. – New York : ACM, 2009. – P. 758–759.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 Lewis P., Perez E., Piktus A. [et al.]. Retrieval-Augmented Generation for Knowledge-Intensive NLP Tasks // Advances in Neural Information Processing Systems. – 2020. – Vol. 33. – P. 9459–9474.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 FastAPI : документация каркаса. – URL: https://fastapi.tiangolo.com (дата обращения: 18.08.2026).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12 TenderAI : репозиторий исходного кода проекта. – URL: https://github.com/fanot/tenderai (дата обращения: 18.08.2026).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13 TenderAI : сайт стартап-проекта. – URL: https://fanot.github.io/tenderai/ (дата обращения: 18.08.2026).</w:t>
      </w:r>
    </w:p>
    <w:sectPr>
      <w:footerReference w:type="default" r:id="rId7"/>
      <w:pgSz w:w="11906" w:h="16838" w:orient="portrait"/>
      <w:pgMar w:top="1133" w:right="850" w:bottom="1133" w:left="1700" w:header="708" w:footer="708" w:gutter="0"/>
      <w:pgNumType w:start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m29_thavpoteungc6v3nh" Type="http://schemas.openxmlformats.org/officeDocument/2006/relationships/hyperlink" Target="https://fanot.github.io/tenderai/" TargetMode="External"/><Relationship Id="rIdhsay5xzjsq8xvenaglgp6" Type="http://schemas.openxmlformats.org/officeDocument/2006/relationships/hyperlink" Target="https://fanot.github.io/tenderai/" TargetMode="External"/><Relationship Id="rId3qqu0qxboe-lmcgzv589b" Type="http://schemas.openxmlformats.org/officeDocument/2006/relationships/hyperlink" Target="https://fanot.github.io/tenderai/" TargetMode="External"/><Relationship Id="rIdfikbh4sif01kx6xx1kwly" Type="http://schemas.openxmlformats.org/officeDocument/2006/relationships/hyperlink" Target="https://fanot.github.io/tenderai/demo.html" TargetMode="External"/><Relationship Id="rIdwwy9pqbwiiviqac5ovaoh" Type="http://schemas.openxmlformats.org/officeDocument/2006/relationships/hyperlink" Target="https://github.com/fanot/tenderai" TargetMode="External"/><Relationship Id="rId8" Type="http://schemas.openxmlformats.org/officeDocument/2006/relationships/image" Target="media/5231bc70353ad9211e70d5c8529d27c2a946d6ed.png"/><Relationship Id="rId9" Type="http://schemas.openxmlformats.org/officeDocument/2006/relationships/image" Target="media/77b91273feebc56a010189b255db8f8a63964943.png"/><Relationship Id="rId10" Type="http://schemas.openxmlformats.org/officeDocument/2006/relationships/image" Target="media/5155b0ea309cc31ce079bca3ae2cee2921f17885.png"/><Relationship Id="rId11" Type="http://schemas.openxmlformats.org/officeDocument/2006/relationships/image" Target="media/40602358dd5f5487a5c0eb26a57350a1329b421f.png"/><Relationship Id="rId12" Type="http://schemas.openxmlformats.org/officeDocument/2006/relationships/image" Target="media/38ec3a6e25a8d55caf370e79903a78551e214b0a.png"/><Relationship Id="rId13" Type="http://schemas.openxmlformats.org/officeDocument/2006/relationships/image" Target="media/c163388970d42f6b87a0ee985e5e8e95a26be6e9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выполнении Работ (заключительный)</dc:title>
  <dc:creator>Янышевская К. В.</dc:creator>
  <dc:description>Создание веб-сервиса умного поиска тендеров с помощью искусственного интеллекта</dc:description>
  <cp:lastModifiedBy>Un-named</cp:lastModifiedBy>
  <cp:revision>1</cp:revision>
  <dcterms:created xsi:type="dcterms:W3CDTF">2026-08-24T21:53:40.910Z</dcterms:created>
  <dcterms:modified xsi:type="dcterms:W3CDTF">2026-08-24T21:53:40.910Z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