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 О РАЗВИТИИ ПРОЕКТА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проекта: «Создание веб-сервиса умного поиска тендеров с помощью искусственного интеллекта»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гранта: Янышевская Карина Владимировна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Договор (соглашение) о предоставлении гранта № 377ГССС27/106829 от 30 сентября 2025 г.</w:t>
      </w:r>
    </w:p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Образовательная организация: Национальный исследовательский Томский государственный университет, г. Томск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A6A6A6" w:sz="4"/>
          <w:insideV w:val="single" w:color="A6A6A6" w:sz="4"/>
        </w:tblBorders>
      </w:tblPr>
      <w:tblGrid>
        <w:gridCol w:w="655"/>
        <w:gridCol w:w="2619"/>
        <w:gridCol w:w="842"/>
        <w:gridCol w:w="5239"/>
      </w:tblGrid>
      <w:tr>
        <w:trPr>
          <w:tblHeader/>
        </w:trPr>
        <w:tc>
          <w:tcPr>
            <w:tcW w:type="dxa" w:w="655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261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мероприятия</w:t>
            </w:r>
          </w:p>
        </w:tc>
        <w:tc>
          <w:tcPr>
            <w:tcW w:type="dxa" w:w="842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523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Выполненные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Зарегистрировано юридическое лицо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юридического лица: ООО «___________»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ИНН: ______________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организации: ______________________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Директор: Янышевская Карина Владимировна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 сайт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стартап-проекта: https://fanot.github.io/tenderai/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Интерактивная демонстрационная версия сервиса: https://fanot.github.io/tenderai/demo.html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проекта: https://github.com/fanot/tenderai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главной странице размещены сведения о продукте, логотипы Фонда содействия инновациям и мероприятия «Платформа университетского технологического предпринимательства», а также указание на поддержку проекта. Публикация автоматизирована: изменения в репозитории обновляют сайт без ручных операций.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Разработанные в рамках проекта изделие / технология доведены до уровня TRL 3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Фактически достигнут уровень TRL 4, что превышает предусмотренный заявкой TRL 3.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TRL 3 (экспериментальное подтверждение концепции): по отдельности реализованы и проверены ключевые компоненты — разбор запроса на естественном языке, лексический поиск BM25, семантический поиск по векторным представлениям, слияние ранжирований методом Reciprocal Rank Fusion, генерация ответа со ссылками на источники.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TRL 4 (проверка компонентов в лабораторных условиях): компоненты интегрированы в работоспособный прототип веб-сервиса. Работоспособность подтверждена измерениями на размеченном наборе из 60 запросов и набором из 70 автоматических тестов: точность на первой позиции 68 %, полнота выдачи Recall@5 — 95 %, средний обратный ранг 0,803, задержка поиска 92 мс по 95-му процентилю, корректность ссылок на источники 100 %.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доступен для демонстрации в сети Интернет и работает как с внешними языковыми моделями, так и в полностью автономном режиме.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Создана команда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Команда состоит из: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Янышевская Карина Владимировна — руководитель проекта; постановка задач, разработка прототипа веб-сервиса и RAG-ассистента, тестирование, создание сайта стартап-проекта, взаимодействие с потенциальными пользователями.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отдельным задачам привлекались специалисты на разовой основе без оформления в штат. Расширение команды (ML-инженер, backend- и frontend-разработчик) запланировано на этап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Организован бухгалтерский учёт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организации бухгалтерского учёта: ______________________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(указать: аутсорсинг / услуги банка / привлечение специалиста в штат)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вклада в уставный капитал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Грант предоставлен физическому лицу — получателю гранта. Средства расходовались непосредственно получателем гранта в соответствии со сметой расходов по договору; внесение средств в уставный капитал организации не производилось.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безвозмездной помощи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на счёт организации не вносились: расходование производилось получателем гранта по смете расходов, предусмотренной договором.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печать организации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___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(указать «Да» или «Нет»; при наличии печати — дату изготовления)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Подана заявка на регистрацию прав на результат интеллектуальной деятельности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государственную регистрацию программы для ЭВМ «TenderAI» в Роспатенте запланирована к подаче в IV квартале 2026 года — после завершения работ по договору и фиксации итоговой версии исходного кода.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 размещён в публичном репозитории с указанием авторства, что фиксирует приоритет создания произведения.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акселерационная программа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Участие в акселерационной программе на отчётном этапе не осуществлялось. Прохождение акселерационной программы рассматривается на этапе подготовки к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защита выпускной квалификационной работы в формате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отчётном этапе защита выпускной квалификационной работы в формате стартап-проекта не проводилась.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образовательная программа для развития предпринимательских или иных компетенций команды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Отдельная образовательная программа не проходилась. Развитие компетенций осуществлялось в рамках практической работы над проектом и консультаций в центре технологического предпринимательства образовательной организации.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customer development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Проведены проблемные интервью с представителями целевых сегментов: предприятия малого и среднего предпринимательства — участники закупок без выделенного тендерного подразделения, а также тендерные специалисты, ведущие поиск закупок для нескольких организаций.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Выявленные проблемы: поиск на существующих площадках требует знания терминологии заказчика и кодов ОКПД2; формулировки предмета закупки расходятся с тем, как поставщик описывает свою продукцию, из-за чего часть подходящих закупок не обнаруживается; для оценки применимости закупки приходится открывать извещение и приложения к нему; ежедневный мониторинг занимает несколько часов в неделю.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проведённых интервью: ______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проверка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1: пользователю удобнее формулировать запрос обычными словами, чем подбирать ключевые слова и коды классификатора. Подтверждена: реализован разбор естественно-языкового запроса, который извлекает закон, регион, категорию, диапазон НМЦК и признак закупки для СМП.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2: гибридный поиск (лексический и семантический) точнее поиска по ключевым словам. Подтверждена частично: на размеченном наборе из 60 запросов гибридный поиск дал точность на первой позиции 68 % против 65 % у базовой линии BM25 и средний обратный ранг 0,803 против 0,791; преимущество проявляется прежде всего на запросах с синонимами и опечатками.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3: пользователь не доверяет ответу ассистента без ссылки на первоисточник. Подтверждена: реализован механизм проверяемых ссылок на карточки закупок и автоматический контроль их достоверности.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Внесены изменения в бизнес-модель / продукт после проверки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продукт внесены изменения по итогам проверки гипотез: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добавлена строка распознанных условий отбора под поисковым запросом — пользователь видит, как система поняла запрос, и может поправить условие вручную, не переформулируя фразу;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2) под каждым результатом выдачи выводятся причины его включения в подборку, что делает выдачу объяснимой;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3) ответы ассистента снабжены ссылками на конкретные разделы карточек закупок с автоматической проверкой достоверности ссылок;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4) по результатам измерений качества поиска изменён алгоритм ранжирования: надбавка за свежесть и статус закупки ограничена, поскольку в исходном варианте она перевешивала релевантность и ухудшала выдачу.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бизнес-модели уточнена тарифная линейка: введён бессрочный бесплатный тариф как канал привлечения, а цена тарифа Pro установлена ниже цен конкурентов (17,9 тыс. руб. в год против 21–60 тыс. руб. в год).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Осуществлены первые продажи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 не начинались. Запуск платных тарифов запланирован на II квартал 2027 года — после подключения сервиса к открытым данным единой информационной системы в сфере закупок и проведения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выручка предприятия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Выручка не получена: организация создана на завершающем этапе выполнения работ по договору, коммерческая деятельность не велась.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Планируемые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претендовать на получение гранта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подача заявки на грант Фонда содействия инновациям по программе «Старт-1» (до 4 млн рублей) в IV квартале 2026 года.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завершён этап «Студенческий стартап», создан прототип с подтверждённой измерениями работоспособностью, определены целевые сегменты рынка и модель монетизации.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подключение к открытым данным единой информационной системы в сфере закупок, доработку продукта до промышленного уровня и проведение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взять кредит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Привлечение кредитных средств в базовом сценарии развития проекта не планируется. Льготное кредитование для ИТ-компаний рассматривается как резервный источник финансирования.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найти частного инвестора (венчурный фонд или бизнес-ангел)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привлечение венчурных (ангельских) инвестиций в объёме около 8 млн рублей в 2028 году — при достижении годовой выручки от 10 млн рублей и подтверждённой воспроизводимости продаж.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масштабирование продаж, расширение команды и перенос поискового индекса во внешнее векторное хранилище.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стать резидентом Сколково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Получение статуса участника проекта «Сколково» на текущем этапе не планируется. Вопрос будет рассмотрен после начала регулярных продаж.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закрыть созданное предприятие в ближайшее время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Закрытие организации не планируется. Проект продолжает развитие в соответствии с дорожной картой: подключение к данным единой информационной системы, запуск личного кабинета и уведомлений, пилотные внедрения, запуск платных тарифов.</w:t>
            </w:r>
          </w:p>
        </w:tc>
      </w:tr>
    </w:tbl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 ____________________ / Янышевская К. В. /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развитии проекта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2026-08-18T14:28:17.150Z</dcterms:created>
  <dcterms:modified xsi:type="dcterms:W3CDTF">2026-08-18T14:28:17.164Z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