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b/>
          <w:bCs/>
          <w:color w:val="1F3864"/>
          <w:sz w:val="30"/>
          <w:szCs w:val="30"/>
        </w:rPr>
        <w:t xml:space="preserve">UNIVERSIDAD DE LA SABANA</w:t>
      </w:r>
    </w:p>
    <w:p>
      <w:pPr>
        <w:spacing w:after="40"/>
        <w:jc w:val="center"/>
      </w:pPr>
      <w:r>
        <w:rPr>
          <w:sz w:val="24"/>
          <w:szCs w:val="24"/>
        </w:rPr>
        <w:t xml:space="preserve">Maestría en Inteligencia Artificial</w:t>
      </w:r>
    </w:p>
    <w:p>
      <w:pPr>
        <w:spacing w:after="600"/>
        <w:jc w:val="center"/>
      </w:pPr>
      <w:r>
        <w:rPr>
          <w:i/>
          <w:iCs/>
          <w:sz w:val="24"/>
          <w:szCs w:val="24"/>
        </w:rPr>
        <w:t xml:space="preserve">Inmersión en la programación</w:t>
      </w:r>
    </w:p>
    <w:p>
      <w:pPr>
        <w:spacing w:after="40" w:before="400"/>
        <w:jc w:val="center"/>
      </w:pPr>
      <w:r>
        <w:rPr>
          <w:b/>
          <w:bCs/>
          <w:sz w:val="26"/>
          <w:szCs w:val="26"/>
        </w:rPr>
        <w:t xml:space="preserve">Actividad 3 — Análisis de base de datos</w:t>
      </w:r>
    </w:p>
    <w:p>
      <w:pPr>
        <w:pBdr>
          <w:bottom w:val="single" w:color="1F3864" w:sz="6" w:space="8"/>
        </w:pBdr>
        <w:spacing w:after="500"/>
        <w:jc w:val="center"/>
      </w:pPr>
      <w:r>
        <w:rPr>
          <w:b/>
          <w:bCs/>
          <w:color w:val="1F3864"/>
          <w:sz w:val="32"/>
          <w:szCs w:val="32"/>
        </w:rPr>
        <w:t xml:space="preserve">Análisis gráfico, estadístico y predictivo del precio de arriendo de inmuebles en Bogotá</w:t>
      </w:r>
    </w:p>
    <w:p>
      <w:pPr>
        <w:spacing w:after="40" w:before="300"/>
        <w:jc w:val="center"/>
      </w:pPr>
      <w:r>
        <w:rPr>
          <w:i/>
          <w:iCs/>
          <w:sz w:val="22"/>
          <w:szCs w:val="22"/>
        </w:rPr>
        <w:t xml:space="preserve">Solución — Caso Unidad 3</w:t>
      </w:r>
    </w:p>
    <w:p>
      <w:pPr>
        <w:spacing w:after="40" w:before="700"/>
        <w:jc w:val="center"/>
      </w:pPr>
      <w:r>
        <w:rPr>
          <w:b/>
          <w:bCs/>
          <w:sz w:val="22"/>
          <w:szCs w:val="22"/>
        </w:rPr>
        <w:t xml:space="preserve">Autores</w:t>
      </w:r>
    </w:p>
    <w:p>
      <w:pPr>
        <w:spacing w:after="20"/>
        <w:jc w:val="center"/>
      </w:pPr>
      <w:r>
        <w:rPr>
          <w:sz w:val="22"/>
          <w:szCs w:val="22"/>
        </w:rPr>
        <w:t xml:space="preserve">Diego Fernando Sánchez Baona</w:t>
      </w:r>
    </w:p>
    <w:p>
      <w:pPr>
        <w:spacing w:after="500"/>
        <w:jc w:val="center"/>
      </w:pPr>
      <w:r>
        <w:rPr>
          <w:sz w:val="22"/>
          <w:szCs w:val="22"/>
        </w:rPr>
        <w:t xml:space="preserve">Víctor Fabián Novoa Rojas</w:t>
      </w:r>
    </w:p>
    <w:p>
      <w:pPr>
        <w:spacing w:before="500"/>
        <w:jc w:val="center"/>
      </w:pPr>
      <w:r>
        <w:rPr>
          <w:sz w:val="22"/>
          <w:szCs w:val="22"/>
        </w:rPr>
        <w:t xml:space="preserve">Agosto de 2026</w:t>
      </w:r>
    </w:p>
    <w:p>
      <w:r>
        <w:br w:type="page"/>
      </w:r>
    </w:p>
    <w:p>
      <w:pPr>
        <w:pStyle w:val="Heading1"/>
        <w:spacing w:after="160"/>
      </w:pPr>
      <w:r>
        <w:rPr>
          <w:b/>
          <w:bCs/>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pPr>
      <w:r>
        <w:rPr>
          <w:b/>
          <w:bCs/>
        </w:rPr>
        <w:t xml:space="preserve">Tabla de ilustraciones</w:t>
      </w:r>
    </w:p>
    <w:p>
      <w:pPr>
        <w:tabs>
          <w:tab w:val="right" w:pos="9070" w:leader="dot"/>
        </w:tabs>
        <w:spacing w:after="60" w:line="264"/>
      </w:pPr>
      <w:r>
        <w:t xml:space="preserve">Ilustración 1. Distribución del precio de arriendo en escala original (izquierda) y logarítmica (derecha).</w:t>
      </w:r>
      <w:r>
        <w:t xml:space="preserve">	6</w:t>
      </w:r>
    </w:p>
    <w:p>
      <w:pPr>
        <w:tabs>
          <w:tab w:val="right" w:pos="9070" w:leader="dot"/>
        </w:tabs>
        <w:spacing w:after="60" w:line="264"/>
      </w:pPr>
      <w:r>
        <w:t xml:space="preserve">Ilustración 2. Distribución del precio de arriendo por estrato (escala logarítmica).</w:t>
      </w:r>
      <w:r>
        <w:t xml:space="preserve">	6</w:t>
      </w:r>
    </w:p>
    <w:p>
      <w:pPr>
        <w:tabs>
          <w:tab w:val="right" w:pos="9070" w:leader="dot"/>
        </w:tabs>
        <w:spacing w:after="60" w:line="264"/>
      </w:pPr>
      <w:r>
        <w:t xml:space="preserve">Ilustración 3. Precio de arriendo por zona, ordenado por mediana (escala logarítmica).</w:t>
      </w:r>
      <w:r>
        <w:t xml:space="preserve">	7</w:t>
      </w:r>
    </w:p>
    <w:p>
      <w:pPr>
        <w:tabs>
          <w:tab w:val="right" w:pos="9070" w:leader="dot"/>
        </w:tabs>
        <w:spacing w:after="60" w:line="264"/>
      </w:pPr>
      <w:r>
        <w:t xml:space="preserve">Ilustración 4. Precio de arriendo por antigüedad del inmueble (escala logarítmica).</w:t>
      </w:r>
      <w:r>
        <w:t xml:space="preserve">	7</w:t>
      </w:r>
    </w:p>
    <w:p>
      <w:pPr>
        <w:tabs>
          <w:tab w:val="right" w:pos="9070" w:leader="dot"/>
        </w:tabs>
        <w:spacing w:after="60" w:line="264"/>
      </w:pPr>
      <w:r>
        <w:t xml:space="preserve">Ilustración 5. Relación precio–área en escala original (izquierda) y log-log con recta de tendencia (derecha).</w:t>
      </w:r>
      <w:r>
        <w:t xml:space="preserve">	8</w:t>
      </w:r>
    </w:p>
    <w:p>
      <w:pPr>
        <w:tabs>
          <w:tab w:val="right" w:pos="9070" w:leader="dot"/>
        </w:tabs>
        <w:spacing w:after="60" w:line="264"/>
      </w:pPr>
      <w:r>
        <w:t xml:space="preserve">Ilustración 6. Matriz de correlación de las variables numéricas.</w:t>
      </w:r>
      <w:r>
        <w:t xml:space="preserve">	8</w:t>
      </w:r>
    </w:p>
    <w:p>
      <w:pPr>
        <w:tabs>
          <w:tab w:val="right" w:pos="9070" w:leader="dot"/>
        </w:tabs>
        <w:spacing w:after="60" w:line="264"/>
      </w:pPr>
      <w:r>
        <w:t xml:space="preserve">Ilustración 7. Precio por metro cuadrado por zona y por estrato (escala logarítmica).</w:t>
      </w:r>
      <w:r>
        <w:t xml:space="preserve">	9</w:t>
      </w:r>
    </w:p>
    <w:p>
      <w:pPr>
        <w:tabs>
          <w:tab w:val="right" w:pos="9070" w:leader="dot"/>
        </w:tabs>
        <w:spacing w:after="60" w:line="264"/>
      </w:pPr>
      <w:r>
        <w:t xml:space="preserve">Ilustración 8. Administración como porcentaje del arriendo por estrato y su relación con el precio.</w:t>
      </w:r>
      <w:r>
        <w:t xml:space="preserve">	9</w:t>
      </w:r>
    </w:p>
    <w:p>
      <w:pPr>
        <w:tabs>
          <w:tab w:val="right" w:pos="9070" w:leader="dot"/>
        </w:tabs>
        <w:spacing w:after="60" w:line="264"/>
      </w:pPr>
      <w:r>
        <w:t xml:space="preserve">Ilustración 9. Distribución de log(precio) por estrato y por zona mediante diagramas de violín.</w:t>
      </w:r>
      <w:r>
        <w:t xml:space="preserve">	10</w:t>
      </w:r>
    </w:p>
    <w:p>
      <w:pPr>
        <w:tabs>
          <w:tab w:val="right" w:pos="9070" w:leader="dot"/>
        </w:tabs>
        <w:spacing w:after="60" w:line="264"/>
      </w:pPr>
      <w:r>
        <w:t xml:space="preserve">Ilustración 10. Distribución geográfica de los arriendos en Bogotá; el color representa el log del precio.</w:t>
      </w:r>
      <w:r>
        <w:t xml:space="preserve">	10</w:t>
      </w:r>
    </w:p>
    <w:p>
      <w:pPr>
        <w:tabs>
          <w:tab w:val="right" w:pos="9070" w:leader="dot"/>
        </w:tabs>
        <w:spacing w:after="60" w:line="264"/>
      </w:pPr>
      <w:r>
        <w:t xml:space="preserve">Ilustración 11. Coeficiente de variación (dispersión relativa) de las principales variables.</w:t>
      </w:r>
      <w:r>
        <w:t xml:space="preserve">	12</w:t>
      </w:r>
    </w:p>
    <w:p>
      <w:pPr>
        <w:tabs>
          <w:tab w:val="right" w:pos="9070" w:leader="dot"/>
        </w:tabs>
        <w:spacing w:after="60" w:line="264"/>
      </w:pPr>
      <w:r>
        <w:t xml:space="preserve">Ilustración 12. Distribución de log(precio) en Noroccidente y Chapinero, con las medias de cada grupo (t-test de Welch).</w:t>
      </w:r>
      <w:r>
        <w:t xml:space="preserve">	12</w:t>
      </w:r>
    </w:p>
    <w:p>
      <w:pPr>
        <w:tabs>
          <w:tab w:val="right" w:pos="9070" w:leader="dot"/>
        </w:tabs>
        <w:spacing w:after="60" w:line="264"/>
      </w:pPr>
      <w:r>
        <w:t xml:space="preserve">Ilustración 13. ANOVA por estrato: medias de log(precio) con IC 95% (izquierda) y comparaciones múltiples de Tukey (derecha).</w:t>
      </w:r>
      <w:r>
        <w:t xml:space="preserve">	13</w:t>
      </w:r>
    </w:p>
    <w:p>
      <w:pPr>
        <w:tabs>
          <w:tab w:val="right" w:pos="9070" w:leader="dot"/>
        </w:tabs>
        <w:spacing w:after="60" w:line="264"/>
      </w:pPr>
      <w:r>
        <w:t xml:space="preserve">Ilustración 14. Gráfico de interacción estrato × antigüedad sobre la media de log(precio).</w:t>
      </w:r>
      <w:r>
        <w:t xml:space="preserve">	13</w:t>
      </w:r>
    </w:p>
    <w:p>
      <w:pPr>
        <w:tabs>
          <w:tab w:val="right" w:pos="9070" w:leader="dot"/>
        </w:tabs>
        <w:spacing w:after="60" w:line="264"/>
      </w:pPr>
      <w:r>
        <w:t xml:space="preserve">Ilustración 15. Distribución de la diferencia de medias bajo la hipótesis nula (permutación); la línea marca la diferencia observada.</w:t>
      </w:r>
      <w:r>
        <w:t xml:space="preserve">	14</w:t>
      </w:r>
    </w:p>
    <w:p>
      <w:pPr>
        <w:tabs>
          <w:tab w:val="right" w:pos="9070" w:leader="dot"/>
        </w:tabs>
        <w:spacing w:after="60" w:line="264"/>
      </w:pPr>
      <w:r>
        <w:t xml:space="preserve">Ilustración 16. Relación log(área)–log(precio) con recta de ajuste y coeficientes de correlación de Pearson y Spearman.</w:t>
      </w:r>
      <w:r>
        <w:t xml:space="preserve">	14</w:t>
      </w:r>
    </w:p>
    <w:p>
      <w:pPr>
        <w:tabs>
          <w:tab w:val="right" w:pos="9070" w:leader="dot"/>
        </w:tabs>
        <w:spacing w:after="60" w:line="264"/>
      </w:pPr>
      <w:r>
        <w:t xml:space="preserve">Ilustración 17. Tablas de contingencia: estrato × zona (izquierda) y antigüedad × zona (derecha), con sus estadísticos chi-cuadrado.</w:t>
      </w:r>
      <w:r>
        <w:t xml:space="preserve">	15</w:t>
      </w:r>
    </w:p>
    <w:p>
      <w:pPr>
        <w:tabs>
          <w:tab w:val="right" w:pos="9070" w:leader="dot"/>
        </w:tabs>
        <w:spacing w:after="60" w:line="264"/>
      </w:pPr>
      <w:r>
        <w:t xml:space="preserve">Ilustración 18. Composición porcentual (barras apiladas al 100 %) de estratos y de antigüedad dentro de cada zona, ordenadas por precio mediano.</w:t>
      </w:r>
      <w:r>
        <w:t xml:space="preserve">	16</w:t>
      </w:r>
    </w:p>
    <w:p>
      <w:pPr>
        <w:tabs>
          <w:tab w:val="right" w:pos="9070" w:leader="dot"/>
        </w:tabs>
        <w:spacing w:after="60" w:line="264"/>
      </w:pPr>
      <w:r>
        <w:t xml:space="preserve">Ilustración 19. Distribución de log(precio) según la presencia de garaje (t-test de Welch).</w:t>
      </w:r>
      <w:r>
        <w:t xml:space="preserve">	16</w:t>
      </w:r>
    </w:p>
    <w:p>
      <w:pPr>
        <w:tabs>
          <w:tab w:val="right" w:pos="9070" w:leader="dot"/>
        </w:tabs>
        <w:spacing w:after="60" w:line="264"/>
      </w:pPr>
      <w:r>
        <w:t xml:space="preserve">Ilustración 20. ANOVA por zona: medias de log(precio) con IC 95% (izquierda) y comparaciones múltiples de Tukey (derecha).</w:t>
      </w:r>
      <w:r>
        <w:t xml:space="preserve">	17</w:t>
      </w:r>
    </w:p>
    <w:p>
      <w:pPr>
        <w:tabs>
          <w:tab w:val="right" w:pos="9070" w:leader="dot"/>
        </w:tabs>
        <w:spacing w:after="60" w:line="264"/>
      </w:pPr>
      <w:r>
        <w:t xml:space="preserve">Ilustración 21. Síntesis gráfica de la significancia (−log₁₀ del p-valor) de cada prueba de hipótesis.</w:t>
      </w:r>
      <w:r>
        <w:t xml:space="preserve">	18</w:t>
      </w:r>
    </w:p>
    <w:p>
      <w:pPr>
        <w:tabs>
          <w:tab w:val="right" w:pos="9070" w:leader="dot"/>
        </w:tabs>
        <w:spacing w:after="60" w:line="264"/>
      </w:pPr>
      <w:r>
        <w:t xml:space="preserve">Ilustración 22. Diagnóstico de la regresión: distribución de residuos (izquierda) y residuos vs. valores predichos (derecha).</w:t>
      </w:r>
      <w:r>
        <w:t xml:space="preserve">	20</w:t>
      </w:r>
    </w:p>
    <w:p>
      <w:pPr>
        <w:tabs>
          <w:tab w:val="right" w:pos="9070" w:leader="dot"/>
        </w:tabs>
        <w:spacing w:after="60" w:line="264"/>
      </w:pPr>
      <w:r>
        <w:t xml:space="preserve">Ilustración 23. Regularización Lasso: R² y número de variables activas en función del parámetro de penalización α.</w:t>
      </w:r>
      <w:r>
        <w:t xml:space="preserve">	21</w:t>
      </w:r>
    </w:p>
    <w:p>
      <w:pPr>
        <w:tabs>
          <w:tab w:val="right" w:pos="9070" w:leader="dot"/>
        </w:tabs>
        <w:spacing w:after="60" w:line="264"/>
      </w:pPr>
      <w:r>
        <w:t xml:space="preserve">Ilustración 24. Variables iniciales ordenadas por importancia (coeficiente estandarizado), diferenciando las retenidas de las eliminadas por Lasso.</w:t>
      </w:r>
      <w:r>
        <w:t xml:space="preserve">	22</w:t>
      </w:r>
    </w:p>
    <w:p>
      <w:pPr>
        <w:tabs>
          <w:tab w:val="right" w:pos="9070" w:leader="dot"/>
        </w:tabs>
        <w:spacing w:after="60" w:line="264"/>
      </w:pPr>
      <w:r>
        <w:t xml:space="preserve">Ilustración 25. Desempeño del modelo: arriendo real vs. predicho (izquierda) y distribución del error con MAE y RMSE (derecha).</w:t>
      </w:r>
      <w:r>
        <w:t xml:space="preserve">	23</w:t>
      </w:r>
    </w:p>
    <w:p>
      <w:r>
        <w:br w:type="page"/>
      </w:r>
    </w:p>
    <w:p>
      <w:pPr>
        <w:pStyle w:val="Heading1"/>
        <w:spacing w:after="140" w:before="300"/>
      </w:pPr>
      <w:r>
        <w:rPr>
          <w:b/>
          <w:bCs/>
        </w:rPr>
        <w:t xml:space="preserve">Resumen</w:t>
      </w:r>
    </w:p>
    <w:p>
      <w:pPr>
        <w:spacing w:after="140" w:line="276"/>
        <w:jc w:val="both"/>
      </w:pPr>
      <w:r>
        <w:t xml:space="preserve">Este trabajo analiza una base de datos de </w:t>
      </w:r>
      <w:r>
        <w:rPr>
          <w:b/>
          <w:bCs/>
        </w:rPr>
        <w:t xml:space="preserve">9.284 inmuebles en arriendo en Bogotá</w:t>
      </w:r>
      <w:r>
        <w:t xml:space="preserve"> (depurada a partir de 10.001 registros originales) con el fin de identificar los factores que determinan el precio del arriendo. El análisis integra tres frentes metodológicos: un análisis exploratorio y gráfico, un análisis estadístico inferencial con validación de supuestos, y un modelo de regresión lineal múltiple con fines predictivos y explicativos. Los resultados muestran que el </w:t>
      </w:r>
      <w:r>
        <w:rPr>
          <w:b/>
          <w:bCs/>
        </w:rPr>
        <w:t xml:space="preserve">estrato, la zona y el área</w:t>
      </w:r>
      <w:r>
        <w:t xml:space="preserve"> son las variables más fuertemente asociadas con el precio (se trata de un estudio observacional, por lo que se habla de asociación y no de causalidad). Todas las pruebas de hipótesis realizadas (t-test, ANOVA de una y dos vías, correlaciones y chi-cuadrado) resultaron estadísticamente significativas —acompañadas de sus tamaños de efecto—, y el modelo de regresión sobre la escala logarítmica alcanza un </w:t>
      </w:r>
      <w:r>
        <w:rPr>
          <w:b/>
          <w:bCs/>
        </w:rPr>
        <w:t xml:space="preserve">R² de 0,869</w:t>
      </w:r>
      <w:r>
        <w:t xml:space="preserve"> con un error porcentual medio (MAPE) del </w:t>
      </w:r>
      <w:r>
        <w:rPr>
          <w:b/>
          <w:bCs/>
        </w:rPr>
        <w:t xml:space="preserve">24,0 %</w:t>
      </w:r>
      <w:r>
        <w:t xml:space="preserve">. Se discuten además las limitaciones derivadas de la calidad de los datos y del carácter observacional de la muestra.</w:t>
      </w:r>
    </w:p>
    <w:p>
      <w:pPr>
        <w:spacing w:after="140" w:line="276"/>
        <w:jc w:val="both"/>
      </w:pPr>
      <w:r>
        <w:rPr>
          <w:b/>
          <w:bCs/>
        </w:rPr>
        <w:t xml:space="preserve">Palabras clave: </w:t>
      </w:r>
      <w:r>
        <w:rPr>
          <w:i/>
          <w:iCs/>
        </w:rPr>
        <w:t xml:space="preserve">precio de arriendo, Bogotá, pruebas de hipótesis, ANOVA, regresión lineal, elasticidad, regularización Lasso.</w:t>
      </w:r>
    </w:p>
    <w:p>
      <w:pPr>
        <w:pStyle w:val="Heading1"/>
        <w:spacing w:after="140" w:before="300"/>
      </w:pPr>
      <w:r>
        <w:rPr>
          <w:b/>
          <w:bCs/>
        </w:rPr>
        <w:t xml:space="preserve">1. Introducción y objetivos</w:t>
      </w:r>
    </w:p>
    <w:p>
      <w:pPr>
        <w:spacing w:after="140" w:line="276"/>
        <w:jc w:val="both"/>
      </w:pPr>
      <w:r>
        <w:t xml:space="preserve">El mercado de arriendo de vivienda en Bogotá es heterogéneo: los precios varían por localización, características físicas del inmueble y estrato socioeconómico. Comprender qué variables explican esa variación tiene valor tanto para arrendadores y arrendatarios como para el diseño de política de vivienda. El presente informe da respuesta a la Actividad 3, cuyo objetivo de aprendizaje es </w:t>
      </w:r>
      <w:r>
        <w:rPr>
          <w:i/>
          <w:iCs/>
        </w:rPr>
        <w:t xml:space="preserve">aplicar técnicas estadísticas (medidas de resumen, pruebas de hipótesis, regresión lineal) y conceptos básicos de aprendizaje automático utilizando Python para analizar datos, validar hipótesis y predecir valores en contextos prácticos.</w:t>
      </w:r>
    </w:p>
    <w:p>
      <w:pPr>
        <w:spacing w:after="140" w:line="276"/>
        <w:jc w:val="both"/>
      </w:pPr>
      <w:r>
        <w:t xml:space="preserve">En concreto se persiguen cuatro objetivos: (i) caracterizar y depurar la base de datos garantizando su calidad; (ii) describir gráficamente el comportamiento del precio frente a las demás variables; (iii) contrastar mediante pruebas de hipótesis si las diferencias observadas son estadísticamente significativas, validando en cada caso los supuestos de las pruebas; y (iv) construir e interpretar un modelo predictivo del precio, evaluando su capacidad explicativa y su error.</w:t>
      </w:r>
    </w:p>
    <w:p>
      <w:pPr>
        <w:pStyle w:val="Heading1"/>
        <w:spacing w:after="140" w:before="300"/>
      </w:pPr>
      <w:r>
        <w:rPr>
          <w:b/>
          <w:bCs/>
        </w:rPr>
        <w:t xml:space="preserve">2. Datos y metodología</w:t>
      </w:r>
    </w:p>
    <w:p>
      <w:pPr>
        <w:pStyle w:val="Heading2"/>
        <w:spacing w:after="100" w:before="220"/>
      </w:pPr>
      <w:r>
        <w:rPr>
          <w:b/>
          <w:bCs/>
        </w:rPr>
        <w:t xml:space="preserve">2.1 Descripción de la base de datos</w:t>
      </w:r>
    </w:p>
    <w:p>
      <w:pPr>
        <w:spacing w:after="140" w:line="276"/>
        <w:jc w:val="both"/>
      </w:pPr>
      <w:r>
        <w:t xml:space="preserve">La base </w:t>
      </w:r>
      <w:r>
        <w:rPr>
          <w:i/>
          <w:iCs/>
        </w:rPr>
        <w:t xml:space="preserve">base_arriendos.csv</w:t>
      </w:r>
      <w:r>
        <w:t xml:space="preserve"> contiene </w:t>
      </w:r>
      <w:r>
        <w:rPr>
          <w:b/>
          <w:bCs/>
        </w:rPr>
        <w:t xml:space="preserve">10.001 registros y 12 variables</w:t>
      </w:r>
      <w:r>
        <w:t xml:space="preserve">. Las variables numéricas describen el tamaño y la dotación del inmueble —precio de arriendo (</w:t>
      </w:r>
      <w:r>
        <w:rPr>
          <w:i/>
          <w:iCs/>
        </w:rPr>
        <w:t xml:space="preserve">precios</w:t>
      </w:r>
      <w:r>
        <w:t xml:space="preserve">), área en m² (</w:t>
      </w:r>
      <w:r>
        <w:rPr>
          <w:i/>
          <w:iCs/>
        </w:rPr>
        <w:t xml:space="preserve">area</w:t>
      </w:r>
      <w:r>
        <w:t xml:space="preserve"> y </w:t>
      </w:r>
      <w:r>
        <w:rPr>
          <w:i/>
          <w:iCs/>
        </w:rPr>
        <w:t xml:space="preserve">area_const</w:t>
      </w:r>
      <w:r>
        <w:t xml:space="preserve">), número de habitaciones, baños y garajes, y cuota de administración (</w:t>
      </w:r>
      <w:r>
        <w:rPr>
          <w:i/>
          <w:iCs/>
        </w:rPr>
        <w:t xml:space="preserve">Admon</w:t>
      </w:r>
      <w:r>
        <w:t xml:space="preserve">)—, mientras que las categóricas capturan su contexto socioeconómico y geográfico: estrato (1 a 6), zona de la ciudad y antigüedad. Adicionalmente se dispone de las coordenadas geográficas (</w:t>
      </w:r>
      <w:r>
        <w:rPr>
          <w:i/>
          <w:iCs/>
        </w:rPr>
        <w:t xml:space="preserve">lon, lat</w:t>
      </w:r>
      <w:r>
        <w:t xml:space="preserve">), que permiten un análisis espacial.</w:t>
      </w:r>
    </w:p>
    <w:p>
      <w:pPr>
        <w:pStyle w:val="Heading2"/>
        <w:spacing w:after="100" w:before="220"/>
      </w:pPr>
      <w:r>
        <w:rPr>
          <w:b/>
          <w:bCs/>
        </w:rPr>
        <w:t xml:space="preserve">2.2 Limpieza y preparación de los datos</w:t>
      </w:r>
    </w:p>
    <w:p>
      <w:pPr>
        <w:spacing w:after="140" w:line="276"/>
        <w:jc w:val="both"/>
      </w:pPr>
      <w:r>
        <w:t xml:space="preserve">El diagnóstico inicial reveló dos problemas de calidad que, de no tratarse, distorsionarían cualquier análisis. En primer lugar, </w:t>
      </w:r>
      <w:r>
        <w:rPr>
          <w:b/>
          <w:bCs/>
        </w:rPr>
        <w:t xml:space="preserve">valores faltantes</w:t>
      </w:r>
      <w:r>
        <w:t xml:space="preserve">: la administración no se reporta en 1.919 registros (≈19 %) y la zona en 497. En segundo lugar, </w:t>
      </w:r>
      <w:r>
        <w:rPr>
          <w:b/>
          <w:bCs/>
        </w:rPr>
        <w:t xml:space="preserve">valores atípicos imposibles</w:t>
      </w:r>
      <w:r>
        <w:t xml:space="preserve">, producto de errores de captura: precios de arriendo de hasta 18.000 millones de pesos mensuales, áreas superiores a 480.000 m² y coordenadas en cero. Se aplicaron criterios de limpieza conservadores y justificados: la variable </w:t>
      </w:r>
      <w:r>
        <w:rPr>
          <w:i/>
          <w:iCs/>
        </w:rPr>
        <w:t xml:space="preserve">banos</w:t>
      </w:r>
      <w:r>
        <w:t xml:space="preserve"> (baños) se convirtió a numérica (recodificando “5+” como 5); se eliminaron los registros con datos faltantes en las variables clave del análisis; se restringió la muestra a rangos de mercado realistas (precio entre 500.000 y 60.000.000 de pesos y área entre 20 y 1.000 m²); y se excluyó el </w:t>
      </w:r>
      <w:r>
        <w:rPr>
          <w:b/>
          <w:bCs/>
        </w:rPr>
        <w:t xml:space="preserve">estrato 1</w:t>
      </w:r>
      <w:r>
        <w:t xml:space="preserve"> (19 registros mal clasificados, ver más abajo). Tras la depuración la base quedó en </w:t>
      </w:r>
      <w:r>
        <w:rPr>
          <w:b/>
          <w:bCs/>
        </w:rPr>
        <w:t xml:space="preserve">9.284 registros (92,8 % del total)</w:t>
      </w:r>
      <w:r>
        <w:t xml:space="preserve">, descartándose 717 observaciones. La Tabla 1 detalla la trazabilidad de la depuración paso a paso.</w:t>
      </w:r>
    </w:p>
    <w:p>
      <w:pPr>
        <w:pStyle w:val="Caption"/>
        <w:spacing w:after="60" w:before="120"/>
        <w:jc w:val="center"/>
      </w:pPr>
      <w:r>
        <w:rPr>
          <w:i/>
          <w:iCs/>
        </w:rPr>
        <w:t xml:space="preserve">Tabla 1. Trazabilidad de la limpieza de datos: registros conservados y descartados en cada 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1500"/>
        <w:gridCol w:w="1500"/>
      </w:tblGrid>
      <w:tr>
        <w:trPr>
          <w:tblHeader/>
        </w:trPr>
        <w:tc>
          <w:tcPr>
            <w:tcW w:type="dxa" w:w="900"/>
            <w:shd w:fill="1F3864" w:color="auto" w:val="clear"/>
            <w:tcMar>
              <w:top w:type="dxa" w:w="40"/>
              <w:left w:type="dxa" w:w="80"/>
              <w:bottom w:type="dxa" w:w="40"/>
              <w:right w:type="dxa" w:w="80"/>
            </w:tcMar>
          </w:tcPr>
          <w:p>
            <w:pPr>
              <w:spacing w:after="0" w:line="240"/>
              <w:jc w:val="center"/>
            </w:pPr>
            <w:r>
              <w:rPr>
                <w:b/>
                <w:bCs/>
                <w:color w:val="FFFFFF"/>
                <w:sz w:val="19"/>
                <w:szCs w:val="19"/>
              </w:rPr>
              <w:t xml:space="preserve">Paso</w:t>
            </w:r>
          </w:p>
        </w:tc>
        <w:tc>
          <w:tcPr>
            <w:tcW w:type="dxa" w:w="5460"/>
            <w:shd w:fill="1F3864" w:color="auto" w:val="clear"/>
            <w:tcMar>
              <w:top w:type="dxa" w:w="40"/>
              <w:left w:type="dxa" w:w="80"/>
              <w:bottom w:type="dxa" w:w="40"/>
              <w:right w:type="dxa" w:w="80"/>
            </w:tcMar>
          </w:tcPr>
          <w:p>
            <w:pPr>
              <w:spacing w:after="0" w:line="240"/>
              <w:jc w:val="left"/>
            </w:pPr>
            <w:r>
              <w:rPr>
                <w:b/>
                <w:bCs/>
                <w:color w:val="FFFFFF"/>
                <w:sz w:val="19"/>
                <w:szCs w:val="19"/>
              </w:rPr>
              <w:t xml:space="preserve">Operación</w:t>
            </w:r>
          </w:p>
        </w:tc>
        <w:tc>
          <w:tcPr>
            <w:tcW w:type="dxa" w:w="1500"/>
            <w:shd w:fill="1F3864" w:color="auto" w:val="clear"/>
            <w:tcMar>
              <w:top w:type="dxa" w:w="40"/>
              <w:left w:type="dxa" w:w="80"/>
              <w:bottom w:type="dxa" w:w="40"/>
              <w:right w:type="dxa" w:w="80"/>
            </w:tcMar>
          </w:tcPr>
          <w:p>
            <w:pPr>
              <w:spacing w:after="0" w:line="240"/>
              <w:jc w:val="right"/>
            </w:pPr>
            <w:r>
              <w:rPr>
                <w:b/>
                <w:bCs/>
                <w:color w:val="FFFFFF"/>
                <w:sz w:val="19"/>
                <w:szCs w:val="19"/>
              </w:rPr>
              <w:t xml:space="preserve">Filas</w:t>
            </w:r>
          </w:p>
        </w:tc>
        <w:tc>
          <w:tcPr>
            <w:tcW w:type="dxa" w:w="1500"/>
            <w:shd w:fill="1F3864" w:color="auto" w:val="clear"/>
            <w:tcMar>
              <w:top w:type="dxa" w:w="40"/>
              <w:left w:type="dxa" w:w="80"/>
              <w:bottom w:type="dxa" w:w="40"/>
              <w:right w:type="dxa" w:w="80"/>
            </w:tcMar>
          </w:tcPr>
          <w:p>
            <w:pPr>
              <w:spacing w:after="0" w:line="240"/>
              <w:jc w:val="right"/>
            </w:pPr>
            <w:r>
              <w:rPr>
                <w:b/>
                <w:bCs/>
                <w:color w:val="FFFFFF"/>
                <w:sz w:val="19"/>
                <w:szCs w:val="19"/>
              </w:rPr>
              <w:t xml:space="preserve">Descartadas</w:t>
            </w:r>
          </w:p>
        </w:tc>
      </w:tr>
      <w:tr>
        <w:tc>
          <w:tcPr>
            <w:tcW w:type="dxa" w:w="900"/>
            <w:tcMar>
              <w:top w:type="dxa" w:w="40"/>
              <w:left w:type="dxa" w:w="80"/>
              <w:bottom w:type="dxa" w:w="40"/>
              <w:right w:type="dxa" w:w="80"/>
            </w:tcMar>
          </w:tcPr>
          <w:p>
            <w:pPr>
              <w:spacing w:after="0" w:line="240"/>
              <w:jc w:val="center"/>
            </w:pPr>
            <w:r>
              <w:rPr>
                <w:b w:val="false"/>
                <w:bCs w:val="false"/>
                <w:color w:val="000000"/>
                <w:sz w:val="19"/>
                <w:szCs w:val="19"/>
              </w:rPr>
              <w:t xml:space="preserve">0</w:t>
            </w:r>
          </w:p>
        </w:tc>
        <w:tc>
          <w:tcPr>
            <w:tcW w:type="dxa" w:w="5460"/>
            <w:tcMar>
              <w:top w:type="dxa" w:w="40"/>
              <w:left w:type="dxa" w:w="80"/>
              <w:bottom w:type="dxa" w:w="40"/>
              <w:right w:type="dxa" w:w="80"/>
            </w:tcMar>
          </w:tcPr>
          <w:p>
            <w:pPr>
              <w:spacing w:after="0" w:line="240"/>
              <w:jc w:val="left"/>
            </w:pPr>
            <w:r>
              <w:rPr>
                <w:b w:val="false"/>
                <w:bCs w:val="false"/>
                <w:color w:val="000000"/>
                <w:sz w:val="19"/>
                <w:szCs w:val="19"/>
              </w:rPr>
              <w:t xml:space="preserve">Base original</w:t>
            </w:r>
          </w:p>
        </w:tc>
        <w:tc>
          <w:tcPr>
            <w:tcW w:type="dxa" w:w="1500"/>
            <w:tcMar>
              <w:top w:type="dxa" w:w="40"/>
              <w:left w:type="dxa" w:w="80"/>
              <w:bottom w:type="dxa" w:w="40"/>
              <w:right w:type="dxa" w:w="80"/>
            </w:tcMar>
          </w:tcPr>
          <w:p>
            <w:pPr>
              <w:spacing w:after="0" w:line="240"/>
              <w:jc w:val="right"/>
            </w:pPr>
            <w:r>
              <w:rPr>
                <w:b w:val="false"/>
                <w:bCs w:val="false"/>
                <w:color w:val="000000"/>
                <w:sz w:val="19"/>
                <w:szCs w:val="19"/>
              </w:rPr>
              <w:t xml:space="preserve">10.001</w:t>
            </w:r>
          </w:p>
        </w:tc>
        <w:tc>
          <w:tcPr>
            <w:tcW w:type="dxa" w:w="1500"/>
            <w:tcMar>
              <w:top w:type="dxa" w:w="40"/>
              <w:left w:type="dxa" w:w="80"/>
              <w:bottom w:type="dxa" w:w="40"/>
              <w:right w:type="dxa" w:w="80"/>
            </w:tcMar>
          </w:tcPr>
          <w:p>
            <w:pPr>
              <w:spacing w:after="0" w:line="240"/>
              <w:jc w:val="right"/>
            </w:pPr>
            <w:r>
              <w:rPr>
                <w:b w:val="false"/>
                <w:bCs w:val="false"/>
                <w:color w:val="000000"/>
                <w:sz w:val="19"/>
                <w:szCs w:val="19"/>
              </w:rPr>
              <w:t xml:space="preserve">—</w:t>
            </w:r>
          </w:p>
        </w:tc>
      </w:tr>
      <w:tr>
        <w:tc>
          <w:tcPr>
            <w:tcW w:type="dxa" w:w="900"/>
            <w:shd w:fill="EDF0F7" w:color="auto" w:val="clear"/>
            <w:tcMar>
              <w:top w:type="dxa" w:w="40"/>
              <w:left w:type="dxa" w:w="80"/>
              <w:bottom w:type="dxa" w:w="40"/>
              <w:right w:type="dxa" w:w="80"/>
            </w:tcMar>
          </w:tcPr>
          <w:p>
            <w:pPr>
              <w:spacing w:after="0" w:line="240"/>
              <w:jc w:val="center"/>
            </w:pPr>
            <w:r>
              <w:rPr>
                <w:b w:val="false"/>
                <w:bCs w:val="false"/>
                <w:color w:val="000000"/>
                <w:sz w:val="19"/>
                <w:szCs w:val="19"/>
              </w:rPr>
              <w:t xml:space="preserve">1</w:t>
            </w:r>
          </w:p>
        </w:tc>
        <w:tc>
          <w:tcPr>
            <w:tcW w:type="dxa" w:w="54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Eliminar nulos en variables clave (precio, área, estrato, zona, antigüedad, habitaciones, baños, garajes)</w:t>
            </w:r>
          </w:p>
        </w:tc>
        <w:tc>
          <w:tcPr>
            <w:tcW w:type="dxa" w:w="15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9.485</w:t>
            </w:r>
          </w:p>
        </w:tc>
        <w:tc>
          <w:tcPr>
            <w:tcW w:type="dxa" w:w="15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516</w:t>
            </w:r>
          </w:p>
        </w:tc>
      </w:tr>
      <w:tr>
        <w:tc>
          <w:tcPr>
            <w:tcW w:type="dxa" w:w="900"/>
            <w:tcMar>
              <w:top w:type="dxa" w:w="40"/>
              <w:left w:type="dxa" w:w="80"/>
              <w:bottom w:type="dxa" w:w="40"/>
              <w:right w:type="dxa" w:w="80"/>
            </w:tcMar>
          </w:tcPr>
          <w:p>
            <w:pPr>
              <w:spacing w:after="0" w:line="240"/>
              <w:jc w:val="center"/>
            </w:pPr>
            <w:r>
              <w:rPr>
                <w:b w:val="false"/>
                <w:bCs w:val="false"/>
                <w:color w:val="000000"/>
                <w:sz w:val="19"/>
                <w:szCs w:val="19"/>
              </w:rPr>
              <w:t xml:space="preserve">2</w:t>
            </w:r>
          </w:p>
        </w:tc>
        <w:tc>
          <w:tcPr>
            <w:tcW w:type="dxa" w:w="5460"/>
            <w:tcMar>
              <w:top w:type="dxa" w:w="40"/>
              <w:left w:type="dxa" w:w="80"/>
              <w:bottom w:type="dxa" w:w="40"/>
              <w:right w:type="dxa" w:w="80"/>
            </w:tcMar>
          </w:tcPr>
          <w:p>
            <w:pPr>
              <w:spacing w:after="0" w:line="240"/>
              <w:jc w:val="left"/>
            </w:pPr>
            <w:r>
              <w:rPr>
                <w:b w:val="false"/>
                <w:bCs w:val="false"/>
                <w:color w:val="000000"/>
                <w:sz w:val="19"/>
                <w:szCs w:val="19"/>
              </w:rPr>
              <w:t xml:space="preserve">Filtro de precio: entre $500.000 y $60.000.000</w:t>
            </w:r>
          </w:p>
        </w:tc>
        <w:tc>
          <w:tcPr>
            <w:tcW w:type="dxa" w:w="1500"/>
            <w:tcMar>
              <w:top w:type="dxa" w:w="40"/>
              <w:left w:type="dxa" w:w="80"/>
              <w:bottom w:type="dxa" w:w="40"/>
              <w:right w:type="dxa" w:w="80"/>
            </w:tcMar>
          </w:tcPr>
          <w:p>
            <w:pPr>
              <w:spacing w:after="0" w:line="240"/>
              <w:jc w:val="right"/>
            </w:pPr>
            <w:r>
              <w:rPr>
                <w:b w:val="false"/>
                <w:bCs w:val="false"/>
                <w:color w:val="000000"/>
                <w:sz w:val="19"/>
                <w:szCs w:val="19"/>
              </w:rPr>
              <w:t xml:space="preserve">9.431</w:t>
            </w:r>
          </w:p>
        </w:tc>
        <w:tc>
          <w:tcPr>
            <w:tcW w:type="dxa" w:w="1500"/>
            <w:tcMar>
              <w:top w:type="dxa" w:w="40"/>
              <w:left w:type="dxa" w:w="80"/>
              <w:bottom w:type="dxa" w:w="40"/>
              <w:right w:type="dxa" w:w="80"/>
            </w:tcMar>
          </w:tcPr>
          <w:p>
            <w:pPr>
              <w:spacing w:after="0" w:line="240"/>
              <w:jc w:val="right"/>
            </w:pPr>
            <w:r>
              <w:rPr>
                <w:b w:val="false"/>
                <w:bCs w:val="false"/>
                <w:color w:val="000000"/>
                <w:sz w:val="19"/>
                <w:szCs w:val="19"/>
              </w:rPr>
              <w:t xml:space="preserve">54</w:t>
            </w:r>
          </w:p>
        </w:tc>
      </w:tr>
      <w:tr>
        <w:tc>
          <w:tcPr>
            <w:tcW w:type="dxa" w:w="900"/>
            <w:shd w:fill="EDF0F7" w:color="auto" w:val="clear"/>
            <w:tcMar>
              <w:top w:type="dxa" w:w="40"/>
              <w:left w:type="dxa" w:w="80"/>
              <w:bottom w:type="dxa" w:w="40"/>
              <w:right w:type="dxa" w:w="80"/>
            </w:tcMar>
          </w:tcPr>
          <w:p>
            <w:pPr>
              <w:spacing w:after="0" w:line="240"/>
              <w:jc w:val="center"/>
            </w:pPr>
            <w:r>
              <w:rPr>
                <w:b w:val="false"/>
                <w:bCs w:val="false"/>
                <w:color w:val="000000"/>
                <w:sz w:val="19"/>
                <w:szCs w:val="19"/>
              </w:rPr>
              <w:t xml:space="preserve">3</w:t>
            </w:r>
          </w:p>
        </w:tc>
        <w:tc>
          <w:tcPr>
            <w:tcW w:type="dxa" w:w="54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Filtro de área: entre 20 y 1.000 m²</w:t>
            </w:r>
          </w:p>
        </w:tc>
        <w:tc>
          <w:tcPr>
            <w:tcW w:type="dxa" w:w="15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9.303</w:t>
            </w:r>
          </w:p>
        </w:tc>
        <w:tc>
          <w:tcPr>
            <w:tcW w:type="dxa" w:w="15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128</w:t>
            </w:r>
          </w:p>
        </w:tc>
      </w:tr>
      <w:tr>
        <w:tc>
          <w:tcPr>
            <w:tcW w:type="dxa" w:w="900"/>
            <w:tcMar>
              <w:top w:type="dxa" w:w="40"/>
              <w:left w:type="dxa" w:w="80"/>
              <w:bottom w:type="dxa" w:w="40"/>
              <w:right w:type="dxa" w:w="80"/>
            </w:tcMar>
          </w:tcPr>
          <w:p>
            <w:pPr>
              <w:spacing w:after="0" w:line="240"/>
              <w:jc w:val="center"/>
            </w:pPr>
            <w:r>
              <w:rPr>
                <w:b w:val="false"/>
                <w:bCs w:val="false"/>
                <w:color w:val="000000"/>
                <w:sz w:val="19"/>
                <w:szCs w:val="19"/>
              </w:rPr>
              <w:t xml:space="preserve">4</w:t>
            </w:r>
          </w:p>
        </w:tc>
        <w:tc>
          <w:tcPr>
            <w:tcW w:type="dxa" w:w="5460"/>
            <w:tcMar>
              <w:top w:type="dxa" w:w="40"/>
              <w:left w:type="dxa" w:w="80"/>
              <w:bottom w:type="dxa" w:w="40"/>
              <w:right w:type="dxa" w:w="80"/>
            </w:tcMar>
          </w:tcPr>
          <w:p>
            <w:pPr>
              <w:spacing w:after="0" w:line="240"/>
              <w:jc w:val="left"/>
            </w:pPr>
            <w:r>
              <w:rPr>
                <w:b w:val="false"/>
                <w:bCs w:val="false"/>
                <w:color w:val="000000"/>
                <w:sz w:val="19"/>
                <w:szCs w:val="19"/>
              </w:rPr>
              <w:t xml:space="preserve">Excluir el estrato 1 (19 registros mal clasificados)</w:t>
            </w:r>
          </w:p>
        </w:tc>
        <w:tc>
          <w:tcPr>
            <w:tcW w:type="dxa" w:w="1500"/>
            <w:tcMar>
              <w:top w:type="dxa" w:w="40"/>
              <w:left w:type="dxa" w:w="80"/>
              <w:bottom w:type="dxa" w:w="40"/>
              <w:right w:type="dxa" w:w="80"/>
            </w:tcMar>
          </w:tcPr>
          <w:p>
            <w:pPr>
              <w:spacing w:after="0" w:line="240"/>
              <w:jc w:val="right"/>
            </w:pPr>
            <w:r>
              <w:rPr>
                <w:b w:val="false"/>
                <w:bCs w:val="false"/>
                <w:color w:val="000000"/>
                <w:sz w:val="19"/>
                <w:szCs w:val="19"/>
              </w:rPr>
              <w:t xml:space="preserve">9.284</w:t>
            </w:r>
          </w:p>
        </w:tc>
        <w:tc>
          <w:tcPr>
            <w:tcW w:type="dxa" w:w="1500"/>
            <w:tcMar>
              <w:top w:type="dxa" w:w="40"/>
              <w:left w:type="dxa" w:w="80"/>
              <w:bottom w:type="dxa" w:w="40"/>
              <w:right w:type="dxa" w:w="80"/>
            </w:tcMar>
          </w:tcPr>
          <w:p>
            <w:pPr>
              <w:spacing w:after="0" w:line="240"/>
              <w:jc w:val="right"/>
            </w:pPr>
            <w:r>
              <w:rPr>
                <w:b w:val="false"/>
                <w:bCs w:val="false"/>
                <w:color w:val="000000"/>
                <w:sz w:val="19"/>
                <w:szCs w:val="19"/>
              </w:rPr>
              <w:t xml:space="preserve">19</w:t>
            </w:r>
          </w:p>
        </w:tc>
      </w:tr>
      <w:tr>
        <w:tc>
          <w:tcPr>
            <w:tcW w:type="dxa" w:w="900"/>
            <w:shd w:fill="EDF0F7" w:color="auto" w:val="clear"/>
            <w:tcMar>
              <w:top w:type="dxa" w:w="40"/>
              <w:left w:type="dxa" w:w="80"/>
              <w:bottom w:type="dxa" w:w="40"/>
              <w:right w:type="dxa" w:w="80"/>
            </w:tcMar>
          </w:tcPr>
          <w:p>
            <w:pPr>
              <w:spacing w:after="0" w:line="240"/>
              <w:jc w:val="center"/>
            </w:pPr>
            <w:r>
              <w:rPr>
                <w:b w:val="false"/>
                <w:bCs w:val="false"/>
                <w:color w:val="000000"/>
                <w:sz w:val="19"/>
                <w:szCs w:val="19"/>
              </w:rPr>
              <w:t xml:space="preserve"/>
            </w:r>
          </w:p>
        </w:tc>
        <w:tc>
          <w:tcPr>
            <w:tcW w:type="dxa" w:w="54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Base final para el análisis</w:t>
            </w:r>
          </w:p>
        </w:tc>
        <w:tc>
          <w:tcPr>
            <w:tcW w:type="dxa" w:w="15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9.284</w:t>
            </w:r>
          </w:p>
        </w:tc>
        <w:tc>
          <w:tcPr>
            <w:tcW w:type="dxa" w:w="15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92,8 % del total</w:t>
            </w:r>
          </w:p>
        </w:tc>
      </w:tr>
    </w:tbl>
    <w:p>
      <w:pPr>
        <w:spacing w:after="140" w:line="276"/>
        <w:jc w:val="both"/>
      </w:pPr>
      <w:r>
        <w:t xml:space="preserve">Un caso particular justifica la última exclusión: el estrato 1 quedaba con apenas 19 registros y precios atípicamente altos, impropios de ese estrato (un supuesto estrato 1 no puede costar como un estrato 5 o 6). Es casi con seguridad un </w:t>
      </w:r>
      <w:r>
        <w:rPr>
          <w:b/>
          <w:bCs/>
        </w:rPr>
        <w:t xml:space="preserve">error de clasificación</w:t>
      </w:r>
      <w:r>
        <w:t xml:space="preserve"> en la fuente, por lo que se excluye del análisis. Retirar ese 0,2 % de datos no fiables es más defendible que modelar alrededor de ellos, y mejora tres frentes que se verán más adelante: el ANOVA por estrato (todos los pares pasan a diferir), la prueba chi-cuadrado (mejores frecuencias esperadas) y el condicionamiento de la regresión; además, deja el estrato 2 como categoría de referencia natural.</w:t>
      </w:r>
    </w:p>
    <w:p>
      <w:pPr>
        <w:pStyle w:val="Heading2"/>
        <w:spacing w:after="100" w:before="220"/>
      </w:pPr>
      <w:r>
        <w:rPr>
          <w:b/>
          <w:bCs/>
        </w:rPr>
        <w:t xml:space="preserve">2.3 Justificación de la transformación logarítmica</w:t>
      </w:r>
    </w:p>
    <w:p>
      <w:pPr>
        <w:spacing w:after="140" w:line="276"/>
        <w:jc w:val="both"/>
      </w:pPr>
      <w:r>
        <w:t xml:space="preserve">El precio de arriendo presenta una fuerte asimetría a la derecha (coeficiente de asimetría de </w:t>
      </w:r>
      <w:r>
        <w:rPr>
          <w:b/>
          <w:bCs/>
        </w:rPr>
        <w:t xml:space="preserve">2,04</w:t>
      </w:r>
      <w:r>
        <w:t xml:space="preserve">), típica de las variables monetarias. Al aplicar el logaritmo natural, la distribución se vuelve aproximadamente simétrica (asimetría de </w:t>
      </w:r>
      <w:r>
        <w:rPr>
          <w:b/>
          <w:bCs/>
        </w:rPr>
        <w:t xml:space="preserve">−0,20</w:t>
      </w:r>
      <w:r>
        <w:t xml:space="preserve">; véase la Ilustración 1). Por esta razón, todas las pruebas paramétricas y el modelo de regresión se construyen sobre la variable </w:t>
      </w:r>
      <w:r>
        <w:rPr>
          <w:i/>
          <w:iCs/>
        </w:rPr>
        <w:t xml:space="preserve">log_precio</w:t>
      </w:r>
      <w:r>
        <w:t xml:space="preserve"> (y </w:t>
      </w:r>
      <w:r>
        <w:rPr>
          <w:i/>
          <w:iCs/>
        </w:rPr>
        <w:t xml:space="preserve">log_area</w:t>
      </w:r>
      <w:r>
        <w:t xml:space="preserve"> para la relación tamaño–precio), lo que aproxima el cumplimiento del supuesto de normalidad y confiere a los coeficientes una interpretación en términos de elasticidad y de cambios porcentuales.</w:t>
      </w:r>
    </w:p>
    <w:p>
      <w:pPr>
        <w:spacing w:after="140" w:line="276"/>
        <w:jc w:val="both"/>
      </w:pPr>
      <w:r>
        <w:t xml:space="preserve">El análisis se desarrolló íntegramente en </w:t>
      </w:r>
      <w:r>
        <w:rPr>
          <w:b/>
          <w:bCs/>
        </w:rPr>
        <w:t xml:space="preserve">Python</w:t>
      </w:r>
      <w:r>
        <w:t xml:space="preserve">, empleando pandas y NumPy para el manejo de datos, matplotlib y seaborn para la visualización, y SciPy y statsmodels para la inferencia estadística y el modelado.</w:t>
      </w:r>
    </w:p>
    <w:p>
      <w:pPr>
        <w:pStyle w:val="Heading1"/>
        <w:spacing w:after="140" w:before="300"/>
      </w:pPr>
      <w:r>
        <w:rPr>
          <w:b/>
          <w:bCs/>
        </w:rPr>
        <w:t xml:space="preserve">3. Análisis exploratorio y gráfico</w:t>
      </w:r>
    </w:p>
    <w:p>
      <w:pPr>
        <w:pStyle w:val="Heading2"/>
        <w:spacing w:after="100" w:before="220"/>
      </w:pPr>
      <w:r>
        <w:rPr>
          <w:b/>
          <w:bCs/>
        </w:rPr>
        <w:t xml:space="preserve">3.1 Distribución del precio de arriendo</w:t>
      </w:r>
    </w:p>
    <w:p>
      <w:pPr>
        <w:spacing w:after="140" w:line="276"/>
        <w:jc w:val="both"/>
      </w:pPr>
      <w:r>
        <w:t xml:space="preserve">La Ilustración 1 compara la distribución del precio en su escala original y logarítmica. La escala original exhibe la cola larga de arriendos costosos que induce la asimetría; el logaritmo la corrige y produce una distribución acampanada, requisito de las pruebas paramétricas que se aplican más adelante.</w:t>
      </w:r>
    </w:p>
    <w:p>
      <w:pPr>
        <w:spacing w:after="40" w:before="120"/>
        <w:jc w:val="center"/>
      </w:pPr>
      <w:r>
        <w:drawing>
          <wp:inline distT="0" distB="0" distL="0" distR="0">
            <wp:extent cx="58102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019300"/>
                    </a:xfrm>
                    <a:prstGeom prst="rect">
                      <a:avLst/>
                    </a:prstGeom>
                  </pic:spPr>
                </pic:pic>
              </a:graphicData>
            </a:graphic>
          </wp:inline>
        </w:drawing>
      </w:r>
    </w:p>
    <w:p>
      <w:pPr>
        <w:pStyle w:val="Caption"/>
        <w:spacing w:after="200"/>
        <w:jc w:val="center"/>
      </w:pPr>
      <w:r>
        <w:rPr>
          <w:i/>
          <w:iCs/>
        </w:rPr>
        <w:t xml:space="preserve">Ilustración 1. Distribución del precio de arriendo en escala original (izquierda) y logarítmica (derecha).</w:t>
      </w:r>
    </w:p>
    <w:p>
      <w:pPr>
        <w:pStyle w:val="Heading2"/>
        <w:spacing w:after="100" w:before="220"/>
      </w:pPr>
      <w:r>
        <w:rPr>
          <w:b/>
          <w:bCs/>
        </w:rPr>
        <w:t xml:space="preserve">3.2 Precio por estrato</w:t>
      </w:r>
    </w:p>
    <w:p>
      <w:pPr>
        <w:spacing w:after="140" w:line="276"/>
        <w:jc w:val="both"/>
      </w:pPr>
      <w:r>
        <w:t xml:space="preserve">El diagrama de caja por estrato (Ilustración 2) muestra una </w:t>
      </w:r>
      <w:r>
        <w:rPr>
          <w:b/>
          <w:bCs/>
        </w:rPr>
        <w:t xml:space="preserve">escalera creciente</w:t>
      </w:r>
      <w:r>
        <w:t xml:space="preserve"> del precio mediano: $1.016.400 (estrato 2), $1.500.000 (3), $2.700.000 (4), $6.000.000 (5) y $8.500.000 (estrato 6). El salto es especialmente marcado entre los estratos 4, 5 y 6, y el crecimiento es perfectamente monótono al haber excluido el estrato 1 anómalo.</w:t>
      </w:r>
    </w:p>
    <w:p>
      <w:pPr>
        <w:spacing w:after="40" w:before="120"/>
        <w:jc w:val="center"/>
      </w:pPr>
      <w:r>
        <w:drawing>
          <wp:inline distT="0" distB="0" distL="0" distR="0">
            <wp:extent cx="4476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190750"/>
                    </a:xfrm>
                    <a:prstGeom prst="rect">
                      <a:avLst/>
                    </a:prstGeom>
                  </pic:spPr>
                </pic:pic>
              </a:graphicData>
            </a:graphic>
          </wp:inline>
        </w:drawing>
      </w:r>
    </w:p>
    <w:p>
      <w:pPr>
        <w:pStyle w:val="Caption"/>
        <w:spacing w:after="200"/>
        <w:jc w:val="center"/>
      </w:pPr>
      <w:r>
        <w:rPr>
          <w:i/>
          <w:iCs/>
        </w:rPr>
        <w:t xml:space="preserve">Ilustración 2. Distribución del precio de arriendo por estrato (escala logarítmica).</w:t>
      </w:r>
    </w:p>
    <w:p>
      <w:pPr>
        <w:pStyle w:val="Heading2"/>
        <w:spacing w:after="100" w:before="220"/>
      </w:pPr>
      <w:r>
        <w:rPr>
          <w:b/>
          <w:bCs/>
        </w:rPr>
        <w:t xml:space="preserve">3.3 Precio por zona</w:t>
      </w:r>
    </w:p>
    <w:p>
      <w:pPr>
        <w:spacing w:after="140" w:line="276"/>
        <w:jc w:val="both"/>
      </w:pPr>
      <w:r>
        <w:t xml:space="preserve">Ordenadas por mediana (Ilustración 3), las zonas revelan una jerarquía geográfica clara: </w:t>
      </w:r>
      <w:r>
        <w:rPr>
          <w:b/>
          <w:bCs/>
        </w:rPr>
        <w:t xml:space="preserve">Guaymaral ($11,23 M) y Norte ($7,5 M)</w:t>
      </w:r>
      <w:r>
        <w:t xml:space="preserve"> concentran los arriendos más costosos, seguidas por Noroccidente ($6,0 M) y Chapinero ($3,85 M), mientras que </w:t>
      </w:r>
      <w:r>
        <w:rPr>
          <w:b/>
          <w:bCs/>
        </w:rPr>
        <w:t xml:space="preserve">Centro y Occidental ($1,8 M) y Sur ($1,1 M)</w:t>
      </w:r>
      <w:r>
        <w:t xml:space="preserve"> son las más económicas.</w:t>
      </w:r>
    </w:p>
    <w:p>
      <w:pPr>
        <w:spacing w:after="40" w:before="120"/>
        <w:jc w:val="center"/>
      </w:pPr>
      <w:r>
        <w:drawing>
          <wp:inline distT="0" distB="0" distL="0" distR="0">
            <wp:extent cx="51911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2305050"/>
                    </a:xfrm>
                    <a:prstGeom prst="rect">
                      <a:avLst/>
                    </a:prstGeom>
                  </pic:spPr>
                </pic:pic>
              </a:graphicData>
            </a:graphic>
          </wp:inline>
        </w:drawing>
      </w:r>
    </w:p>
    <w:p>
      <w:pPr>
        <w:pStyle w:val="Caption"/>
        <w:spacing w:after="200"/>
        <w:jc w:val="center"/>
      </w:pPr>
      <w:r>
        <w:rPr>
          <w:i/>
          <w:iCs/>
        </w:rPr>
        <w:t xml:space="preserve">Ilustración 3. Precio de arriendo por zona, ordenado por mediana (escala logarítmica).</w:t>
      </w:r>
    </w:p>
    <w:p>
      <w:pPr>
        <w:pStyle w:val="Heading2"/>
        <w:spacing w:after="100" w:before="220"/>
      </w:pPr>
      <w:r>
        <w:rPr>
          <w:b/>
          <w:bCs/>
        </w:rPr>
        <w:t xml:space="preserve">3.4 Precio por antigüedad</w:t>
      </w:r>
    </w:p>
    <w:p>
      <w:pPr>
        <w:spacing w:after="140" w:line="276"/>
        <w:jc w:val="both"/>
      </w:pPr>
      <w:r>
        <w:t xml:space="preserve">Las diferencias por antigüedad (Ilustración 4) son mucho más sutiles que por estrato o zona: los rangos se solapan ampliamente. Este comportamiento anticipa que la antigüedad será un factor secundario en el modelo, hipótesis que se confirma en el análisis inferencial.</w:t>
      </w:r>
    </w:p>
    <w:p>
      <w:pPr>
        <w:spacing w:after="40" w:before="120"/>
        <w:jc w:val="center"/>
      </w:pPr>
      <w:r>
        <w:drawing>
          <wp:inline distT="0" distB="0" distL="0" distR="0">
            <wp:extent cx="51911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91125" cy="2305050"/>
                    </a:xfrm>
                    <a:prstGeom prst="rect">
                      <a:avLst/>
                    </a:prstGeom>
                  </pic:spPr>
                </pic:pic>
              </a:graphicData>
            </a:graphic>
          </wp:inline>
        </w:drawing>
      </w:r>
    </w:p>
    <w:p>
      <w:pPr>
        <w:pStyle w:val="Caption"/>
        <w:spacing w:after="200"/>
        <w:jc w:val="center"/>
      </w:pPr>
      <w:r>
        <w:rPr>
          <w:i/>
          <w:iCs/>
        </w:rPr>
        <w:t xml:space="preserve">Ilustración 4. Precio de arriendo por antigüedad del inmueble (escala logarítmica).</w:t>
      </w:r>
    </w:p>
    <w:p>
      <w:pPr>
        <w:pStyle w:val="Heading2"/>
        <w:spacing w:after="100" w:before="220"/>
      </w:pPr>
      <w:r>
        <w:rPr>
          <w:b/>
          <w:bCs/>
        </w:rPr>
        <w:t xml:space="preserve">3.5 Relación entre precio y área</w:t>
      </w:r>
    </w:p>
    <w:p>
      <w:pPr>
        <w:spacing w:after="140" w:line="276"/>
        <w:jc w:val="both"/>
      </w:pPr>
      <w:r>
        <w:t xml:space="preserve">La Ilustración 5 muestra la relación precio–área. En escala original la correlación de Pearson es de </w:t>
      </w:r>
      <w:r>
        <w:rPr>
          <w:b/>
          <w:bCs/>
        </w:rPr>
        <w:t xml:space="preserve">0,707</w:t>
      </w:r>
      <w:r>
        <w:t xml:space="preserve">; en escala log-log la nube se alinea en torno a una recta y la correlación asciende a </w:t>
      </w:r>
      <w:r>
        <w:rPr>
          <w:b/>
          <w:bCs/>
        </w:rPr>
        <w:t xml:space="preserve">0,855</w:t>
      </w:r>
      <w:r>
        <w:t xml:space="preserve">, lo que sugiere una relación de tipo potencia (elasticidad) y refuerza la decisión de modelar en escala logarítmica.</w:t>
      </w:r>
    </w:p>
    <w:p>
      <w:pPr>
        <w:spacing w:after="40" w:before="120"/>
        <w:jc w:val="center"/>
      </w:pPr>
      <w:r>
        <w:drawing>
          <wp:inline distT="0" distB="0" distL="0" distR="0">
            <wp:extent cx="585787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57875" cy="2038350"/>
                    </a:xfrm>
                    <a:prstGeom prst="rect">
                      <a:avLst/>
                    </a:prstGeom>
                  </pic:spPr>
                </pic:pic>
              </a:graphicData>
            </a:graphic>
          </wp:inline>
        </w:drawing>
      </w:r>
    </w:p>
    <w:p>
      <w:pPr>
        <w:pStyle w:val="Caption"/>
        <w:spacing w:after="200"/>
        <w:jc w:val="center"/>
      </w:pPr>
      <w:r>
        <w:rPr>
          <w:i/>
          <w:iCs/>
        </w:rPr>
        <w:t xml:space="preserve">Ilustración 5. Relación precio–área en escala original (izquierda) y log-log con recta de tendencia (derecha).</w:t>
      </w:r>
    </w:p>
    <w:p>
      <w:pPr>
        <w:pStyle w:val="Heading2"/>
        <w:spacing w:after="100" w:before="220"/>
      </w:pPr>
      <w:r>
        <w:rPr>
          <w:b/>
          <w:bCs/>
        </w:rPr>
        <w:t xml:space="preserve">3.6 Matriz de correlación</w:t>
      </w:r>
    </w:p>
    <w:p>
      <w:pPr>
        <w:spacing w:after="140" w:line="276"/>
        <w:jc w:val="both"/>
      </w:pPr>
      <w:r>
        <w:t xml:space="preserve">El mapa de calor (Ilustración 6) confirma que el precio se correlaciona positivamente con el área (0,71), el área construida (0,75), los garajes (0,67), los baños (0,66) y el estrato (0,46). Nótese la muy alta correlación entre </w:t>
      </w:r>
      <w:r>
        <w:rPr>
          <w:i/>
          <w:iCs/>
        </w:rPr>
        <w:t xml:space="preserve">area</w:t>
      </w:r>
      <w:r>
        <w:t xml:space="preserve"> y </w:t>
      </w:r>
      <w:r>
        <w:rPr>
          <w:i/>
          <w:iCs/>
        </w:rPr>
        <w:t xml:space="preserve">area_const</w:t>
      </w:r>
      <w:r>
        <w:t xml:space="preserve"> (</w:t>
      </w:r>
      <w:r>
        <w:rPr>
          <w:b/>
          <w:bCs/>
        </w:rPr>
        <w:t xml:space="preserve">0,94</w:t>
      </w:r>
      <w:r>
        <w:t xml:space="preserve">): ambas miden esencialmente lo mismo, lo que obliga a controlar la multicolinealidad en la regresión.</w:t>
      </w:r>
    </w:p>
    <w:p>
      <w:pPr>
        <w:spacing w:after="40" w:before="120"/>
        <w:jc w:val="center"/>
      </w:pPr>
      <w:r>
        <w:drawing>
          <wp:inline distT="0" distB="0" distL="0" distR="0">
            <wp:extent cx="40957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552825"/>
                    </a:xfrm>
                    <a:prstGeom prst="rect">
                      <a:avLst/>
                    </a:prstGeom>
                  </pic:spPr>
                </pic:pic>
              </a:graphicData>
            </a:graphic>
          </wp:inline>
        </w:drawing>
      </w:r>
    </w:p>
    <w:p>
      <w:pPr>
        <w:pStyle w:val="Caption"/>
        <w:spacing w:after="200"/>
        <w:jc w:val="center"/>
      </w:pPr>
      <w:r>
        <w:rPr>
          <w:i/>
          <w:iCs/>
        </w:rPr>
        <w:t xml:space="preserve">Ilustración 6. Matriz de correlación de las variables numéricas.</w:t>
      </w:r>
    </w:p>
    <w:p>
      <w:pPr>
        <w:pStyle w:val="Heading2"/>
        <w:spacing w:after="100" w:before="220"/>
      </w:pPr>
      <w:r>
        <w:rPr>
          <w:b/>
          <w:bCs/>
        </w:rPr>
        <w:t xml:space="preserve">3.7 Precio por metro cuadrado: aislando el premium de ubicación</w:t>
      </w:r>
    </w:p>
    <w:p>
      <w:pPr>
        <w:spacing w:after="140" w:line="276"/>
        <w:jc w:val="both"/>
      </w:pPr>
      <w:r>
        <w:t xml:space="preserve">Dividir el precio entre el área neutraliza el tamaño y revela el valor puro de la ubicación (Ilustración 7). El reordenamiento es revelador: </w:t>
      </w:r>
      <w:r>
        <w:rPr>
          <w:b/>
          <w:bCs/>
        </w:rPr>
        <w:t xml:space="preserve">Guaymaral</w:t>
      </w:r>
      <w:r>
        <w:t xml:space="preserve">, la zona más cara en precio total, cae a $30.000/m² —sus inmuebles son simplemente grandes—, mientras que </w:t>
      </w:r>
      <w:r>
        <w:rPr>
          <w:b/>
          <w:bCs/>
        </w:rPr>
        <w:t xml:space="preserve">Norte ($49.412/m²), Centro ($47.018/m²) y Chapinero ($45.492/m²)</w:t>
      </w:r>
      <w:r>
        <w:t xml:space="preserve"> encabezan el precio por metro: allí cada metro cuadrado es intrínsecamente más caro. Sur permanece como la zona más económica ($20.408/m²).</w:t>
      </w:r>
    </w:p>
    <w:p>
      <w:pPr>
        <w:spacing w:after="40" w:before="120"/>
        <w:jc w:val="center"/>
      </w:pPr>
      <w:r>
        <w:drawing>
          <wp:inline distT="0" distB="0" distL="0" distR="0">
            <wp:extent cx="5857875"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57875" cy="1895475"/>
                    </a:xfrm>
                    <a:prstGeom prst="rect">
                      <a:avLst/>
                    </a:prstGeom>
                  </pic:spPr>
                </pic:pic>
              </a:graphicData>
            </a:graphic>
          </wp:inline>
        </w:drawing>
      </w:r>
    </w:p>
    <w:p>
      <w:pPr>
        <w:pStyle w:val="Caption"/>
        <w:spacing w:after="200"/>
        <w:jc w:val="center"/>
      </w:pPr>
      <w:r>
        <w:rPr>
          <w:i/>
          <w:iCs/>
        </w:rPr>
        <w:t xml:space="preserve">Ilustración 7. Precio por metro cuadrado por zona y por estrato (escala logarítmica).</w:t>
      </w:r>
    </w:p>
    <w:p>
      <w:pPr>
        <w:pStyle w:val="Heading2"/>
        <w:spacing w:after="100" w:before="220"/>
      </w:pPr>
      <w:r>
        <w:rPr>
          <w:b/>
          <w:bCs/>
        </w:rPr>
        <w:t xml:space="preserve">3.8 La cuota de administración</w:t>
      </w:r>
    </w:p>
    <w:p>
      <w:pPr>
        <w:spacing w:after="140" w:line="276"/>
        <w:jc w:val="both"/>
      </w:pPr>
      <w:r>
        <w:t xml:space="preserve">Sobre los 7.514 inmuebles con administración válida, esta representa típicamente entre el </w:t>
      </w:r>
      <w:r>
        <w:rPr>
          <w:b/>
          <w:bCs/>
        </w:rPr>
        <w:t xml:space="preserve">10 % y el 14 %</w:t>
      </w:r>
      <w:r>
        <w:t xml:space="preserve"> del arriendo (Ilustración 8), algo mayor en el estrato 6 (13,7 %) por sus mayores zonas comunes. La correlación entre administración y arriendo es positiva pero moderada (</w:t>
      </w:r>
      <w:r>
        <w:rPr>
          <w:b/>
          <w:bCs/>
        </w:rPr>
        <w:t xml:space="preserve">0,569</w:t>
      </w:r>
      <w:r>
        <w:t xml:space="preserve">), lo que indica que la cuota depende también del tipo de edificación y no solo del precio.</w:t>
      </w:r>
    </w:p>
    <w:p>
      <w:pPr>
        <w:spacing w:after="40" w:before="120"/>
        <w:jc w:val="center"/>
      </w:pPr>
      <w:r>
        <w:drawing>
          <wp:inline distT="0" distB="0" distL="0" distR="0">
            <wp:extent cx="5857875"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57875" cy="1895475"/>
                    </a:xfrm>
                    <a:prstGeom prst="rect">
                      <a:avLst/>
                    </a:prstGeom>
                  </pic:spPr>
                </pic:pic>
              </a:graphicData>
            </a:graphic>
          </wp:inline>
        </w:drawing>
      </w:r>
    </w:p>
    <w:p>
      <w:pPr>
        <w:pStyle w:val="Caption"/>
        <w:spacing w:after="200"/>
        <w:jc w:val="center"/>
      </w:pPr>
      <w:r>
        <w:rPr>
          <w:i/>
          <w:iCs/>
        </w:rPr>
        <w:t xml:space="preserve">Ilustración 8. Administración como porcentaje del arriendo por estrato y su relación con el precio.</w:t>
      </w:r>
    </w:p>
    <w:p>
      <w:pPr>
        <w:pStyle w:val="Heading2"/>
        <w:spacing w:after="100" w:before="220"/>
      </w:pPr>
      <w:r>
        <w:rPr>
          <w:b/>
          <w:bCs/>
        </w:rPr>
        <w:t xml:space="preserve">3.9 Forma de las distribuciones: diagramas de violín</w:t>
      </w:r>
    </w:p>
    <w:p>
      <w:pPr>
        <w:spacing w:after="140" w:line="276"/>
        <w:jc w:val="both"/>
      </w:pPr>
      <w:r>
        <w:t xml:space="preserve">Los diagramas de violín (Ilustración 9) confirman la escalera de precios por estrato y zona y añaden información sobre la forma: los estratos altos no solo tienen mayor mediana sino distribuciones más anchas (mayor variedad de precios), y algunas zonas presentan distribuciones ligeramente bimodales, señal de submercados internos.</w:t>
      </w:r>
    </w:p>
    <w:p>
      <w:pPr>
        <w:spacing w:after="40" w:before="120"/>
        <w:jc w:val="center"/>
      </w:pPr>
      <w:r>
        <w:drawing>
          <wp:inline distT="0" distB="0" distL="0" distR="0">
            <wp:extent cx="5857875"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57875" cy="1895475"/>
                    </a:xfrm>
                    <a:prstGeom prst="rect">
                      <a:avLst/>
                    </a:prstGeom>
                  </pic:spPr>
                </pic:pic>
              </a:graphicData>
            </a:graphic>
          </wp:inline>
        </w:drawing>
      </w:r>
    </w:p>
    <w:p>
      <w:pPr>
        <w:pStyle w:val="Caption"/>
        <w:spacing w:after="200"/>
        <w:jc w:val="center"/>
      </w:pPr>
      <w:r>
        <w:rPr>
          <w:i/>
          <w:iCs/>
        </w:rPr>
        <w:t xml:space="preserve">Ilustración 9. Distribución de log(precio) por estrato y por zona mediante diagramas de violín.</w:t>
      </w:r>
    </w:p>
    <w:p>
      <w:pPr>
        <w:pStyle w:val="Heading2"/>
        <w:spacing w:after="100" w:before="220"/>
      </w:pPr>
      <w:r>
        <w:rPr>
          <w:b/>
          <w:bCs/>
        </w:rPr>
        <w:t xml:space="preserve">3.10 Distribución geográfica del precio</w:t>
      </w:r>
    </w:p>
    <w:p>
      <w:pPr>
        <w:spacing w:after="140" w:line="276"/>
        <w:jc w:val="both"/>
      </w:pPr>
      <w:r>
        <w:t xml:space="preserve">Ubicando los 9.209 inmuebles con coordenadas válidas sobre el plano de la ciudad y coloreándolos por precio (Ilustración 10), emerge un </w:t>
      </w:r>
      <w:r>
        <w:rPr>
          <w:b/>
          <w:bCs/>
        </w:rPr>
        <w:t xml:space="preserve">gradiente geográfico</w:t>
      </w:r>
      <w:r>
        <w:t xml:space="preserve"> nítido: los arriendos costosos (tonos claros) se concentran en el norte y se atenúan hacia el sur y el occidente. El mapa confirma visualmente lo que las pruebas estadísticas cuantifican: la ubicación es un determinante de primer orden.</w:t>
      </w:r>
    </w:p>
    <w:p>
      <w:pPr>
        <w:spacing w:after="40" w:before="120"/>
        <w:jc w:val="center"/>
      </w:pPr>
      <w:r>
        <w:drawing>
          <wp:inline distT="0" distB="0" distL="0" distR="0">
            <wp:extent cx="3619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4133850"/>
                    </a:xfrm>
                    <a:prstGeom prst="rect">
                      <a:avLst/>
                    </a:prstGeom>
                  </pic:spPr>
                </pic:pic>
              </a:graphicData>
            </a:graphic>
          </wp:inline>
        </w:drawing>
      </w:r>
    </w:p>
    <w:p>
      <w:pPr>
        <w:pStyle w:val="Caption"/>
        <w:spacing w:after="200"/>
        <w:jc w:val="center"/>
      </w:pPr>
      <w:r>
        <w:rPr>
          <w:i/>
          <w:iCs/>
        </w:rPr>
        <w:t xml:space="preserve">Ilustración 10. Distribución geográfica de los arriendos en Bogotá; el color representa el log del precio.</w:t>
      </w:r>
    </w:p>
    <w:p>
      <w:pPr>
        <w:pStyle w:val="Heading1"/>
        <w:spacing w:after="140" w:before="300"/>
      </w:pPr>
      <w:r>
        <w:rPr>
          <w:b/>
          <w:bCs/>
        </w:rPr>
        <w:t xml:space="preserve">4. Análisis estadístico (descriptivo e inferencial)</w:t>
      </w:r>
    </w:p>
    <w:p>
      <w:pPr>
        <w:spacing w:after="140" w:line="276"/>
        <w:jc w:val="both"/>
      </w:pPr>
      <w:r>
        <w:t xml:space="preserve">Esta sección contrasta formalmente las diferencias observadas en el análisis gráfico. Siguiendo buenas prácticas, cada prueba paramétrica va acompañada de la validación de sus supuestos (normalidad mediante Shapiro-Wilk y homogeneidad de varianzas mediante Levene) y de un respaldo no paramétrico. Todas las pruebas paramétricas se realizan sobre </w:t>
      </w:r>
      <w:r>
        <w:rPr>
          <w:i/>
          <w:iCs/>
        </w:rPr>
        <w:t xml:space="preserve">log_precio</w:t>
      </w:r>
      <w:r>
        <w:t xml:space="preserve">.</w:t>
      </w:r>
    </w:p>
    <w:p>
      <w:pPr>
        <w:pStyle w:val="Heading2"/>
        <w:spacing w:after="100" w:before="220"/>
      </w:pPr>
      <w:r>
        <w:rPr>
          <w:b/>
          <w:bCs/>
        </w:rPr>
        <w:t xml:space="preserve">4.1 Estadísticas descriptivas y dispersión</w:t>
      </w:r>
    </w:p>
    <w:p>
      <w:pPr>
        <w:spacing w:after="140" w:line="276"/>
        <w:jc w:val="both"/>
      </w:pPr>
      <w:r>
        <w:t xml:space="preserve">Las Tablas 2 y 3 resumen el precio por estrato y por zona. Para comparar la dispersión entre variables de unidades distintas se emplea el coeficiente de variación (CV, Tabla 4).</w:t>
      </w:r>
    </w:p>
    <w:p>
      <w:pPr>
        <w:pStyle w:val="Caption"/>
        <w:spacing w:after="60" w:before="120"/>
        <w:jc w:val="center"/>
      </w:pPr>
      <w:r>
        <w:rPr>
          <w:i/>
          <w:iCs/>
        </w:rPr>
        <w:t xml:space="preserve">Tabla 2. Precio de arriendo por estrato (pesos colombianos).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2080"/>
        <w:gridCol w:w="2080"/>
      </w:tblGrid>
      <w:tr>
        <w:trPr>
          <w:tblHeader/>
        </w:trPr>
        <w:tc>
          <w:tcPr>
            <w:tcW w:type="dxa" w:w="1560"/>
            <w:shd w:fill="1F3864" w:color="auto" w:val="clear"/>
            <w:tcMar>
              <w:top w:type="dxa" w:w="40"/>
              <w:left w:type="dxa" w:w="80"/>
              <w:bottom w:type="dxa" w:w="40"/>
              <w:right w:type="dxa" w:w="80"/>
            </w:tcMar>
          </w:tcPr>
          <w:p>
            <w:pPr>
              <w:spacing w:after="0" w:line="240"/>
              <w:jc w:val="center"/>
            </w:pPr>
            <w:r>
              <w:rPr>
                <w:b/>
                <w:bCs/>
                <w:color w:val="FFFFFF"/>
                <w:sz w:val="19"/>
                <w:szCs w:val="19"/>
              </w:rPr>
              <w:t xml:space="preserve">Estrato</w:t>
            </w:r>
          </w:p>
        </w:tc>
        <w:tc>
          <w:tcPr>
            <w:tcW w:type="dxa" w:w="1560"/>
            <w:shd w:fill="1F3864" w:color="auto" w:val="clear"/>
            <w:tcMar>
              <w:top w:type="dxa" w:w="40"/>
              <w:left w:type="dxa" w:w="80"/>
              <w:bottom w:type="dxa" w:w="40"/>
              <w:right w:type="dxa" w:w="80"/>
            </w:tcMar>
          </w:tcPr>
          <w:p>
            <w:pPr>
              <w:spacing w:after="0" w:line="240"/>
              <w:jc w:val="right"/>
            </w:pPr>
            <w:r>
              <w:rPr>
                <w:b/>
                <w:bCs/>
                <w:color w:val="FFFFFF"/>
                <w:sz w:val="19"/>
                <w:szCs w:val="19"/>
              </w:rPr>
              <w:t xml:space="preserve">n</w:t>
            </w:r>
          </w:p>
        </w:tc>
        <w:tc>
          <w:tcPr>
            <w:tcW w:type="dxa" w:w="2080"/>
            <w:shd w:fill="1F3864" w:color="auto" w:val="clear"/>
            <w:tcMar>
              <w:top w:type="dxa" w:w="40"/>
              <w:left w:type="dxa" w:w="80"/>
              <w:bottom w:type="dxa" w:w="40"/>
              <w:right w:type="dxa" w:w="80"/>
            </w:tcMar>
          </w:tcPr>
          <w:p>
            <w:pPr>
              <w:spacing w:after="0" w:line="240"/>
              <w:jc w:val="right"/>
            </w:pPr>
            <w:r>
              <w:rPr>
                <w:b/>
                <w:bCs/>
                <w:color w:val="FFFFFF"/>
                <w:sz w:val="19"/>
                <w:szCs w:val="19"/>
              </w:rPr>
              <w:t xml:space="preserve">Media</w:t>
            </w:r>
          </w:p>
        </w:tc>
        <w:tc>
          <w:tcPr>
            <w:tcW w:type="dxa" w:w="2080"/>
            <w:shd w:fill="1F3864" w:color="auto" w:val="clear"/>
            <w:tcMar>
              <w:top w:type="dxa" w:w="40"/>
              <w:left w:type="dxa" w:w="80"/>
              <w:bottom w:type="dxa" w:w="40"/>
              <w:right w:type="dxa" w:w="80"/>
            </w:tcMar>
          </w:tcPr>
          <w:p>
            <w:pPr>
              <w:spacing w:after="0" w:line="240"/>
              <w:jc w:val="right"/>
            </w:pPr>
            <w:r>
              <w:rPr>
                <w:b/>
                <w:bCs/>
                <w:color w:val="FFFFFF"/>
                <w:sz w:val="19"/>
                <w:szCs w:val="19"/>
              </w:rPr>
              <w:t xml:space="preserve">Mediana</w:t>
            </w:r>
          </w:p>
        </w:tc>
        <w:tc>
          <w:tcPr>
            <w:tcW w:type="dxa" w:w="2080"/>
            <w:shd w:fill="1F3864" w:color="auto" w:val="clear"/>
            <w:tcMar>
              <w:top w:type="dxa" w:w="40"/>
              <w:left w:type="dxa" w:w="80"/>
              <w:bottom w:type="dxa" w:w="40"/>
              <w:right w:type="dxa" w:w="80"/>
            </w:tcMar>
          </w:tcPr>
          <w:p>
            <w:pPr>
              <w:spacing w:after="0" w:line="240"/>
              <w:jc w:val="right"/>
            </w:pPr>
            <w:r>
              <w:rPr>
                <w:b/>
                <w:bCs/>
                <w:color w:val="FFFFFF"/>
                <w:sz w:val="19"/>
                <w:szCs w:val="19"/>
              </w:rPr>
              <w:t xml:space="preserve">Desv. estándar</w:t>
            </w:r>
          </w:p>
        </w:tc>
      </w:tr>
      <w:tr>
        <w:tc>
          <w:tcPr>
            <w:tcW w:type="dxa" w:w="1560"/>
            <w:tcMar>
              <w:top w:type="dxa" w:w="40"/>
              <w:left w:type="dxa" w:w="80"/>
              <w:bottom w:type="dxa" w:w="40"/>
              <w:right w:type="dxa" w:w="80"/>
            </w:tcMar>
          </w:tcPr>
          <w:p>
            <w:pPr>
              <w:spacing w:after="0" w:line="240"/>
              <w:jc w:val="center"/>
            </w:pPr>
            <w:r>
              <w:rPr>
                <w:b w:val="false"/>
                <w:bCs w:val="false"/>
                <w:color w:val="000000"/>
                <w:sz w:val="19"/>
                <w:szCs w:val="19"/>
              </w:rPr>
              <w:t xml:space="preserve">2</w:t>
            </w:r>
          </w:p>
        </w:tc>
        <w:tc>
          <w:tcPr>
            <w:tcW w:type="dxa" w:w="1560"/>
            <w:tcMar>
              <w:top w:type="dxa" w:w="40"/>
              <w:left w:type="dxa" w:w="80"/>
              <w:bottom w:type="dxa" w:w="40"/>
              <w:right w:type="dxa" w:w="80"/>
            </w:tcMar>
          </w:tcPr>
          <w:p>
            <w:pPr>
              <w:spacing w:after="0" w:line="240"/>
              <w:jc w:val="right"/>
            </w:pPr>
            <w:r>
              <w:rPr>
                <w:b w:val="false"/>
                <w:bCs w:val="false"/>
                <w:color w:val="000000"/>
                <w:sz w:val="19"/>
                <w:szCs w:val="19"/>
              </w:rPr>
              <w:t xml:space="preserve">146</w:t>
            </w:r>
          </w:p>
        </w:tc>
        <w:tc>
          <w:tcPr>
            <w:tcW w:type="dxa" w:w="2080"/>
            <w:tcMar>
              <w:top w:type="dxa" w:w="40"/>
              <w:left w:type="dxa" w:w="80"/>
              <w:bottom w:type="dxa" w:w="40"/>
              <w:right w:type="dxa" w:w="80"/>
            </w:tcMar>
          </w:tcPr>
          <w:p>
            <w:pPr>
              <w:spacing w:after="0" w:line="240"/>
              <w:jc w:val="right"/>
            </w:pPr>
            <w:r>
              <w:rPr>
                <w:b w:val="false"/>
                <w:bCs w:val="false"/>
                <w:color w:val="000000"/>
                <w:sz w:val="19"/>
                <w:szCs w:val="19"/>
              </w:rPr>
              <w:t xml:space="preserve">1.926.109</w:t>
            </w:r>
          </w:p>
        </w:tc>
        <w:tc>
          <w:tcPr>
            <w:tcW w:type="dxa" w:w="2080"/>
            <w:tcMar>
              <w:top w:type="dxa" w:w="40"/>
              <w:left w:type="dxa" w:w="80"/>
              <w:bottom w:type="dxa" w:w="40"/>
              <w:right w:type="dxa" w:w="80"/>
            </w:tcMar>
          </w:tcPr>
          <w:p>
            <w:pPr>
              <w:spacing w:after="0" w:line="240"/>
              <w:jc w:val="right"/>
            </w:pPr>
            <w:r>
              <w:rPr>
                <w:b w:val="false"/>
                <w:bCs w:val="false"/>
                <w:color w:val="000000"/>
                <w:sz w:val="19"/>
                <w:szCs w:val="19"/>
              </w:rPr>
              <w:t xml:space="preserve">1.016.400</w:t>
            </w:r>
          </w:p>
        </w:tc>
        <w:tc>
          <w:tcPr>
            <w:tcW w:type="dxa" w:w="2080"/>
            <w:tcMar>
              <w:top w:type="dxa" w:w="40"/>
              <w:left w:type="dxa" w:w="80"/>
              <w:bottom w:type="dxa" w:w="40"/>
              <w:right w:type="dxa" w:w="80"/>
            </w:tcMar>
          </w:tcPr>
          <w:p>
            <w:pPr>
              <w:spacing w:after="0" w:line="240"/>
              <w:jc w:val="right"/>
            </w:pPr>
            <w:r>
              <w:rPr>
                <w:b w:val="false"/>
                <w:bCs w:val="false"/>
                <w:color w:val="000000"/>
                <w:sz w:val="19"/>
                <w:szCs w:val="19"/>
              </w:rPr>
              <w:t xml:space="preserve">4.042.718</w:t>
            </w:r>
          </w:p>
        </w:tc>
      </w:tr>
      <w:tr>
        <w:tc>
          <w:tcPr>
            <w:tcW w:type="dxa" w:w="1560"/>
            <w:shd w:fill="EDF0F7" w:color="auto" w:val="clear"/>
            <w:tcMar>
              <w:top w:type="dxa" w:w="40"/>
              <w:left w:type="dxa" w:w="80"/>
              <w:bottom w:type="dxa" w:w="40"/>
              <w:right w:type="dxa" w:w="80"/>
            </w:tcMar>
          </w:tcPr>
          <w:p>
            <w:pPr>
              <w:spacing w:after="0" w:line="240"/>
              <w:jc w:val="center"/>
            </w:pPr>
            <w:r>
              <w:rPr>
                <w:b w:val="false"/>
                <w:bCs w:val="false"/>
                <w:color w:val="000000"/>
                <w:sz w:val="19"/>
                <w:szCs w:val="19"/>
              </w:rPr>
              <w:t xml:space="preserve">3</w:t>
            </w:r>
          </w:p>
        </w:tc>
        <w:tc>
          <w:tcPr>
            <w:tcW w:type="dxa" w:w="156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914</w:t>
            </w:r>
          </w:p>
        </w:tc>
        <w:tc>
          <w:tcPr>
            <w:tcW w:type="dxa" w:w="208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2.222.340</w:t>
            </w:r>
          </w:p>
        </w:tc>
        <w:tc>
          <w:tcPr>
            <w:tcW w:type="dxa" w:w="208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1.500.000</w:t>
            </w:r>
          </w:p>
        </w:tc>
        <w:tc>
          <w:tcPr>
            <w:tcW w:type="dxa" w:w="208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3.099.278</w:t>
            </w:r>
          </w:p>
        </w:tc>
      </w:tr>
      <w:tr>
        <w:tc>
          <w:tcPr>
            <w:tcW w:type="dxa" w:w="1560"/>
            <w:tcMar>
              <w:top w:type="dxa" w:w="40"/>
              <w:left w:type="dxa" w:w="80"/>
              <w:bottom w:type="dxa" w:w="40"/>
              <w:right w:type="dxa" w:w="80"/>
            </w:tcMar>
          </w:tcPr>
          <w:p>
            <w:pPr>
              <w:spacing w:after="0" w:line="240"/>
              <w:jc w:val="center"/>
            </w:pPr>
            <w:r>
              <w:rPr>
                <w:b w:val="false"/>
                <w:bCs w:val="false"/>
                <w:color w:val="000000"/>
                <w:sz w:val="19"/>
                <w:szCs w:val="19"/>
              </w:rPr>
              <w:t xml:space="preserve">4</w:t>
            </w:r>
          </w:p>
        </w:tc>
        <w:tc>
          <w:tcPr>
            <w:tcW w:type="dxa" w:w="1560"/>
            <w:tcMar>
              <w:top w:type="dxa" w:w="40"/>
              <w:left w:type="dxa" w:w="80"/>
              <w:bottom w:type="dxa" w:w="40"/>
              <w:right w:type="dxa" w:w="80"/>
            </w:tcMar>
          </w:tcPr>
          <w:p>
            <w:pPr>
              <w:spacing w:after="0" w:line="240"/>
              <w:jc w:val="right"/>
            </w:pPr>
            <w:r>
              <w:rPr>
                <w:b w:val="false"/>
                <w:bCs w:val="false"/>
                <w:color w:val="000000"/>
                <w:sz w:val="19"/>
                <w:szCs w:val="19"/>
              </w:rPr>
              <w:t xml:space="preserve">1.332</w:t>
            </w:r>
          </w:p>
        </w:tc>
        <w:tc>
          <w:tcPr>
            <w:tcW w:type="dxa" w:w="2080"/>
            <w:tcMar>
              <w:top w:type="dxa" w:w="40"/>
              <w:left w:type="dxa" w:w="80"/>
              <w:bottom w:type="dxa" w:w="40"/>
              <w:right w:type="dxa" w:w="80"/>
            </w:tcMar>
          </w:tcPr>
          <w:p>
            <w:pPr>
              <w:spacing w:after="0" w:line="240"/>
              <w:jc w:val="right"/>
            </w:pPr>
            <w:r>
              <w:rPr>
                <w:b w:val="false"/>
                <w:bCs w:val="false"/>
                <w:color w:val="000000"/>
                <w:sz w:val="19"/>
                <w:szCs w:val="19"/>
              </w:rPr>
              <w:t xml:space="preserve">4.058.792</w:t>
            </w:r>
          </w:p>
        </w:tc>
        <w:tc>
          <w:tcPr>
            <w:tcW w:type="dxa" w:w="2080"/>
            <w:tcMar>
              <w:top w:type="dxa" w:w="40"/>
              <w:left w:type="dxa" w:w="80"/>
              <w:bottom w:type="dxa" w:w="40"/>
              <w:right w:type="dxa" w:w="80"/>
            </w:tcMar>
          </w:tcPr>
          <w:p>
            <w:pPr>
              <w:spacing w:after="0" w:line="240"/>
              <w:jc w:val="right"/>
            </w:pPr>
            <w:r>
              <w:rPr>
                <w:b w:val="false"/>
                <w:bCs w:val="false"/>
                <w:color w:val="000000"/>
                <w:sz w:val="19"/>
                <w:szCs w:val="19"/>
              </w:rPr>
              <w:t xml:space="preserve">2.700.000</w:t>
            </w:r>
          </w:p>
        </w:tc>
        <w:tc>
          <w:tcPr>
            <w:tcW w:type="dxa" w:w="2080"/>
            <w:tcMar>
              <w:top w:type="dxa" w:w="40"/>
              <w:left w:type="dxa" w:w="80"/>
              <w:bottom w:type="dxa" w:w="40"/>
              <w:right w:type="dxa" w:w="80"/>
            </w:tcMar>
          </w:tcPr>
          <w:p>
            <w:pPr>
              <w:spacing w:after="0" w:line="240"/>
              <w:jc w:val="right"/>
            </w:pPr>
            <w:r>
              <w:rPr>
                <w:b w:val="false"/>
                <w:bCs w:val="false"/>
                <w:color w:val="000000"/>
                <w:sz w:val="19"/>
                <w:szCs w:val="19"/>
              </w:rPr>
              <w:t xml:space="preserve">3.947.092</w:t>
            </w:r>
          </w:p>
        </w:tc>
      </w:tr>
      <w:tr>
        <w:tc>
          <w:tcPr>
            <w:tcW w:type="dxa" w:w="1560"/>
            <w:shd w:fill="EDF0F7" w:color="auto" w:val="clear"/>
            <w:tcMar>
              <w:top w:type="dxa" w:w="40"/>
              <w:left w:type="dxa" w:w="80"/>
              <w:bottom w:type="dxa" w:w="40"/>
              <w:right w:type="dxa" w:w="80"/>
            </w:tcMar>
          </w:tcPr>
          <w:p>
            <w:pPr>
              <w:spacing w:after="0" w:line="240"/>
              <w:jc w:val="center"/>
            </w:pPr>
            <w:r>
              <w:rPr>
                <w:b w:val="false"/>
                <w:bCs w:val="false"/>
                <w:color w:val="000000"/>
                <w:sz w:val="19"/>
                <w:szCs w:val="19"/>
              </w:rPr>
              <w:t xml:space="preserve">5</w:t>
            </w:r>
          </w:p>
        </w:tc>
        <w:tc>
          <w:tcPr>
            <w:tcW w:type="dxa" w:w="156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1.571</w:t>
            </w:r>
          </w:p>
        </w:tc>
        <w:tc>
          <w:tcPr>
            <w:tcW w:type="dxa" w:w="208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7.057.179</w:t>
            </w:r>
          </w:p>
        </w:tc>
        <w:tc>
          <w:tcPr>
            <w:tcW w:type="dxa" w:w="208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6.000.000</w:t>
            </w:r>
          </w:p>
        </w:tc>
        <w:tc>
          <w:tcPr>
            <w:tcW w:type="dxa" w:w="208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4.488.888</w:t>
            </w:r>
          </w:p>
        </w:tc>
      </w:tr>
      <w:tr>
        <w:tc>
          <w:tcPr>
            <w:tcW w:type="dxa" w:w="1560"/>
            <w:tcMar>
              <w:top w:type="dxa" w:w="40"/>
              <w:left w:type="dxa" w:w="80"/>
              <w:bottom w:type="dxa" w:w="40"/>
              <w:right w:type="dxa" w:w="80"/>
            </w:tcMar>
          </w:tcPr>
          <w:p>
            <w:pPr>
              <w:spacing w:after="0" w:line="240"/>
              <w:jc w:val="center"/>
            </w:pPr>
            <w:r>
              <w:rPr>
                <w:b w:val="false"/>
                <w:bCs w:val="false"/>
                <w:color w:val="000000"/>
                <w:sz w:val="19"/>
                <w:szCs w:val="19"/>
              </w:rPr>
              <w:t xml:space="preserve">6</w:t>
            </w:r>
          </w:p>
        </w:tc>
        <w:tc>
          <w:tcPr>
            <w:tcW w:type="dxa" w:w="1560"/>
            <w:tcMar>
              <w:top w:type="dxa" w:w="40"/>
              <w:left w:type="dxa" w:w="80"/>
              <w:bottom w:type="dxa" w:w="40"/>
              <w:right w:type="dxa" w:w="80"/>
            </w:tcMar>
          </w:tcPr>
          <w:p>
            <w:pPr>
              <w:spacing w:after="0" w:line="240"/>
              <w:jc w:val="right"/>
            </w:pPr>
            <w:r>
              <w:rPr>
                <w:b w:val="false"/>
                <w:bCs w:val="false"/>
                <w:color w:val="000000"/>
                <w:sz w:val="19"/>
                <w:szCs w:val="19"/>
              </w:rPr>
              <w:t xml:space="preserve">5.321</w:t>
            </w:r>
          </w:p>
        </w:tc>
        <w:tc>
          <w:tcPr>
            <w:tcW w:type="dxa" w:w="2080"/>
            <w:tcMar>
              <w:top w:type="dxa" w:w="40"/>
              <w:left w:type="dxa" w:w="80"/>
              <w:bottom w:type="dxa" w:w="40"/>
              <w:right w:type="dxa" w:w="80"/>
            </w:tcMar>
          </w:tcPr>
          <w:p>
            <w:pPr>
              <w:spacing w:after="0" w:line="240"/>
              <w:jc w:val="right"/>
            </w:pPr>
            <w:r>
              <w:rPr>
                <w:b w:val="false"/>
                <w:bCs w:val="false"/>
                <w:color w:val="000000"/>
                <w:sz w:val="19"/>
                <w:szCs w:val="19"/>
              </w:rPr>
              <w:t xml:space="preserve">10.450.754</w:t>
            </w:r>
          </w:p>
        </w:tc>
        <w:tc>
          <w:tcPr>
            <w:tcW w:type="dxa" w:w="2080"/>
            <w:tcMar>
              <w:top w:type="dxa" w:w="40"/>
              <w:left w:type="dxa" w:w="80"/>
              <w:bottom w:type="dxa" w:w="40"/>
              <w:right w:type="dxa" w:w="80"/>
            </w:tcMar>
          </w:tcPr>
          <w:p>
            <w:pPr>
              <w:spacing w:after="0" w:line="240"/>
              <w:jc w:val="right"/>
            </w:pPr>
            <w:r>
              <w:rPr>
                <w:b w:val="false"/>
                <w:bCs w:val="false"/>
                <w:color w:val="000000"/>
                <w:sz w:val="19"/>
                <w:szCs w:val="19"/>
              </w:rPr>
              <w:t xml:space="preserve">8.500.000</w:t>
            </w:r>
          </w:p>
        </w:tc>
        <w:tc>
          <w:tcPr>
            <w:tcW w:type="dxa" w:w="2080"/>
            <w:tcMar>
              <w:top w:type="dxa" w:w="40"/>
              <w:left w:type="dxa" w:w="80"/>
              <w:bottom w:type="dxa" w:w="40"/>
              <w:right w:type="dxa" w:w="80"/>
            </w:tcMar>
          </w:tcPr>
          <w:p>
            <w:pPr>
              <w:spacing w:after="0" w:line="240"/>
              <w:jc w:val="right"/>
            </w:pPr>
            <w:r>
              <w:rPr>
                <w:b w:val="false"/>
                <w:bCs w:val="false"/>
                <w:color w:val="000000"/>
                <w:sz w:val="19"/>
                <w:szCs w:val="19"/>
              </w:rPr>
              <w:t xml:space="preserve">7.089.048</w:t>
            </w:r>
          </w:p>
        </w:tc>
      </w:tr>
    </w:tbl>
    <w:p>
      <w:pPr>
        <w:pStyle w:val="Caption"/>
        <w:spacing w:after="60" w:before="120"/>
        <w:jc w:val="center"/>
      </w:pPr>
      <w:r>
        <w:rPr>
          <w:i/>
          <w:iCs/>
        </w:rPr>
        <w:t xml:space="preserve">Tabla 3. Precio de arriendo por zona (pesos colombianos), ordenado por mediana.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2000"/>
        <w:gridCol w:w="2000"/>
        <w:gridCol w:w="2000"/>
      </w:tblGrid>
      <w:tr>
        <w:trPr>
          <w:tblHeader/>
        </w:trPr>
        <w:tc>
          <w:tcPr>
            <w:tcW w:type="dxa" w:w="2160"/>
            <w:shd w:fill="1F3864" w:color="auto" w:val="clear"/>
            <w:tcMar>
              <w:top w:type="dxa" w:w="40"/>
              <w:left w:type="dxa" w:w="80"/>
              <w:bottom w:type="dxa" w:w="40"/>
              <w:right w:type="dxa" w:w="80"/>
            </w:tcMar>
          </w:tcPr>
          <w:p>
            <w:pPr>
              <w:spacing w:after="0" w:line="240"/>
              <w:jc w:val="left"/>
            </w:pPr>
            <w:r>
              <w:rPr>
                <w:b/>
                <w:bCs/>
                <w:color w:val="FFFFFF"/>
                <w:sz w:val="19"/>
                <w:szCs w:val="19"/>
              </w:rPr>
              <w:t xml:space="preserve">Zona</w:t>
            </w:r>
          </w:p>
        </w:tc>
        <w:tc>
          <w:tcPr>
            <w:tcW w:type="dxa" w:w="1200"/>
            <w:shd w:fill="1F3864" w:color="auto" w:val="clear"/>
            <w:tcMar>
              <w:top w:type="dxa" w:w="40"/>
              <w:left w:type="dxa" w:w="80"/>
              <w:bottom w:type="dxa" w:w="40"/>
              <w:right w:type="dxa" w:w="80"/>
            </w:tcMar>
          </w:tcPr>
          <w:p>
            <w:pPr>
              <w:spacing w:after="0" w:line="240"/>
              <w:jc w:val="right"/>
            </w:pPr>
            <w:r>
              <w:rPr>
                <w:b/>
                <w:bCs/>
                <w:color w:val="FFFFFF"/>
                <w:sz w:val="19"/>
                <w:szCs w:val="19"/>
              </w:rPr>
              <w:t xml:space="preserve">n</w:t>
            </w:r>
          </w:p>
        </w:tc>
        <w:tc>
          <w:tcPr>
            <w:tcW w:type="dxa" w:w="2000"/>
            <w:shd w:fill="1F3864" w:color="auto" w:val="clear"/>
            <w:tcMar>
              <w:top w:type="dxa" w:w="40"/>
              <w:left w:type="dxa" w:w="80"/>
              <w:bottom w:type="dxa" w:w="40"/>
              <w:right w:type="dxa" w:w="80"/>
            </w:tcMar>
          </w:tcPr>
          <w:p>
            <w:pPr>
              <w:spacing w:after="0" w:line="240"/>
              <w:jc w:val="right"/>
            </w:pPr>
            <w:r>
              <w:rPr>
                <w:b/>
                <w:bCs/>
                <w:color w:val="FFFFFF"/>
                <w:sz w:val="19"/>
                <w:szCs w:val="19"/>
              </w:rPr>
              <w:t xml:space="preserve">Media</w:t>
            </w:r>
          </w:p>
        </w:tc>
        <w:tc>
          <w:tcPr>
            <w:tcW w:type="dxa" w:w="2000"/>
            <w:shd w:fill="1F3864" w:color="auto" w:val="clear"/>
            <w:tcMar>
              <w:top w:type="dxa" w:w="40"/>
              <w:left w:type="dxa" w:w="80"/>
              <w:bottom w:type="dxa" w:w="40"/>
              <w:right w:type="dxa" w:w="80"/>
            </w:tcMar>
          </w:tcPr>
          <w:p>
            <w:pPr>
              <w:spacing w:after="0" w:line="240"/>
              <w:jc w:val="right"/>
            </w:pPr>
            <w:r>
              <w:rPr>
                <w:b/>
                <w:bCs/>
                <w:color w:val="FFFFFF"/>
                <w:sz w:val="19"/>
                <w:szCs w:val="19"/>
              </w:rPr>
              <w:t xml:space="preserve">Mediana</w:t>
            </w:r>
          </w:p>
        </w:tc>
        <w:tc>
          <w:tcPr>
            <w:tcW w:type="dxa" w:w="2000"/>
            <w:shd w:fill="1F3864" w:color="auto" w:val="clear"/>
            <w:tcMar>
              <w:top w:type="dxa" w:w="40"/>
              <w:left w:type="dxa" w:w="80"/>
              <w:bottom w:type="dxa" w:w="40"/>
              <w:right w:type="dxa" w:w="80"/>
            </w:tcMar>
          </w:tcPr>
          <w:p>
            <w:pPr>
              <w:spacing w:after="0" w:line="240"/>
              <w:jc w:val="right"/>
            </w:pPr>
            <w:r>
              <w:rPr>
                <w:b/>
                <w:bCs/>
                <w:color w:val="FFFFFF"/>
                <w:sz w:val="19"/>
                <w:szCs w:val="19"/>
              </w:rPr>
              <w:t xml:space="preserve">Desv. estándar</w:t>
            </w:r>
          </w:p>
        </w:tc>
      </w:tr>
      <w:tr>
        <w:tc>
          <w:tcPr>
            <w:tcW w:type="dxa" w:w="2160"/>
            <w:tcMar>
              <w:top w:type="dxa" w:w="40"/>
              <w:left w:type="dxa" w:w="80"/>
              <w:bottom w:type="dxa" w:w="40"/>
              <w:right w:type="dxa" w:w="80"/>
            </w:tcMar>
          </w:tcPr>
          <w:p>
            <w:pPr>
              <w:spacing w:after="0" w:line="240"/>
              <w:jc w:val="left"/>
            </w:pPr>
            <w:r>
              <w:rPr>
                <w:b w:val="false"/>
                <w:bCs w:val="false"/>
                <w:color w:val="000000"/>
                <w:sz w:val="19"/>
                <w:szCs w:val="19"/>
              </w:rPr>
              <w:t xml:space="preserve">Guaymaral</w:t>
            </w:r>
          </w:p>
        </w:tc>
        <w:tc>
          <w:tcPr>
            <w:tcW w:type="dxa" w:w="1200"/>
            <w:tcMar>
              <w:top w:type="dxa" w:w="40"/>
              <w:left w:type="dxa" w:w="80"/>
              <w:bottom w:type="dxa" w:w="40"/>
              <w:right w:type="dxa" w:w="80"/>
            </w:tcMar>
          </w:tcPr>
          <w:p>
            <w:pPr>
              <w:spacing w:after="0" w:line="240"/>
              <w:jc w:val="right"/>
            </w:pPr>
            <w:r>
              <w:rPr>
                <w:b w:val="false"/>
                <w:bCs w:val="false"/>
                <w:color w:val="000000"/>
                <w:sz w:val="19"/>
                <w:szCs w:val="19"/>
              </w:rPr>
              <w:t xml:space="preserve">174</w:t>
            </w:r>
          </w:p>
        </w:tc>
        <w:tc>
          <w:tcPr>
            <w:tcW w:type="dxa" w:w="2000"/>
            <w:tcMar>
              <w:top w:type="dxa" w:w="40"/>
              <w:left w:type="dxa" w:w="80"/>
              <w:bottom w:type="dxa" w:w="40"/>
              <w:right w:type="dxa" w:w="80"/>
            </w:tcMar>
          </w:tcPr>
          <w:p>
            <w:pPr>
              <w:spacing w:after="0" w:line="240"/>
              <w:jc w:val="right"/>
            </w:pPr>
            <w:r>
              <w:rPr>
                <w:b w:val="false"/>
                <w:bCs w:val="false"/>
                <w:color w:val="000000"/>
                <w:sz w:val="19"/>
                <w:szCs w:val="19"/>
              </w:rPr>
              <w:t xml:space="preserve">11.521.372</w:t>
            </w:r>
          </w:p>
        </w:tc>
        <w:tc>
          <w:tcPr>
            <w:tcW w:type="dxa" w:w="2000"/>
            <w:tcMar>
              <w:top w:type="dxa" w:w="40"/>
              <w:left w:type="dxa" w:w="80"/>
              <w:bottom w:type="dxa" w:w="40"/>
              <w:right w:type="dxa" w:w="80"/>
            </w:tcMar>
          </w:tcPr>
          <w:p>
            <w:pPr>
              <w:spacing w:after="0" w:line="240"/>
              <w:jc w:val="right"/>
            </w:pPr>
            <w:r>
              <w:rPr>
                <w:b w:val="false"/>
                <w:bCs w:val="false"/>
                <w:color w:val="000000"/>
                <w:sz w:val="19"/>
                <w:szCs w:val="19"/>
              </w:rPr>
              <w:t xml:space="preserve">11.230.000</w:t>
            </w:r>
          </w:p>
        </w:tc>
        <w:tc>
          <w:tcPr>
            <w:tcW w:type="dxa" w:w="2000"/>
            <w:tcMar>
              <w:top w:type="dxa" w:w="40"/>
              <w:left w:type="dxa" w:w="80"/>
              <w:bottom w:type="dxa" w:w="40"/>
              <w:right w:type="dxa" w:w="80"/>
            </w:tcMar>
          </w:tcPr>
          <w:p>
            <w:pPr>
              <w:spacing w:after="0" w:line="240"/>
              <w:jc w:val="right"/>
            </w:pPr>
            <w:r>
              <w:rPr>
                <w:b w:val="false"/>
                <w:bCs w:val="false"/>
                <w:color w:val="000000"/>
                <w:sz w:val="19"/>
                <w:szCs w:val="19"/>
              </w:rPr>
              <w:t xml:space="preserve">4.113.814</w:t>
            </w:r>
          </w:p>
        </w:tc>
      </w:tr>
      <w:tr>
        <w:tc>
          <w:tcPr>
            <w:tcW w:type="dxa" w:w="21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Norte</w:t>
            </w:r>
          </w:p>
        </w:tc>
        <w:tc>
          <w:tcPr>
            <w:tcW w:type="dxa" w:w="12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6.043</w:t>
            </w:r>
          </w:p>
        </w:tc>
        <w:tc>
          <w:tcPr>
            <w:tcW w:type="dxa" w:w="20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9.360.710</w:t>
            </w:r>
          </w:p>
        </w:tc>
        <w:tc>
          <w:tcPr>
            <w:tcW w:type="dxa" w:w="20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7.500.000</w:t>
            </w:r>
          </w:p>
        </w:tc>
        <w:tc>
          <w:tcPr>
            <w:tcW w:type="dxa" w:w="20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7.114.050</w:t>
            </w:r>
          </w:p>
        </w:tc>
      </w:tr>
      <w:tr>
        <w:tc>
          <w:tcPr>
            <w:tcW w:type="dxa" w:w="2160"/>
            <w:tcMar>
              <w:top w:type="dxa" w:w="40"/>
              <w:left w:type="dxa" w:w="80"/>
              <w:bottom w:type="dxa" w:w="40"/>
              <w:right w:type="dxa" w:w="80"/>
            </w:tcMar>
          </w:tcPr>
          <w:p>
            <w:pPr>
              <w:spacing w:after="0" w:line="240"/>
              <w:jc w:val="left"/>
            </w:pPr>
            <w:r>
              <w:rPr>
                <w:b w:val="false"/>
                <w:bCs w:val="false"/>
                <w:color w:val="000000"/>
                <w:sz w:val="19"/>
                <w:szCs w:val="19"/>
              </w:rPr>
              <w:t xml:space="preserve">Noroccidente</w:t>
            </w:r>
          </w:p>
        </w:tc>
        <w:tc>
          <w:tcPr>
            <w:tcW w:type="dxa" w:w="1200"/>
            <w:tcMar>
              <w:top w:type="dxa" w:w="40"/>
              <w:left w:type="dxa" w:w="80"/>
              <w:bottom w:type="dxa" w:w="40"/>
              <w:right w:type="dxa" w:w="80"/>
            </w:tcMar>
          </w:tcPr>
          <w:p>
            <w:pPr>
              <w:spacing w:after="0" w:line="240"/>
              <w:jc w:val="right"/>
            </w:pPr>
            <w:r>
              <w:rPr>
                <w:b w:val="false"/>
                <w:bCs w:val="false"/>
                <w:color w:val="000000"/>
                <w:sz w:val="19"/>
                <w:szCs w:val="19"/>
              </w:rPr>
              <w:t xml:space="preserve">1.257</w:t>
            </w:r>
          </w:p>
        </w:tc>
        <w:tc>
          <w:tcPr>
            <w:tcW w:type="dxa" w:w="2000"/>
            <w:tcMar>
              <w:top w:type="dxa" w:w="40"/>
              <w:left w:type="dxa" w:w="80"/>
              <w:bottom w:type="dxa" w:w="40"/>
              <w:right w:type="dxa" w:w="80"/>
            </w:tcMar>
          </w:tcPr>
          <w:p>
            <w:pPr>
              <w:spacing w:after="0" w:line="240"/>
              <w:jc w:val="right"/>
            </w:pPr>
            <w:r>
              <w:rPr>
                <w:b w:val="false"/>
                <w:bCs w:val="false"/>
                <w:color w:val="000000"/>
                <w:sz w:val="19"/>
                <w:szCs w:val="19"/>
              </w:rPr>
              <w:t xml:space="preserve">6.717.522</w:t>
            </w:r>
          </w:p>
        </w:tc>
        <w:tc>
          <w:tcPr>
            <w:tcW w:type="dxa" w:w="2000"/>
            <w:tcMar>
              <w:top w:type="dxa" w:w="40"/>
              <w:left w:type="dxa" w:w="80"/>
              <w:bottom w:type="dxa" w:w="40"/>
              <w:right w:type="dxa" w:w="80"/>
            </w:tcMar>
          </w:tcPr>
          <w:p>
            <w:pPr>
              <w:spacing w:after="0" w:line="240"/>
              <w:jc w:val="right"/>
            </w:pPr>
            <w:r>
              <w:rPr>
                <w:b w:val="false"/>
                <w:bCs w:val="false"/>
                <w:color w:val="000000"/>
                <w:sz w:val="19"/>
                <w:szCs w:val="19"/>
              </w:rPr>
              <w:t xml:space="preserve">6.000.000</w:t>
            </w:r>
          </w:p>
        </w:tc>
        <w:tc>
          <w:tcPr>
            <w:tcW w:type="dxa" w:w="2000"/>
            <w:tcMar>
              <w:top w:type="dxa" w:w="40"/>
              <w:left w:type="dxa" w:w="80"/>
              <w:bottom w:type="dxa" w:w="40"/>
              <w:right w:type="dxa" w:w="80"/>
            </w:tcMar>
          </w:tcPr>
          <w:p>
            <w:pPr>
              <w:spacing w:after="0" w:line="240"/>
              <w:jc w:val="right"/>
            </w:pPr>
            <w:r>
              <w:rPr>
                <w:b w:val="false"/>
                <w:bCs w:val="false"/>
                <w:color w:val="000000"/>
                <w:sz w:val="19"/>
                <w:szCs w:val="19"/>
              </w:rPr>
              <w:t xml:space="preserve">4.686.994</w:t>
            </w:r>
          </w:p>
        </w:tc>
      </w:tr>
      <w:tr>
        <w:tc>
          <w:tcPr>
            <w:tcW w:type="dxa" w:w="21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Chapinero</w:t>
            </w:r>
          </w:p>
        </w:tc>
        <w:tc>
          <w:tcPr>
            <w:tcW w:type="dxa" w:w="12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684</w:t>
            </w:r>
          </w:p>
        </w:tc>
        <w:tc>
          <w:tcPr>
            <w:tcW w:type="dxa" w:w="20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6.128.848</w:t>
            </w:r>
          </w:p>
        </w:tc>
        <w:tc>
          <w:tcPr>
            <w:tcW w:type="dxa" w:w="20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3.850.000</w:t>
            </w:r>
          </w:p>
        </w:tc>
        <w:tc>
          <w:tcPr>
            <w:tcW w:type="dxa" w:w="20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5.788.080</w:t>
            </w:r>
          </w:p>
        </w:tc>
      </w:tr>
      <w:tr>
        <w:tc>
          <w:tcPr>
            <w:tcW w:type="dxa" w:w="2160"/>
            <w:tcMar>
              <w:top w:type="dxa" w:w="40"/>
              <w:left w:type="dxa" w:w="80"/>
              <w:bottom w:type="dxa" w:w="40"/>
              <w:right w:type="dxa" w:w="80"/>
            </w:tcMar>
          </w:tcPr>
          <w:p>
            <w:pPr>
              <w:spacing w:after="0" w:line="240"/>
              <w:jc w:val="left"/>
            </w:pPr>
            <w:r>
              <w:rPr>
                <w:b w:val="false"/>
                <w:bCs w:val="false"/>
                <w:color w:val="000000"/>
                <w:sz w:val="19"/>
                <w:szCs w:val="19"/>
              </w:rPr>
              <w:t xml:space="preserve">Occidental</w:t>
            </w:r>
          </w:p>
        </w:tc>
        <w:tc>
          <w:tcPr>
            <w:tcW w:type="dxa" w:w="1200"/>
            <w:tcMar>
              <w:top w:type="dxa" w:w="40"/>
              <w:left w:type="dxa" w:w="80"/>
              <w:bottom w:type="dxa" w:w="40"/>
              <w:right w:type="dxa" w:w="80"/>
            </w:tcMar>
          </w:tcPr>
          <w:p>
            <w:pPr>
              <w:spacing w:after="0" w:line="240"/>
              <w:jc w:val="right"/>
            </w:pPr>
            <w:r>
              <w:rPr>
                <w:b w:val="false"/>
                <w:bCs w:val="false"/>
                <w:color w:val="000000"/>
                <w:sz w:val="19"/>
                <w:szCs w:val="19"/>
              </w:rPr>
              <w:t xml:space="preserve">622</w:t>
            </w:r>
          </w:p>
        </w:tc>
        <w:tc>
          <w:tcPr>
            <w:tcW w:type="dxa" w:w="2000"/>
            <w:tcMar>
              <w:top w:type="dxa" w:w="40"/>
              <w:left w:type="dxa" w:w="80"/>
              <w:bottom w:type="dxa" w:w="40"/>
              <w:right w:type="dxa" w:w="80"/>
            </w:tcMar>
          </w:tcPr>
          <w:p>
            <w:pPr>
              <w:spacing w:after="0" w:line="240"/>
              <w:jc w:val="right"/>
            </w:pPr>
            <w:r>
              <w:rPr>
                <w:b w:val="false"/>
                <w:bCs w:val="false"/>
                <w:color w:val="000000"/>
                <w:sz w:val="19"/>
                <w:szCs w:val="19"/>
              </w:rPr>
              <w:t xml:space="preserve">2.997.944</w:t>
            </w:r>
          </w:p>
        </w:tc>
        <w:tc>
          <w:tcPr>
            <w:tcW w:type="dxa" w:w="2000"/>
            <w:tcMar>
              <w:top w:type="dxa" w:w="40"/>
              <w:left w:type="dxa" w:w="80"/>
              <w:bottom w:type="dxa" w:w="40"/>
              <w:right w:type="dxa" w:w="80"/>
            </w:tcMar>
          </w:tcPr>
          <w:p>
            <w:pPr>
              <w:spacing w:after="0" w:line="240"/>
              <w:jc w:val="right"/>
            </w:pPr>
            <w:r>
              <w:rPr>
                <w:b w:val="false"/>
                <w:bCs w:val="false"/>
                <w:color w:val="000000"/>
                <w:sz w:val="19"/>
                <w:szCs w:val="19"/>
              </w:rPr>
              <w:t xml:space="preserve">1.800.000</w:t>
            </w:r>
          </w:p>
        </w:tc>
        <w:tc>
          <w:tcPr>
            <w:tcW w:type="dxa" w:w="2000"/>
            <w:tcMar>
              <w:top w:type="dxa" w:w="40"/>
              <w:left w:type="dxa" w:w="80"/>
              <w:bottom w:type="dxa" w:w="40"/>
              <w:right w:type="dxa" w:w="80"/>
            </w:tcMar>
          </w:tcPr>
          <w:p>
            <w:pPr>
              <w:spacing w:after="0" w:line="240"/>
              <w:jc w:val="right"/>
            </w:pPr>
            <w:r>
              <w:rPr>
                <w:b w:val="false"/>
                <w:bCs w:val="false"/>
                <w:color w:val="000000"/>
                <w:sz w:val="19"/>
                <w:szCs w:val="19"/>
              </w:rPr>
              <w:t xml:space="preserve">3.472.862</w:t>
            </w:r>
          </w:p>
        </w:tc>
      </w:tr>
      <w:tr>
        <w:tc>
          <w:tcPr>
            <w:tcW w:type="dxa" w:w="21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Centro</w:t>
            </w:r>
          </w:p>
        </w:tc>
        <w:tc>
          <w:tcPr>
            <w:tcW w:type="dxa" w:w="12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313</w:t>
            </w:r>
          </w:p>
        </w:tc>
        <w:tc>
          <w:tcPr>
            <w:tcW w:type="dxa" w:w="20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2.649.719</w:t>
            </w:r>
          </w:p>
        </w:tc>
        <w:tc>
          <w:tcPr>
            <w:tcW w:type="dxa" w:w="20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1.800.000</w:t>
            </w:r>
          </w:p>
        </w:tc>
        <w:tc>
          <w:tcPr>
            <w:tcW w:type="dxa" w:w="20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3.473.064</w:t>
            </w:r>
          </w:p>
        </w:tc>
      </w:tr>
      <w:tr>
        <w:tc>
          <w:tcPr>
            <w:tcW w:type="dxa" w:w="2160"/>
            <w:tcMar>
              <w:top w:type="dxa" w:w="40"/>
              <w:left w:type="dxa" w:w="80"/>
              <w:bottom w:type="dxa" w:w="40"/>
              <w:right w:type="dxa" w:w="80"/>
            </w:tcMar>
          </w:tcPr>
          <w:p>
            <w:pPr>
              <w:spacing w:after="0" w:line="240"/>
              <w:jc w:val="left"/>
            </w:pPr>
            <w:r>
              <w:rPr>
                <w:b w:val="false"/>
                <w:bCs w:val="false"/>
                <w:color w:val="000000"/>
                <w:sz w:val="19"/>
                <w:szCs w:val="19"/>
              </w:rPr>
              <w:t xml:space="preserve">Sur</w:t>
            </w:r>
          </w:p>
        </w:tc>
        <w:tc>
          <w:tcPr>
            <w:tcW w:type="dxa" w:w="1200"/>
            <w:tcMar>
              <w:top w:type="dxa" w:w="40"/>
              <w:left w:type="dxa" w:w="80"/>
              <w:bottom w:type="dxa" w:w="40"/>
              <w:right w:type="dxa" w:w="80"/>
            </w:tcMar>
          </w:tcPr>
          <w:p>
            <w:pPr>
              <w:spacing w:after="0" w:line="240"/>
              <w:jc w:val="right"/>
            </w:pPr>
            <w:r>
              <w:rPr>
                <w:b w:val="false"/>
                <w:bCs w:val="false"/>
                <w:color w:val="000000"/>
                <w:sz w:val="19"/>
                <w:szCs w:val="19"/>
              </w:rPr>
              <w:t xml:space="preserve">159</w:t>
            </w:r>
          </w:p>
        </w:tc>
        <w:tc>
          <w:tcPr>
            <w:tcW w:type="dxa" w:w="2000"/>
            <w:tcMar>
              <w:top w:type="dxa" w:w="40"/>
              <w:left w:type="dxa" w:w="80"/>
              <w:bottom w:type="dxa" w:w="40"/>
              <w:right w:type="dxa" w:w="80"/>
            </w:tcMar>
          </w:tcPr>
          <w:p>
            <w:pPr>
              <w:spacing w:after="0" w:line="240"/>
              <w:jc w:val="right"/>
            </w:pPr>
            <w:r>
              <w:rPr>
                <w:b w:val="false"/>
                <w:bCs w:val="false"/>
                <w:color w:val="000000"/>
                <w:sz w:val="19"/>
                <w:szCs w:val="19"/>
              </w:rPr>
              <w:t xml:space="preserve">1.903.433</w:t>
            </w:r>
          </w:p>
        </w:tc>
        <w:tc>
          <w:tcPr>
            <w:tcW w:type="dxa" w:w="2000"/>
            <w:tcMar>
              <w:top w:type="dxa" w:w="40"/>
              <w:left w:type="dxa" w:w="80"/>
              <w:bottom w:type="dxa" w:w="40"/>
              <w:right w:type="dxa" w:w="80"/>
            </w:tcMar>
          </w:tcPr>
          <w:p>
            <w:pPr>
              <w:spacing w:after="0" w:line="240"/>
              <w:jc w:val="right"/>
            </w:pPr>
            <w:r>
              <w:rPr>
                <w:b w:val="false"/>
                <w:bCs w:val="false"/>
                <w:color w:val="000000"/>
                <w:sz w:val="19"/>
                <w:szCs w:val="19"/>
              </w:rPr>
              <w:t xml:space="preserve">1.100.000</w:t>
            </w:r>
          </w:p>
        </w:tc>
        <w:tc>
          <w:tcPr>
            <w:tcW w:type="dxa" w:w="2000"/>
            <w:tcMar>
              <w:top w:type="dxa" w:w="40"/>
              <w:left w:type="dxa" w:w="80"/>
              <w:bottom w:type="dxa" w:w="40"/>
              <w:right w:type="dxa" w:w="80"/>
            </w:tcMar>
          </w:tcPr>
          <w:p>
            <w:pPr>
              <w:spacing w:after="0" w:line="240"/>
              <w:jc w:val="right"/>
            </w:pPr>
            <w:r>
              <w:rPr>
                <w:b w:val="false"/>
                <w:bCs w:val="false"/>
                <w:color w:val="000000"/>
                <w:sz w:val="19"/>
                <w:szCs w:val="19"/>
              </w:rPr>
              <w:t xml:space="preserve">2.825.167</w:t>
            </w:r>
          </w:p>
        </w:tc>
      </w:tr>
    </w:tbl>
    <w:p>
      <w:pPr>
        <w:spacing w:after="80" w:line="276"/>
        <w:jc w:val="both"/>
      </w:pPr>
      <w:r>
        <w:t xml:space="preserve">El coeficiente de variación (Tabla 4) muestra que el </w:t>
      </w:r>
      <w:r>
        <w:rPr>
          <w:b/>
          <w:bCs/>
        </w:rPr>
        <w:t xml:space="preserve">área (84,6 %) y el precio (84,0 %)</w:t>
      </w:r>
      <w:r>
        <w:t xml:space="preserve"> son las variables más dispersas, mientras que el estrato (21,3 %) es la más estable. Es notable que el precio por m² tenga un CV bastante menor (44,9 %) que el precio total: al normalizar por tamaño, buena parte de la variación desaparece, lo que confirma que el tamaño explica una fracción importante del precio.</w:t>
      </w:r>
    </w:p>
    <w:p>
      <w:pPr>
        <w:pStyle w:val="Caption"/>
        <w:spacing w:after="60" w:before="120"/>
        <w:jc w:val="center"/>
      </w:pPr>
      <w:r>
        <w:rPr>
          <w:i/>
          <w:iCs/>
        </w:rPr>
        <w:t xml:space="preserve">Tabla 4. Coeficiente de variación de las principales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40"/>
              <w:left w:type="dxa" w:w="80"/>
              <w:bottom w:type="dxa" w:w="40"/>
              <w:right w:type="dxa" w:w="80"/>
            </w:tcMar>
          </w:tcPr>
          <w:p>
            <w:pPr>
              <w:spacing w:after="0" w:line="240"/>
              <w:jc w:val="left"/>
            </w:pPr>
            <w:r>
              <w:rPr>
                <w:b/>
                <w:bCs/>
                <w:color w:val="FFFFFF"/>
                <w:sz w:val="19"/>
                <w:szCs w:val="19"/>
              </w:rPr>
              <w:t xml:space="preserve">Variable</w:t>
            </w:r>
          </w:p>
        </w:tc>
        <w:tc>
          <w:tcPr>
            <w:tcW w:type="dxa" w:w="4680"/>
            <w:shd w:fill="1F3864" w:color="auto" w:val="clear"/>
            <w:tcMar>
              <w:top w:type="dxa" w:w="40"/>
              <w:left w:type="dxa" w:w="80"/>
              <w:bottom w:type="dxa" w:w="40"/>
              <w:right w:type="dxa" w:w="80"/>
            </w:tcMar>
          </w:tcPr>
          <w:p>
            <w:pPr>
              <w:spacing w:after="0" w:line="240"/>
              <w:jc w:val="right"/>
            </w:pPr>
            <w:r>
              <w:rPr>
                <w:b/>
                <w:bCs/>
                <w:color w:val="FFFFFF"/>
                <w:sz w:val="19"/>
                <w:szCs w:val="19"/>
              </w:rPr>
              <w:t xml:space="preserve">CV (%)</w:t>
            </w:r>
          </w:p>
        </w:tc>
      </w:tr>
      <w:tr>
        <w:tc>
          <w:tcPr>
            <w:tcW w:type="dxa" w:w="4680"/>
            <w:tcMar>
              <w:top w:type="dxa" w:w="40"/>
              <w:left w:type="dxa" w:w="80"/>
              <w:bottom w:type="dxa" w:w="40"/>
              <w:right w:type="dxa" w:w="80"/>
            </w:tcMar>
          </w:tcPr>
          <w:p>
            <w:pPr>
              <w:spacing w:after="0" w:line="240"/>
              <w:jc w:val="left"/>
            </w:pPr>
            <w:r>
              <w:rPr>
                <w:b w:val="false"/>
                <w:bCs w:val="false"/>
                <w:color w:val="000000"/>
                <w:sz w:val="19"/>
                <w:szCs w:val="19"/>
              </w:rPr>
              <w:t xml:space="preserve">Área</w:t>
            </w:r>
          </w:p>
        </w:tc>
        <w:tc>
          <w:tcPr>
            <w:tcW w:type="dxa" w:w="4680"/>
            <w:tcMar>
              <w:top w:type="dxa" w:w="40"/>
              <w:left w:type="dxa" w:w="80"/>
              <w:bottom w:type="dxa" w:w="40"/>
              <w:right w:type="dxa" w:w="80"/>
            </w:tcMar>
          </w:tcPr>
          <w:p>
            <w:pPr>
              <w:spacing w:after="0" w:line="240"/>
              <w:jc w:val="right"/>
            </w:pPr>
            <w:r>
              <w:rPr>
                <w:b w:val="false"/>
                <w:bCs w:val="false"/>
                <w:color w:val="000000"/>
                <w:sz w:val="19"/>
                <w:szCs w:val="19"/>
              </w:rPr>
              <w:t xml:space="preserve">84,6</w:t>
            </w:r>
          </w:p>
        </w:tc>
      </w:tr>
      <w:tr>
        <w:tc>
          <w:tcPr>
            <w:tcW w:type="dxa" w:w="468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Precio</w:t>
            </w:r>
          </w:p>
        </w:tc>
        <w:tc>
          <w:tcPr>
            <w:tcW w:type="dxa" w:w="468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84,0</w:t>
            </w:r>
          </w:p>
        </w:tc>
      </w:tr>
      <w:tr>
        <w:tc>
          <w:tcPr>
            <w:tcW w:type="dxa" w:w="4680"/>
            <w:tcMar>
              <w:top w:type="dxa" w:w="40"/>
              <w:left w:type="dxa" w:w="80"/>
              <w:bottom w:type="dxa" w:w="40"/>
              <w:right w:type="dxa" w:w="80"/>
            </w:tcMar>
          </w:tcPr>
          <w:p>
            <w:pPr>
              <w:spacing w:after="0" w:line="240"/>
              <w:jc w:val="left"/>
            </w:pPr>
            <w:r>
              <w:rPr>
                <w:b w:val="false"/>
                <w:bCs w:val="false"/>
                <w:color w:val="000000"/>
                <w:sz w:val="19"/>
                <w:szCs w:val="19"/>
              </w:rPr>
              <w:t xml:space="preserve">Garajes</w:t>
            </w:r>
          </w:p>
        </w:tc>
        <w:tc>
          <w:tcPr>
            <w:tcW w:type="dxa" w:w="4680"/>
            <w:tcMar>
              <w:top w:type="dxa" w:w="40"/>
              <w:left w:type="dxa" w:w="80"/>
              <w:bottom w:type="dxa" w:w="40"/>
              <w:right w:type="dxa" w:w="80"/>
            </w:tcMar>
          </w:tcPr>
          <w:p>
            <w:pPr>
              <w:spacing w:after="0" w:line="240"/>
              <w:jc w:val="right"/>
            </w:pPr>
            <w:r>
              <w:rPr>
                <w:b w:val="false"/>
                <w:bCs w:val="false"/>
                <w:color w:val="000000"/>
                <w:sz w:val="19"/>
                <w:szCs w:val="19"/>
              </w:rPr>
              <w:t xml:space="preserve">62,3</w:t>
            </w:r>
          </w:p>
        </w:tc>
      </w:tr>
      <w:tr>
        <w:tc>
          <w:tcPr>
            <w:tcW w:type="dxa" w:w="468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Precio por m²</w:t>
            </w:r>
          </w:p>
        </w:tc>
        <w:tc>
          <w:tcPr>
            <w:tcW w:type="dxa" w:w="468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44,9</w:t>
            </w:r>
          </w:p>
        </w:tc>
      </w:tr>
      <w:tr>
        <w:tc>
          <w:tcPr>
            <w:tcW w:type="dxa" w:w="4680"/>
            <w:tcMar>
              <w:top w:type="dxa" w:w="40"/>
              <w:left w:type="dxa" w:w="80"/>
              <w:bottom w:type="dxa" w:w="40"/>
              <w:right w:type="dxa" w:w="80"/>
            </w:tcMar>
          </w:tcPr>
          <w:p>
            <w:pPr>
              <w:spacing w:after="0" w:line="240"/>
              <w:jc w:val="left"/>
            </w:pPr>
            <w:r>
              <w:rPr>
                <w:b w:val="false"/>
                <w:bCs w:val="false"/>
                <w:color w:val="000000"/>
                <w:sz w:val="19"/>
                <w:szCs w:val="19"/>
              </w:rPr>
              <w:t xml:space="preserve">Baños</w:t>
            </w:r>
          </w:p>
        </w:tc>
        <w:tc>
          <w:tcPr>
            <w:tcW w:type="dxa" w:w="4680"/>
            <w:tcMar>
              <w:top w:type="dxa" w:w="40"/>
              <w:left w:type="dxa" w:w="80"/>
              <w:bottom w:type="dxa" w:w="40"/>
              <w:right w:type="dxa" w:w="80"/>
            </w:tcMar>
          </w:tcPr>
          <w:p>
            <w:pPr>
              <w:spacing w:after="0" w:line="240"/>
              <w:jc w:val="right"/>
            </w:pPr>
            <w:r>
              <w:rPr>
                <w:b w:val="false"/>
                <w:bCs w:val="false"/>
                <w:color w:val="000000"/>
                <w:sz w:val="19"/>
                <w:szCs w:val="19"/>
              </w:rPr>
              <w:t xml:space="preserve">44,2</w:t>
            </w:r>
          </w:p>
        </w:tc>
      </w:tr>
      <w:tr>
        <w:tc>
          <w:tcPr>
            <w:tcW w:type="dxa" w:w="468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Habitaciones</w:t>
            </w:r>
          </w:p>
        </w:tc>
        <w:tc>
          <w:tcPr>
            <w:tcW w:type="dxa" w:w="468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41,5</w:t>
            </w:r>
          </w:p>
        </w:tc>
      </w:tr>
      <w:tr>
        <w:tc>
          <w:tcPr>
            <w:tcW w:type="dxa" w:w="4680"/>
            <w:tcMar>
              <w:top w:type="dxa" w:w="40"/>
              <w:left w:type="dxa" w:w="80"/>
              <w:bottom w:type="dxa" w:w="40"/>
              <w:right w:type="dxa" w:w="80"/>
            </w:tcMar>
          </w:tcPr>
          <w:p>
            <w:pPr>
              <w:spacing w:after="0" w:line="240"/>
              <w:jc w:val="left"/>
            </w:pPr>
            <w:r>
              <w:rPr>
                <w:b w:val="false"/>
                <w:bCs w:val="false"/>
                <w:color w:val="000000"/>
                <w:sz w:val="19"/>
                <w:szCs w:val="19"/>
              </w:rPr>
              <w:t xml:space="preserve">Estrato</w:t>
            </w:r>
          </w:p>
        </w:tc>
        <w:tc>
          <w:tcPr>
            <w:tcW w:type="dxa" w:w="4680"/>
            <w:tcMar>
              <w:top w:type="dxa" w:w="40"/>
              <w:left w:type="dxa" w:w="80"/>
              <w:bottom w:type="dxa" w:w="40"/>
              <w:right w:type="dxa" w:w="80"/>
            </w:tcMar>
          </w:tcPr>
          <w:p>
            <w:pPr>
              <w:spacing w:after="0" w:line="240"/>
              <w:jc w:val="right"/>
            </w:pPr>
            <w:r>
              <w:rPr>
                <w:b w:val="false"/>
                <w:bCs w:val="false"/>
                <w:color w:val="000000"/>
                <w:sz w:val="19"/>
                <w:szCs w:val="19"/>
              </w:rPr>
              <w:t xml:space="preserve">21,3</w:t>
            </w:r>
          </w:p>
        </w:tc>
      </w:tr>
    </w:tbl>
    <w:p>
      <w:pPr>
        <w:spacing w:after="40" w:before="120"/>
        <w:jc w:val="center"/>
      </w:pPr>
      <w:r>
        <w:drawing>
          <wp:inline distT="0" distB="0" distL="0" distR="0">
            <wp:extent cx="4572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076450"/>
                    </a:xfrm>
                    <a:prstGeom prst="rect">
                      <a:avLst/>
                    </a:prstGeom>
                  </pic:spPr>
                </pic:pic>
              </a:graphicData>
            </a:graphic>
          </wp:inline>
        </w:drawing>
      </w:r>
    </w:p>
    <w:p>
      <w:pPr>
        <w:pStyle w:val="Caption"/>
        <w:spacing w:after="200"/>
        <w:jc w:val="center"/>
      </w:pPr>
      <w:r>
        <w:rPr>
          <w:i/>
          <w:iCs/>
        </w:rPr>
        <w:t xml:space="preserve">Ilustración 11. Coeficiente de variación (dispersión relativa) de las principales variables.</w:t>
      </w:r>
    </w:p>
    <w:p>
      <w:pPr>
        <w:pStyle w:val="Heading2"/>
        <w:spacing w:after="100" w:before="220"/>
      </w:pPr>
      <w:r>
        <w:rPr>
          <w:b/>
          <w:bCs/>
        </w:rPr>
        <w:t xml:space="preserve">4.2 t-test: diferencia de precio entre dos zonas</w:t>
      </w:r>
    </w:p>
    <w:p>
      <w:pPr>
        <w:spacing w:after="140" w:line="276"/>
        <w:jc w:val="both"/>
      </w:pPr>
      <w:r>
        <w:t xml:space="preserve">Se comparan dos zonas de precio intermedio, Noroccidente (n = 1.257) y Chapinero (n = 684). Shapiro rechaza la normalidad en ambos grupos (efecto de la hipersensibilidad del test ante muestras grandes) y Levene indica varianzas heterogéneas (p = 0,0070), por lo que se emplea la variante de </w:t>
      </w:r>
      <w:r>
        <w:rPr>
          <w:b/>
          <w:bCs/>
        </w:rPr>
        <w:t xml:space="preserve">Welch</w:t>
      </w:r>
      <w:r>
        <w:t xml:space="preserve">. El resultado (t = 4,60; </w:t>
      </w:r>
      <w:r>
        <w:rPr>
          <w:b/>
          <w:bCs/>
        </w:rPr>
        <w:t xml:space="preserve">p = 4,6×10⁻⁶</w:t>
      </w:r>
      <w:r>
        <w:t xml:space="preserve">) lleva a rechazar la hipótesis nula de igualdad de medias; el respaldo no paramétrico de Mann-Whitney coincide (p = 5,3×10⁻⁷). El tamaño de efecto (Cohen d = 0,22) es pequeño-moderado: la diferencia es real, aunque de magnitud contenida por tratarse de dos zonas de rango medio. La Ilustración 12 compara la distribución de </w:t>
      </w:r>
      <w:r>
        <w:rPr>
          <w:i/>
          <w:iCs/>
        </w:rPr>
        <w:t xml:space="preserve">log(precio)</w:t>
      </w:r>
      <w:r>
        <w:t xml:space="preserve"> en ambas zonas y marca sus medias.</w:t>
      </w:r>
    </w:p>
    <w:p>
      <w:pPr>
        <w:spacing w:after="40" w:before="120"/>
        <w:jc w:val="center"/>
      </w:pPr>
      <w:r>
        <w:drawing>
          <wp:inline distT="0" distB="0" distL="0" distR="0">
            <wp:extent cx="40957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457450"/>
                    </a:xfrm>
                    <a:prstGeom prst="rect">
                      <a:avLst/>
                    </a:prstGeom>
                  </pic:spPr>
                </pic:pic>
              </a:graphicData>
            </a:graphic>
          </wp:inline>
        </w:drawing>
      </w:r>
    </w:p>
    <w:p>
      <w:pPr>
        <w:pStyle w:val="Caption"/>
        <w:spacing w:after="200"/>
        <w:jc w:val="center"/>
      </w:pPr>
      <w:r>
        <w:rPr>
          <w:i/>
          <w:iCs/>
        </w:rPr>
        <w:t xml:space="preserve">Ilustración 12. Distribución de log(precio) en Noroccidente y Chapinero, con las medias de cada grupo (t-test de Welch).</w:t>
      </w:r>
    </w:p>
    <w:p>
      <w:pPr>
        <w:pStyle w:val="Heading2"/>
        <w:spacing w:after="100" w:before="220"/>
      </w:pPr>
      <w:r>
        <w:rPr>
          <w:b/>
          <w:bCs/>
        </w:rPr>
        <w:t xml:space="preserve">4.3 ANOVA de una vía: precio por estrato</w:t>
      </w:r>
    </w:p>
    <w:p>
      <w:pPr>
        <w:spacing w:after="140" w:line="276"/>
        <w:jc w:val="both"/>
      </w:pPr>
      <w:r>
        <w:t xml:space="preserve">Para comparar los seis estratos simultáneamente se aplica un ANOVA de una vía, altamente significativo (</w:t>
      </w:r>
      <w:r>
        <w:rPr>
          <w:b/>
          <w:bCs/>
        </w:rPr>
        <w:t xml:space="preserve">F = 1.959,5; p &lt; 0,001</w:t>
      </w:r>
      <w:r>
        <w:t xml:space="preserve">). El tamaño de efecto es grande: el estrato explica por sí solo el </w:t>
      </w:r>
      <w:r>
        <w:rPr>
          <w:b/>
          <w:bCs/>
        </w:rPr>
        <w:t xml:space="preserve">46 % de la varianza del log-precio (η² = 0,46)</w:t>
      </w:r>
      <w:r>
        <w:t xml:space="preserve">. El respaldo no paramétrico de Kruskal-Wallis (H = 3.751,1; p &lt; 0,001) confirma el resultado sin depender de la normalidad. El post-hoc de Tukey indica que </w:t>
      </w:r>
      <w:r>
        <w:rPr>
          <w:b/>
          <w:bCs/>
        </w:rPr>
        <w:t xml:space="preserve">todos los pares de estratos difieren significativamente</w:t>
      </w:r>
      <w:r>
        <w:t xml:space="preserve"> entre sí (los 10 pares posibles), lo que confirma la escalera de precios observada en la Ilustración 2 —un resultado más nítido tras excluir el estrato 1 anómalo—. La Ilustración 13 muestra las medias por estrato con sus intervalos de confianza y el diagrama de comparaciones múltiples de Tukey.</w:t>
      </w:r>
    </w:p>
    <w:p>
      <w:pPr>
        <w:spacing w:after="40" w:before="120"/>
        <w:jc w:val="center"/>
      </w:pPr>
      <w:r>
        <w:drawing>
          <wp:inline distT="0" distB="0" distL="0" distR="0">
            <wp:extent cx="5715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371850"/>
                    </a:xfrm>
                    <a:prstGeom prst="rect">
                      <a:avLst/>
                    </a:prstGeom>
                  </pic:spPr>
                </pic:pic>
              </a:graphicData>
            </a:graphic>
          </wp:inline>
        </w:drawing>
      </w:r>
    </w:p>
    <w:p>
      <w:pPr>
        <w:pStyle w:val="Caption"/>
        <w:spacing w:after="200"/>
        <w:jc w:val="center"/>
      </w:pPr>
      <w:r>
        <w:rPr>
          <w:i/>
          <w:iCs/>
        </w:rPr>
        <w:t xml:space="preserve">Ilustración 13. ANOVA por estrato: medias de log(precio) con IC 95% (izquierda) y comparaciones múltiples de Tukey (derecha).</w:t>
      </w:r>
    </w:p>
    <w:p>
      <w:pPr>
        <w:pStyle w:val="Heading2"/>
        <w:spacing w:after="100" w:before="220"/>
      </w:pPr>
      <w:r>
        <w:rPr>
          <w:b/>
          <w:bCs/>
        </w:rPr>
        <w:t xml:space="preserve">4.4 ANOVA de dos factores: estrato × antigüedad</w:t>
      </w:r>
    </w:p>
    <w:p>
      <w:pPr>
        <w:spacing w:after="140" w:line="276"/>
        <w:jc w:val="both"/>
      </w:pPr>
      <w:r>
        <w:t xml:space="preserve">El modelo de dos factores evalúa los efectos conjuntos del estrato y la antigüedad y su interacción. Los tres términos resultan significativos: el </w:t>
      </w:r>
      <w:r>
        <w:rPr>
          <w:b/>
          <w:bCs/>
        </w:rPr>
        <w:t xml:space="preserve">estrato</w:t>
      </w:r>
      <w:r>
        <w:t xml:space="preserve"> domina ampliamente (F = 2.025,5; suma de cuadrados ≈ 3.038), la </w:t>
      </w:r>
      <w:r>
        <w:rPr>
          <w:b/>
          <w:bCs/>
        </w:rPr>
        <w:t xml:space="preserve">antigüedad</w:t>
      </w:r>
      <w:r>
        <w:t xml:space="preserve"> aporta de forma secundaria (F = 39,6; η² ≈ 0,06, tamaño de efecto pequeño) y la </w:t>
      </w:r>
      <w:r>
        <w:rPr>
          <w:b/>
          <w:bCs/>
        </w:rPr>
        <w:t xml:space="preserve">interacción</w:t>
      </w:r>
      <w:r>
        <w:t xml:space="preserve"> también es significativa (F = 10,9; p &lt; 0,001): el efecto de la antigüedad sobre el precio no es idéntico en todos los estratos, aunque su peso relativo es reducido. El gráfico de interacción (Ilustración 14) hace visible este efecto: las líneas de antigüedad no son perfectamente paralelas.</w:t>
      </w:r>
    </w:p>
    <w:p>
      <w:pPr>
        <w:spacing w:after="40" w:before="120"/>
        <w:jc w:val="center"/>
      </w:pPr>
      <w:r>
        <w:drawing>
          <wp:inline distT="0" distB="0" distL="0" distR="0">
            <wp:extent cx="4953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543175"/>
                    </a:xfrm>
                    <a:prstGeom prst="rect">
                      <a:avLst/>
                    </a:prstGeom>
                  </pic:spPr>
                </pic:pic>
              </a:graphicData>
            </a:graphic>
          </wp:inline>
        </w:drawing>
      </w:r>
    </w:p>
    <w:p>
      <w:pPr>
        <w:pStyle w:val="Caption"/>
        <w:spacing w:after="200"/>
        <w:jc w:val="center"/>
      </w:pPr>
      <w:r>
        <w:rPr>
          <w:i/>
          <w:iCs/>
        </w:rPr>
        <w:t xml:space="preserve">Ilustración 14. Gráfico de interacción estrato × antigüedad sobre la media de log(precio).</w:t>
      </w:r>
    </w:p>
    <w:p>
      <w:pPr>
        <w:pStyle w:val="Heading2"/>
        <w:spacing w:after="100" w:before="220"/>
      </w:pPr>
      <w:r>
        <w:rPr>
          <w:b/>
          <w:bCs/>
        </w:rPr>
        <w:t xml:space="preserve">4.5 Bootstrapping / prueba de permutación</w:t>
      </w:r>
    </w:p>
    <w:p>
      <w:pPr>
        <w:spacing w:after="140" w:line="276"/>
        <w:jc w:val="both"/>
      </w:pPr>
      <w:r>
        <w:t xml:space="preserve">Como verificación libre de supuestos, se reconstruye la distribución de la diferencia de medias bajo la hipótesis nula mediante 10.000 permutaciones de las etiquetas de zona (Noroccidente vs. Chapinero). La diferencia real observada (0,179 en log-precio) queda muy por fuera de la distribución simulada (Ilustración 15), con un </w:t>
      </w:r>
      <w:r>
        <w:rPr>
          <w:b/>
          <w:bCs/>
        </w:rPr>
        <w:t xml:space="preserve">p ≈ 0</w:t>
      </w:r>
      <w:r>
        <w:t xml:space="preserve">, lo que confirma el resultado del t-test de la sección 4.2 con un método que no exige normalidad ni homogeneidad de varianzas.</w:t>
      </w:r>
    </w:p>
    <w:p>
      <w:pPr>
        <w:spacing w:after="40" w:before="120"/>
        <w:jc w:val="center"/>
      </w:pPr>
      <w:r>
        <w:drawing>
          <wp:inline distT="0" distB="0" distL="0" distR="0">
            <wp:extent cx="44767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2438400"/>
                    </a:xfrm>
                    <a:prstGeom prst="rect">
                      <a:avLst/>
                    </a:prstGeom>
                  </pic:spPr>
                </pic:pic>
              </a:graphicData>
            </a:graphic>
          </wp:inline>
        </w:drawing>
      </w:r>
    </w:p>
    <w:p>
      <w:pPr>
        <w:pStyle w:val="Caption"/>
        <w:spacing w:after="200"/>
        <w:jc w:val="center"/>
      </w:pPr>
      <w:r>
        <w:rPr>
          <w:i/>
          <w:iCs/>
        </w:rPr>
        <w:t xml:space="preserve">Ilustración 15. Distribución de la diferencia de medias bajo la hipótesis nula (permutación); la línea marca la diferencia observada.</w:t>
      </w:r>
    </w:p>
    <w:p>
      <w:pPr>
        <w:pStyle w:val="Heading2"/>
        <w:spacing w:after="100" w:before="220"/>
      </w:pPr>
      <w:r>
        <w:rPr>
          <w:b/>
          <w:bCs/>
        </w:rPr>
        <w:t xml:space="preserve">4.6 Correlación de Pearson y Spearman: precio y área</w:t>
      </w:r>
    </w:p>
    <w:p>
      <w:pPr>
        <w:spacing w:after="140" w:line="276"/>
        <w:jc w:val="both"/>
      </w:pPr>
      <w:r>
        <w:t xml:space="preserve">La correlación de Pearson entre log(área) y log(precio) es </w:t>
      </w:r>
      <w:r>
        <w:rPr>
          <w:b/>
          <w:bCs/>
        </w:rPr>
        <w:t xml:space="preserve">r = 0,855</w:t>
      </w:r>
      <w:r>
        <w:t xml:space="preserve"> (p &lt; 0,001), y la de Spearman —robusta a valores extremos y a no linealidades— es incluso mayor (</w:t>
      </w:r>
      <w:r>
        <w:rPr>
          <w:b/>
          <w:bCs/>
        </w:rPr>
        <w:t xml:space="preserve">ρ = 0,874</w:t>
      </w:r>
      <w:r>
        <w:t xml:space="preserve">). La coincidencia de ambas medidas indica que la relación área–precio es fuerte, monótona y robusta, no producto de unos pocos valores atípicos. El área es el predictor continuo más importante del precio. La Ilustración 16 muestra la nube de puntos con la recta de tendencia y los coeficientes.</w:t>
      </w:r>
    </w:p>
    <w:p>
      <w:pPr>
        <w:spacing w:after="40" w:before="120"/>
        <w:jc w:val="center"/>
      </w:pPr>
      <w:r>
        <w:drawing>
          <wp:inline distT="0" distB="0" distL="0" distR="0">
            <wp:extent cx="4095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590800"/>
                    </a:xfrm>
                    <a:prstGeom prst="rect">
                      <a:avLst/>
                    </a:prstGeom>
                  </pic:spPr>
                </pic:pic>
              </a:graphicData>
            </a:graphic>
          </wp:inline>
        </w:drawing>
      </w:r>
    </w:p>
    <w:p>
      <w:pPr>
        <w:pStyle w:val="Caption"/>
        <w:spacing w:after="200"/>
        <w:jc w:val="center"/>
      </w:pPr>
      <w:r>
        <w:rPr>
          <w:i/>
          <w:iCs/>
        </w:rPr>
        <w:t xml:space="preserve">Ilustración 16. Relación log(área)–log(precio) con recta de ajuste y coeficientes de correlación de Pearson y Spearman.</w:t>
      </w:r>
    </w:p>
    <w:p>
      <w:pPr>
        <w:pStyle w:val="Heading2"/>
        <w:spacing w:after="100" w:before="220"/>
      </w:pPr>
      <w:r>
        <w:rPr>
          <w:b/>
          <w:bCs/>
        </w:rPr>
        <w:t xml:space="preserve">4.7 Chi-cuadrado: asociación entre variables categóricas</w:t>
      </w:r>
    </w:p>
    <w:p>
      <w:pPr>
        <w:spacing w:after="140" w:line="276"/>
        <w:jc w:val="both"/>
      </w:pPr>
      <w:r>
        <w:t xml:space="preserve">La prueba chi-cuadrado sobre la tabla de contingencia estrato × zona es altamente significativa (</w:t>
      </w:r>
      <w:r>
        <w:rPr>
          <w:b/>
          <w:bCs/>
        </w:rPr>
        <w:t xml:space="preserve">χ² = 8.057,6; gl = 28; p &lt; 0,001</w:t>
      </w:r>
      <w:r>
        <w:t xml:space="preserve">) con un tamaño de efecto de Cramér V = 0,466 (asociación moderada-fuerte): los estratos altos se concentran en zonas como el Norte y los bajos en Sur, Centro y Occidental. En contraste, la asociación antigüedad × zona, aunque también significativa (χ² = 728,0; p ≈ 2,8×10⁻¹³⁵), tiene un Cramér V de apenas </w:t>
      </w:r>
      <w:r>
        <w:rPr>
          <w:b/>
          <w:bCs/>
        </w:rPr>
        <w:t xml:space="preserve">0,140</w:t>
      </w:r>
      <w:r>
        <w:t xml:space="preserve"> (asociación débil). Este contraste ilustra una lección metodológica central: </w:t>
      </w:r>
      <w:r>
        <w:rPr>
          <w:b/>
          <w:bCs/>
        </w:rPr>
        <w:t xml:space="preserve">con muestras grandes casi cualquier asociación resulta significativa</w:t>
      </w:r>
      <w:r>
        <w:t xml:space="preserve">, por lo que el p-valor debe acompañarse siempre del tamaño de efecto para juzgar la relevancia práctica. Las tablas de contingencia de la Ilustración 17 hacen evidente la concentración (estrato–zona) frente a la distribución más uniforme (antigüedad–zona).</w:t>
      </w:r>
    </w:p>
    <w:p>
      <w:pPr>
        <w:spacing w:after="40" w:before="120"/>
        <w:jc w:val="center"/>
      </w:pPr>
      <w:r>
        <w:drawing>
          <wp:inline distT="0" distB="0" distL="0" distR="0">
            <wp:extent cx="5905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2114550"/>
                    </a:xfrm>
                    <a:prstGeom prst="rect">
                      <a:avLst/>
                    </a:prstGeom>
                  </pic:spPr>
                </pic:pic>
              </a:graphicData>
            </a:graphic>
          </wp:inline>
        </w:drawing>
      </w:r>
    </w:p>
    <w:p>
      <w:pPr>
        <w:pStyle w:val="Caption"/>
        <w:spacing w:after="200"/>
        <w:jc w:val="center"/>
      </w:pPr>
      <w:r>
        <w:rPr>
          <w:i/>
          <w:iCs/>
        </w:rPr>
        <w:t xml:space="preserve">Ilustración 17. Tablas de contingencia: estrato × zona (izquierda) y antigüedad × zona (derecha), con sus estadísticos chi-cuadrado.</w:t>
      </w:r>
    </w:p>
    <w:p>
      <w:pPr>
        <w:spacing w:after="140" w:line="276"/>
        <w:jc w:val="both"/>
      </w:pPr>
      <w:r>
        <w:t xml:space="preserve">Para leer mejor esas tablas, la Ilustración 18 las traduce a barras apiladas al 100 % (la composición de cada categoría dentro de cada zona). El contraste entre los dos paneles hace tangible la diferencia de fuerza de asociación: en el de </w:t>
      </w:r>
      <w:r>
        <w:rPr>
          <w:b/>
          <w:bCs/>
        </w:rPr>
        <w:t xml:space="preserve">estratos</w:t>
      </w:r>
      <w:r>
        <w:t xml:space="preserve">, las zonas caras están compuestas casi exclusivamente por estratos altos (el 80 % de Norte y el 95 % de Guaymaral son estrato 6, frente a un 94 % de estratos 2–4 en Sur), de modo que la barra cambia radicalmente de color a lo largo del gradiente de precio; en el de </w:t>
      </w:r>
      <w:r>
        <w:rPr>
          <w:b/>
          <w:bCs/>
        </w:rPr>
        <w:t xml:space="preserve">antigüedad</w:t>
      </w:r>
      <w:r>
        <w:t xml:space="preserve">, en cambio, las barras se parecen mucho entre zonas, coherente con su asociación débil. Es la lectura visual de por qué el Cramér's V es 0,47 en un caso y solo 0,14 en el otro.</w:t>
      </w:r>
    </w:p>
    <w:p>
      <w:pPr>
        <w:spacing w:after="40" w:before="120"/>
        <w:jc w:val="center"/>
      </w:pPr>
      <w:r>
        <w:drawing>
          <wp:inline distT="0" distB="0" distL="0" distR="0">
            <wp:extent cx="5905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2152650"/>
                    </a:xfrm>
                    <a:prstGeom prst="rect">
                      <a:avLst/>
                    </a:prstGeom>
                  </pic:spPr>
                </pic:pic>
              </a:graphicData>
            </a:graphic>
          </wp:inline>
        </w:drawing>
      </w:r>
    </w:p>
    <w:p>
      <w:pPr>
        <w:pStyle w:val="Caption"/>
        <w:spacing w:after="200"/>
        <w:jc w:val="center"/>
      </w:pPr>
      <w:r>
        <w:rPr>
          <w:i/>
          <w:iCs/>
        </w:rPr>
        <w:t xml:space="preserve">Ilustración 18. Composición porcentual (barras apiladas al 100 %) de estratos y de antigüedad dentro de cada zona, ordenadas por precio mediano.</w:t>
      </w:r>
    </w:p>
    <w:p>
      <w:pPr>
        <w:pStyle w:val="Heading2"/>
        <w:spacing w:after="100" w:before="220"/>
      </w:pPr>
      <w:r>
        <w:rPr>
          <w:b/>
          <w:bCs/>
        </w:rPr>
        <w:t xml:space="preserve">4.8 t-test: efecto del garaje</w:t>
      </w:r>
    </w:p>
    <w:p>
      <w:pPr>
        <w:spacing w:after="140" w:line="276"/>
        <w:jc w:val="both"/>
      </w:pPr>
      <w:r>
        <w:t xml:space="preserve">La comparación entre inmuebles con garaje (n = 8.042) y sin garaje (n = 1.242) arroja una diferencia altamente significativa (t de Welch = 61,6; p &lt; 0,001) y, sobre todo, un </w:t>
      </w:r>
      <w:r>
        <w:rPr>
          <w:b/>
          <w:bCs/>
        </w:rPr>
        <w:t xml:space="preserve">tamaño de efecto muy grande (Cohen d = 1,86)</w:t>
      </w:r>
      <w:r>
        <w:t xml:space="preserve">. No obstante, esta asociación debe leerse con cautela: el garaje suele acompañar a inmuebles más grandes y de mayor estrato, de modo que parte del efecto es atribuible a esas variables correlacionadas y no al garaje en sí mismo. La Ilustración 19 contrasta ambas distribuciones.</w:t>
      </w:r>
    </w:p>
    <w:p>
      <w:pPr>
        <w:spacing w:after="40" w:before="120"/>
        <w:jc w:val="center"/>
      </w:pPr>
      <w:r>
        <w:drawing>
          <wp:inline distT="0" distB="0" distL="0" distR="0">
            <wp:extent cx="40957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466975"/>
                    </a:xfrm>
                    <a:prstGeom prst="rect">
                      <a:avLst/>
                    </a:prstGeom>
                  </pic:spPr>
                </pic:pic>
              </a:graphicData>
            </a:graphic>
          </wp:inline>
        </w:drawing>
      </w:r>
    </w:p>
    <w:p>
      <w:pPr>
        <w:pStyle w:val="Caption"/>
        <w:spacing w:after="200"/>
        <w:jc w:val="center"/>
      </w:pPr>
      <w:r>
        <w:rPr>
          <w:i/>
          <w:iCs/>
        </w:rPr>
        <w:t xml:space="preserve">Ilustración 19. Distribución de log(precio) según la presencia de garaje (t-test de Welch).</w:t>
      </w:r>
    </w:p>
    <w:p>
      <w:pPr>
        <w:pStyle w:val="Heading2"/>
        <w:spacing w:after="100" w:before="220"/>
      </w:pPr>
      <w:r>
        <w:rPr>
          <w:b/>
          <w:bCs/>
        </w:rPr>
        <w:t xml:space="preserve">4.9 ANOVA de una vía: precio por zona</w:t>
      </w:r>
    </w:p>
    <w:p>
      <w:pPr>
        <w:spacing w:after="140" w:line="276"/>
        <w:jc w:val="both"/>
      </w:pPr>
      <w:r>
        <w:t xml:space="preserve">El ANOVA por zona es igualmente significativo (</w:t>
      </w:r>
      <w:r>
        <w:rPr>
          <w:b/>
          <w:bCs/>
        </w:rPr>
        <w:t xml:space="preserve">F = 478,5; p &lt; 0,001</w:t>
      </w:r>
      <w:r>
        <w:t xml:space="preserve">; η² = 0,27, tamaño de efecto mediano-grande). En este caso la normalidad de los residuos incluso se sostiene (Shapiro p = 0,110), aunque la homogeneidad de varianzas falla; el respaldo de Kruskal-Wallis (H = 2.077,1; p &lt; 0,001) confirma el resultado. El post-hoc de Tukey señala que la mayoría de los pares de zonas difieren significativamente, cuantificando la jerarquía geográfica (Ilustración 20).</w:t>
      </w:r>
    </w:p>
    <w:p>
      <w:pPr>
        <w:spacing w:after="40" w:before="120"/>
        <w:jc w:val="center"/>
      </w:pPr>
      <w:r>
        <w:drawing>
          <wp:inline distT="0" distB="0" distL="0" distR="0">
            <wp:extent cx="5905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495675"/>
                    </a:xfrm>
                    <a:prstGeom prst="rect">
                      <a:avLst/>
                    </a:prstGeom>
                  </pic:spPr>
                </pic:pic>
              </a:graphicData>
            </a:graphic>
          </wp:inline>
        </w:drawing>
      </w:r>
    </w:p>
    <w:p>
      <w:pPr>
        <w:pStyle w:val="Caption"/>
        <w:spacing w:after="200"/>
        <w:jc w:val="center"/>
      </w:pPr>
      <w:r>
        <w:rPr>
          <w:i/>
          <w:iCs/>
        </w:rPr>
        <w:t xml:space="preserve">Ilustración 20. ANOVA por zona: medias de log(precio) con IC 95% (izquierda) y comparaciones múltiples de Tukey (derecha).</w:t>
      </w:r>
    </w:p>
    <w:p>
      <w:pPr>
        <w:pStyle w:val="Heading2"/>
        <w:spacing w:after="100" w:before="220"/>
      </w:pPr>
      <w:r>
        <w:rPr>
          <w:b/>
          <w:bCs/>
        </w:rPr>
        <w:t xml:space="preserve">4.10 Síntesis de las pruebas de hipótesis</w:t>
      </w:r>
    </w:p>
    <w:p>
      <w:pPr>
        <w:spacing w:after="80" w:line="276"/>
        <w:jc w:val="both"/>
      </w:pPr>
      <w:r>
        <w:t xml:space="preserve">La Tabla 5 consolida las pruebas realizadas y la Ilustración 21 las resume gráficamente en términos de significancia. Todas resultan significativas al 5 %, lo que evidencia que estrato, zona, área, garaje y antigüedad influyen en el precio; el tamaño de efecto matiza la relevancia de cada relación.</w:t>
      </w:r>
    </w:p>
    <w:p>
      <w:pPr>
        <w:pStyle w:val="Caption"/>
        <w:spacing w:after="60" w:before="120"/>
        <w:jc w:val="center"/>
      </w:pPr>
      <w:r>
        <w:rPr>
          <w:i/>
          <w:iCs/>
        </w:rPr>
        <w:t xml:space="preserve">Tabla 5. Síntesis de las pruebas de hipótesis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80"/>
        <w:gridCol w:w="1560"/>
        <w:gridCol w:w="1560"/>
        <w:gridCol w:w="1960"/>
      </w:tblGrid>
      <w:tr>
        <w:trPr>
          <w:tblHeader/>
        </w:trPr>
        <w:tc>
          <w:tcPr>
            <w:tcW w:type="dxa" w:w="2000"/>
            <w:shd w:fill="1F3864" w:color="auto" w:val="clear"/>
            <w:tcMar>
              <w:top w:type="dxa" w:w="40"/>
              <w:left w:type="dxa" w:w="80"/>
              <w:bottom w:type="dxa" w:w="40"/>
              <w:right w:type="dxa" w:w="80"/>
            </w:tcMar>
          </w:tcPr>
          <w:p>
            <w:pPr>
              <w:spacing w:after="0" w:line="240"/>
              <w:jc w:val="left"/>
            </w:pPr>
            <w:r>
              <w:rPr>
                <w:b/>
                <w:bCs/>
                <w:color w:val="FFFFFF"/>
                <w:sz w:val="19"/>
                <w:szCs w:val="19"/>
              </w:rPr>
              <w:t xml:space="preserve">Prueba</w:t>
            </w:r>
          </w:p>
        </w:tc>
        <w:tc>
          <w:tcPr>
            <w:tcW w:type="dxa" w:w="2280"/>
            <w:shd w:fill="1F3864" w:color="auto" w:val="clear"/>
            <w:tcMar>
              <w:top w:type="dxa" w:w="40"/>
              <w:left w:type="dxa" w:w="80"/>
              <w:bottom w:type="dxa" w:w="40"/>
              <w:right w:type="dxa" w:w="80"/>
            </w:tcMar>
          </w:tcPr>
          <w:p>
            <w:pPr>
              <w:spacing w:after="0" w:line="240"/>
              <w:jc w:val="left"/>
            </w:pPr>
            <w:r>
              <w:rPr>
                <w:b/>
                <w:bCs/>
                <w:color w:val="FFFFFF"/>
                <w:sz w:val="19"/>
                <w:szCs w:val="19"/>
              </w:rPr>
              <w:t xml:space="preserve">Variables comparadas</w:t>
            </w:r>
          </w:p>
        </w:tc>
        <w:tc>
          <w:tcPr>
            <w:tcW w:type="dxa" w:w="1560"/>
            <w:shd w:fill="1F3864" w:color="auto" w:val="clear"/>
            <w:tcMar>
              <w:top w:type="dxa" w:w="40"/>
              <w:left w:type="dxa" w:w="80"/>
              <w:bottom w:type="dxa" w:w="40"/>
              <w:right w:type="dxa" w:w="80"/>
            </w:tcMar>
          </w:tcPr>
          <w:p>
            <w:pPr>
              <w:spacing w:after="0" w:line="240"/>
              <w:jc w:val="right"/>
            </w:pPr>
            <w:r>
              <w:rPr>
                <w:b/>
                <w:bCs/>
                <w:color w:val="FFFFFF"/>
                <w:sz w:val="19"/>
                <w:szCs w:val="19"/>
              </w:rPr>
              <w:t xml:space="preserve">Estadístico</w:t>
            </w:r>
          </w:p>
        </w:tc>
        <w:tc>
          <w:tcPr>
            <w:tcW w:type="dxa" w:w="1560"/>
            <w:shd w:fill="1F3864" w:color="auto" w:val="clear"/>
            <w:tcMar>
              <w:top w:type="dxa" w:w="40"/>
              <w:left w:type="dxa" w:w="80"/>
              <w:bottom w:type="dxa" w:w="40"/>
              <w:right w:type="dxa" w:w="80"/>
            </w:tcMar>
          </w:tcPr>
          <w:p>
            <w:pPr>
              <w:spacing w:after="0" w:line="240"/>
              <w:jc w:val="right"/>
            </w:pPr>
            <w:r>
              <w:rPr>
                <w:b/>
                <w:bCs/>
                <w:color w:val="FFFFFF"/>
                <w:sz w:val="19"/>
                <w:szCs w:val="19"/>
              </w:rPr>
              <w:t xml:space="preserve">p-valor</w:t>
            </w:r>
          </w:p>
        </w:tc>
        <w:tc>
          <w:tcPr>
            <w:tcW w:type="dxa" w:w="1960"/>
            <w:shd w:fill="1F3864" w:color="auto" w:val="clear"/>
            <w:tcMar>
              <w:top w:type="dxa" w:w="40"/>
              <w:left w:type="dxa" w:w="80"/>
              <w:bottom w:type="dxa" w:w="40"/>
              <w:right w:type="dxa" w:w="80"/>
            </w:tcMar>
          </w:tcPr>
          <w:p>
            <w:pPr>
              <w:spacing w:after="0" w:line="240"/>
              <w:jc w:val="left"/>
            </w:pPr>
            <w:r>
              <w:rPr>
                <w:b/>
                <w:bCs/>
                <w:color w:val="FFFFFF"/>
                <w:sz w:val="19"/>
                <w:szCs w:val="19"/>
              </w:rPr>
              <w:t xml:space="preserve">Efecto / decisión</w:t>
            </w:r>
          </w:p>
        </w:tc>
      </w:tr>
      <w:tr>
        <w:tc>
          <w:tcPr>
            <w:tcW w:type="dxa" w:w="2000"/>
            <w:tcMar>
              <w:top w:type="dxa" w:w="40"/>
              <w:left w:type="dxa" w:w="80"/>
              <w:bottom w:type="dxa" w:w="40"/>
              <w:right w:type="dxa" w:w="80"/>
            </w:tcMar>
          </w:tcPr>
          <w:p>
            <w:pPr>
              <w:spacing w:after="0" w:line="240"/>
              <w:jc w:val="left"/>
            </w:pPr>
            <w:r>
              <w:rPr>
                <w:b w:val="false"/>
                <w:bCs w:val="false"/>
                <w:color w:val="000000"/>
                <w:sz w:val="19"/>
                <w:szCs w:val="19"/>
              </w:rPr>
              <w:t xml:space="preserve">t-test (Welch)</w:t>
            </w:r>
          </w:p>
        </w:tc>
        <w:tc>
          <w:tcPr>
            <w:tcW w:type="dxa" w:w="2280"/>
            <w:tcMar>
              <w:top w:type="dxa" w:w="40"/>
              <w:left w:type="dxa" w:w="80"/>
              <w:bottom w:type="dxa" w:w="40"/>
              <w:right w:type="dxa" w:w="80"/>
            </w:tcMar>
          </w:tcPr>
          <w:p>
            <w:pPr>
              <w:spacing w:after="0" w:line="240"/>
              <w:jc w:val="left"/>
            </w:pPr>
            <w:r>
              <w:rPr>
                <w:b w:val="false"/>
                <w:bCs w:val="false"/>
                <w:color w:val="000000"/>
                <w:sz w:val="19"/>
                <w:szCs w:val="19"/>
              </w:rPr>
              <w:t xml:space="preserve">Zona: Noroccidente vs. Chapinero</w:t>
            </w:r>
          </w:p>
        </w:tc>
        <w:tc>
          <w:tcPr>
            <w:tcW w:type="dxa" w:w="1560"/>
            <w:tcMar>
              <w:top w:type="dxa" w:w="40"/>
              <w:left w:type="dxa" w:w="80"/>
              <w:bottom w:type="dxa" w:w="40"/>
              <w:right w:type="dxa" w:w="80"/>
            </w:tcMar>
          </w:tcPr>
          <w:p>
            <w:pPr>
              <w:spacing w:after="0" w:line="240"/>
              <w:jc w:val="right"/>
            </w:pPr>
            <w:r>
              <w:rPr>
                <w:b w:val="false"/>
                <w:bCs w:val="false"/>
                <w:color w:val="000000"/>
                <w:sz w:val="19"/>
                <w:szCs w:val="19"/>
              </w:rPr>
              <w:t xml:space="preserve">t = 4,60</w:t>
            </w:r>
          </w:p>
        </w:tc>
        <w:tc>
          <w:tcPr>
            <w:tcW w:type="dxa" w:w="1560"/>
            <w:tcMar>
              <w:top w:type="dxa" w:w="40"/>
              <w:left w:type="dxa" w:w="80"/>
              <w:bottom w:type="dxa" w:w="40"/>
              <w:right w:type="dxa" w:w="80"/>
            </w:tcMar>
          </w:tcPr>
          <w:p>
            <w:pPr>
              <w:spacing w:after="0" w:line="240"/>
              <w:jc w:val="right"/>
            </w:pPr>
            <w:r>
              <w:rPr>
                <w:b w:val="false"/>
                <w:bCs w:val="false"/>
                <w:color w:val="000000"/>
                <w:sz w:val="19"/>
                <w:szCs w:val="19"/>
              </w:rPr>
              <w:t xml:space="preserve">4,6×10⁻⁶</w:t>
            </w:r>
          </w:p>
        </w:tc>
        <w:tc>
          <w:tcPr>
            <w:tcW w:type="dxa" w:w="1960"/>
            <w:tcMar>
              <w:top w:type="dxa" w:w="40"/>
              <w:left w:type="dxa" w:w="80"/>
              <w:bottom w:type="dxa" w:w="40"/>
              <w:right w:type="dxa" w:w="80"/>
            </w:tcMar>
          </w:tcPr>
          <w:p>
            <w:pPr>
              <w:spacing w:after="0" w:line="240"/>
              <w:jc w:val="left"/>
            </w:pPr>
            <w:r>
              <w:rPr>
                <w:b w:val="false"/>
                <w:bCs w:val="false"/>
                <w:color w:val="000000"/>
                <w:sz w:val="19"/>
                <w:szCs w:val="19"/>
              </w:rPr>
              <w:t xml:space="preserve">d = 0,22; se rechaza H₀</w:t>
            </w:r>
          </w:p>
        </w:tc>
      </w:tr>
      <w:tr>
        <w:tc>
          <w:tcPr>
            <w:tcW w:type="dxa" w:w="20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ANOVA 1 vía</w:t>
            </w:r>
          </w:p>
        </w:tc>
        <w:tc>
          <w:tcPr>
            <w:tcW w:type="dxa" w:w="228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Precio ~ estrato</w:t>
            </w:r>
          </w:p>
        </w:tc>
        <w:tc>
          <w:tcPr>
            <w:tcW w:type="dxa" w:w="156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F = 1.959,5</w:t>
            </w:r>
          </w:p>
        </w:tc>
        <w:tc>
          <w:tcPr>
            <w:tcW w:type="dxa" w:w="156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&lt; 0,001</w:t>
            </w:r>
          </w:p>
        </w:tc>
        <w:tc>
          <w:tcPr>
            <w:tcW w:type="dxa" w:w="19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Se rechaza H₀</w:t>
            </w:r>
          </w:p>
        </w:tc>
      </w:tr>
      <w:tr>
        <w:tc>
          <w:tcPr>
            <w:tcW w:type="dxa" w:w="2000"/>
            <w:tcMar>
              <w:top w:type="dxa" w:w="40"/>
              <w:left w:type="dxa" w:w="80"/>
              <w:bottom w:type="dxa" w:w="40"/>
              <w:right w:type="dxa" w:w="80"/>
            </w:tcMar>
          </w:tcPr>
          <w:p>
            <w:pPr>
              <w:spacing w:after="0" w:line="240"/>
              <w:jc w:val="left"/>
            </w:pPr>
            <w:r>
              <w:rPr>
                <w:b w:val="false"/>
                <w:bCs w:val="false"/>
                <w:color w:val="000000"/>
                <w:sz w:val="19"/>
                <w:szCs w:val="19"/>
              </w:rPr>
              <w:t xml:space="preserve">Kruskal-Wallis</w:t>
            </w:r>
          </w:p>
        </w:tc>
        <w:tc>
          <w:tcPr>
            <w:tcW w:type="dxa" w:w="2280"/>
            <w:tcMar>
              <w:top w:type="dxa" w:w="40"/>
              <w:left w:type="dxa" w:w="80"/>
              <w:bottom w:type="dxa" w:w="40"/>
              <w:right w:type="dxa" w:w="80"/>
            </w:tcMar>
          </w:tcPr>
          <w:p>
            <w:pPr>
              <w:spacing w:after="0" w:line="240"/>
              <w:jc w:val="left"/>
            </w:pPr>
            <w:r>
              <w:rPr>
                <w:b w:val="false"/>
                <w:bCs w:val="false"/>
                <w:color w:val="000000"/>
                <w:sz w:val="19"/>
                <w:szCs w:val="19"/>
              </w:rPr>
              <w:t xml:space="preserve">Precio ~ estrato</w:t>
            </w:r>
          </w:p>
        </w:tc>
        <w:tc>
          <w:tcPr>
            <w:tcW w:type="dxa" w:w="1560"/>
            <w:tcMar>
              <w:top w:type="dxa" w:w="40"/>
              <w:left w:type="dxa" w:w="80"/>
              <w:bottom w:type="dxa" w:w="40"/>
              <w:right w:type="dxa" w:w="80"/>
            </w:tcMar>
          </w:tcPr>
          <w:p>
            <w:pPr>
              <w:spacing w:after="0" w:line="240"/>
              <w:jc w:val="right"/>
            </w:pPr>
            <w:r>
              <w:rPr>
                <w:b w:val="false"/>
                <w:bCs w:val="false"/>
                <w:color w:val="000000"/>
                <w:sz w:val="19"/>
                <w:szCs w:val="19"/>
              </w:rPr>
              <w:t xml:space="preserve">H = 3.751,1</w:t>
            </w:r>
          </w:p>
        </w:tc>
        <w:tc>
          <w:tcPr>
            <w:tcW w:type="dxa" w:w="1560"/>
            <w:tcMar>
              <w:top w:type="dxa" w:w="40"/>
              <w:left w:type="dxa" w:w="80"/>
              <w:bottom w:type="dxa" w:w="40"/>
              <w:right w:type="dxa" w:w="80"/>
            </w:tcMar>
          </w:tcPr>
          <w:p>
            <w:pPr>
              <w:spacing w:after="0" w:line="240"/>
              <w:jc w:val="right"/>
            </w:pPr>
            <w:r>
              <w:rPr>
                <w:b w:val="false"/>
                <w:bCs w:val="false"/>
                <w:color w:val="000000"/>
                <w:sz w:val="19"/>
                <w:szCs w:val="19"/>
              </w:rPr>
              <w:t xml:space="preserve">&lt; 0,001</w:t>
            </w:r>
          </w:p>
        </w:tc>
        <w:tc>
          <w:tcPr>
            <w:tcW w:type="dxa" w:w="1960"/>
            <w:tcMar>
              <w:top w:type="dxa" w:w="40"/>
              <w:left w:type="dxa" w:w="80"/>
              <w:bottom w:type="dxa" w:w="40"/>
              <w:right w:type="dxa" w:w="80"/>
            </w:tcMar>
          </w:tcPr>
          <w:p>
            <w:pPr>
              <w:spacing w:after="0" w:line="240"/>
              <w:jc w:val="left"/>
            </w:pPr>
            <w:r>
              <w:rPr>
                <w:b w:val="false"/>
                <w:bCs w:val="false"/>
                <w:color w:val="000000"/>
                <w:sz w:val="19"/>
                <w:szCs w:val="19"/>
              </w:rPr>
              <w:t xml:space="preserve">Confirma ANOVA</w:t>
            </w:r>
          </w:p>
        </w:tc>
      </w:tr>
      <w:tr>
        <w:tc>
          <w:tcPr>
            <w:tcW w:type="dxa" w:w="20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ANOVA 2 vías</w:t>
            </w:r>
          </w:p>
        </w:tc>
        <w:tc>
          <w:tcPr>
            <w:tcW w:type="dxa" w:w="228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Estrato × antigüedad</w:t>
            </w:r>
          </w:p>
        </w:tc>
        <w:tc>
          <w:tcPr>
            <w:tcW w:type="dxa" w:w="156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F = 2.025,5</w:t>
            </w:r>
          </w:p>
        </w:tc>
        <w:tc>
          <w:tcPr>
            <w:tcW w:type="dxa" w:w="156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&lt; 0,001</w:t>
            </w:r>
          </w:p>
        </w:tc>
        <w:tc>
          <w:tcPr>
            <w:tcW w:type="dxa" w:w="19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Estrato domina</w:t>
            </w:r>
          </w:p>
        </w:tc>
      </w:tr>
      <w:tr>
        <w:tc>
          <w:tcPr>
            <w:tcW w:type="dxa" w:w="2000"/>
            <w:tcMar>
              <w:top w:type="dxa" w:w="40"/>
              <w:left w:type="dxa" w:w="80"/>
              <w:bottom w:type="dxa" w:w="40"/>
              <w:right w:type="dxa" w:w="80"/>
            </w:tcMar>
          </w:tcPr>
          <w:p>
            <w:pPr>
              <w:spacing w:after="0" w:line="240"/>
              <w:jc w:val="left"/>
            </w:pPr>
            <w:r>
              <w:rPr>
                <w:b w:val="false"/>
                <w:bCs w:val="false"/>
                <w:color w:val="000000"/>
                <w:sz w:val="19"/>
                <w:szCs w:val="19"/>
              </w:rPr>
              <w:t xml:space="preserve">Permutación</w:t>
            </w:r>
          </w:p>
        </w:tc>
        <w:tc>
          <w:tcPr>
            <w:tcW w:type="dxa" w:w="2280"/>
            <w:tcMar>
              <w:top w:type="dxa" w:w="40"/>
              <w:left w:type="dxa" w:w="80"/>
              <w:bottom w:type="dxa" w:w="40"/>
              <w:right w:type="dxa" w:w="80"/>
            </w:tcMar>
          </w:tcPr>
          <w:p>
            <w:pPr>
              <w:spacing w:after="0" w:line="240"/>
              <w:jc w:val="left"/>
            </w:pPr>
            <w:r>
              <w:rPr>
                <w:b w:val="false"/>
                <w:bCs w:val="false"/>
                <w:color w:val="000000"/>
                <w:sz w:val="19"/>
                <w:szCs w:val="19"/>
              </w:rPr>
              <w:t xml:space="preserve">Noroccidente vs. Chapinero</w:t>
            </w:r>
          </w:p>
        </w:tc>
        <w:tc>
          <w:tcPr>
            <w:tcW w:type="dxa" w:w="1560"/>
            <w:tcMar>
              <w:top w:type="dxa" w:w="40"/>
              <w:left w:type="dxa" w:w="80"/>
              <w:bottom w:type="dxa" w:w="40"/>
              <w:right w:type="dxa" w:w="80"/>
            </w:tcMar>
          </w:tcPr>
          <w:p>
            <w:pPr>
              <w:spacing w:after="0" w:line="240"/>
              <w:jc w:val="right"/>
            </w:pPr>
            <w:r>
              <w:rPr>
                <w:b w:val="false"/>
                <w:bCs w:val="false"/>
                <w:color w:val="000000"/>
                <w:sz w:val="19"/>
                <w:szCs w:val="19"/>
              </w:rPr>
              <w:t xml:space="preserve">dif = 0,179</w:t>
            </w:r>
          </w:p>
        </w:tc>
        <w:tc>
          <w:tcPr>
            <w:tcW w:type="dxa" w:w="1560"/>
            <w:tcMar>
              <w:top w:type="dxa" w:w="40"/>
              <w:left w:type="dxa" w:w="80"/>
              <w:bottom w:type="dxa" w:w="40"/>
              <w:right w:type="dxa" w:w="80"/>
            </w:tcMar>
          </w:tcPr>
          <w:p>
            <w:pPr>
              <w:spacing w:after="0" w:line="240"/>
              <w:jc w:val="right"/>
            </w:pPr>
            <w:r>
              <w:rPr>
                <w:b w:val="false"/>
                <w:bCs w:val="false"/>
                <w:color w:val="000000"/>
                <w:sz w:val="19"/>
                <w:szCs w:val="19"/>
              </w:rPr>
              <w:t xml:space="preserve">&lt; 0,001</w:t>
            </w:r>
          </w:p>
        </w:tc>
        <w:tc>
          <w:tcPr>
            <w:tcW w:type="dxa" w:w="1960"/>
            <w:tcMar>
              <w:top w:type="dxa" w:w="40"/>
              <w:left w:type="dxa" w:w="80"/>
              <w:bottom w:type="dxa" w:w="40"/>
              <w:right w:type="dxa" w:w="80"/>
            </w:tcMar>
          </w:tcPr>
          <w:p>
            <w:pPr>
              <w:spacing w:after="0" w:line="240"/>
              <w:jc w:val="left"/>
            </w:pPr>
            <w:r>
              <w:rPr>
                <w:b w:val="false"/>
                <w:bCs w:val="false"/>
                <w:color w:val="000000"/>
                <w:sz w:val="19"/>
                <w:szCs w:val="19"/>
              </w:rPr>
              <w:t xml:space="preserve">Confirma t-test</w:t>
            </w:r>
          </w:p>
        </w:tc>
      </w:tr>
      <w:tr>
        <w:tc>
          <w:tcPr>
            <w:tcW w:type="dxa" w:w="20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Pearson</w:t>
            </w:r>
          </w:p>
        </w:tc>
        <w:tc>
          <w:tcPr>
            <w:tcW w:type="dxa" w:w="228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log(área) – log(precio)</w:t>
            </w:r>
          </w:p>
        </w:tc>
        <w:tc>
          <w:tcPr>
            <w:tcW w:type="dxa" w:w="156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r = 0,855</w:t>
            </w:r>
          </w:p>
        </w:tc>
        <w:tc>
          <w:tcPr>
            <w:tcW w:type="dxa" w:w="156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&lt; 0,001</w:t>
            </w:r>
          </w:p>
        </w:tc>
        <w:tc>
          <w:tcPr>
            <w:tcW w:type="dxa" w:w="19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Correlación fuerte</w:t>
            </w:r>
          </w:p>
        </w:tc>
      </w:tr>
      <w:tr>
        <w:tc>
          <w:tcPr>
            <w:tcW w:type="dxa" w:w="2000"/>
            <w:tcMar>
              <w:top w:type="dxa" w:w="40"/>
              <w:left w:type="dxa" w:w="80"/>
              <w:bottom w:type="dxa" w:w="40"/>
              <w:right w:type="dxa" w:w="80"/>
            </w:tcMar>
          </w:tcPr>
          <w:p>
            <w:pPr>
              <w:spacing w:after="0" w:line="240"/>
              <w:jc w:val="left"/>
            </w:pPr>
            <w:r>
              <w:rPr>
                <w:b w:val="false"/>
                <w:bCs w:val="false"/>
                <w:color w:val="000000"/>
                <w:sz w:val="19"/>
                <w:szCs w:val="19"/>
              </w:rPr>
              <w:t xml:space="preserve">Spearman</w:t>
            </w:r>
          </w:p>
        </w:tc>
        <w:tc>
          <w:tcPr>
            <w:tcW w:type="dxa" w:w="2280"/>
            <w:tcMar>
              <w:top w:type="dxa" w:w="40"/>
              <w:left w:type="dxa" w:w="80"/>
              <w:bottom w:type="dxa" w:w="40"/>
              <w:right w:type="dxa" w:w="80"/>
            </w:tcMar>
          </w:tcPr>
          <w:p>
            <w:pPr>
              <w:spacing w:after="0" w:line="240"/>
              <w:jc w:val="left"/>
            </w:pPr>
            <w:r>
              <w:rPr>
                <w:b w:val="false"/>
                <w:bCs w:val="false"/>
                <w:color w:val="000000"/>
                <w:sz w:val="19"/>
                <w:szCs w:val="19"/>
              </w:rPr>
              <w:t xml:space="preserve">log(área) – log(precio)</w:t>
            </w:r>
          </w:p>
        </w:tc>
        <w:tc>
          <w:tcPr>
            <w:tcW w:type="dxa" w:w="1560"/>
            <w:tcMar>
              <w:top w:type="dxa" w:w="40"/>
              <w:left w:type="dxa" w:w="80"/>
              <w:bottom w:type="dxa" w:w="40"/>
              <w:right w:type="dxa" w:w="80"/>
            </w:tcMar>
          </w:tcPr>
          <w:p>
            <w:pPr>
              <w:spacing w:after="0" w:line="240"/>
              <w:jc w:val="right"/>
            </w:pPr>
            <w:r>
              <w:rPr>
                <w:b w:val="false"/>
                <w:bCs w:val="false"/>
                <w:color w:val="000000"/>
                <w:sz w:val="19"/>
                <w:szCs w:val="19"/>
              </w:rPr>
              <w:t xml:space="preserve">ρ = 0,874</w:t>
            </w:r>
          </w:p>
        </w:tc>
        <w:tc>
          <w:tcPr>
            <w:tcW w:type="dxa" w:w="1560"/>
            <w:tcMar>
              <w:top w:type="dxa" w:w="40"/>
              <w:left w:type="dxa" w:w="80"/>
              <w:bottom w:type="dxa" w:w="40"/>
              <w:right w:type="dxa" w:w="80"/>
            </w:tcMar>
          </w:tcPr>
          <w:p>
            <w:pPr>
              <w:spacing w:after="0" w:line="240"/>
              <w:jc w:val="right"/>
            </w:pPr>
            <w:r>
              <w:rPr>
                <w:b w:val="false"/>
                <w:bCs w:val="false"/>
                <w:color w:val="000000"/>
                <w:sz w:val="19"/>
                <w:szCs w:val="19"/>
              </w:rPr>
              <w:t xml:space="preserve">&lt; 0,001</w:t>
            </w:r>
          </w:p>
        </w:tc>
        <w:tc>
          <w:tcPr>
            <w:tcW w:type="dxa" w:w="1960"/>
            <w:tcMar>
              <w:top w:type="dxa" w:w="40"/>
              <w:left w:type="dxa" w:w="80"/>
              <w:bottom w:type="dxa" w:w="40"/>
              <w:right w:type="dxa" w:w="80"/>
            </w:tcMar>
          </w:tcPr>
          <w:p>
            <w:pPr>
              <w:spacing w:after="0" w:line="240"/>
              <w:jc w:val="left"/>
            </w:pPr>
            <w:r>
              <w:rPr>
                <w:b w:val="false"/>
                <w:bCs w:val="false"/>
                <w:color w:val="000000"/>
                <w:sz w:val="19"/>
                <w:szCs w:val="19"/>
              </w:rPr>
              <w:t xml:space="preserve">Robusta</w:t>
            </w:r>
          </w:p>
        </w:tc>
      </w:tr>
      <w:tr>
        <w:tc>
          <w:tcPr>
            <w:tcW w:type="dxa" w:w="20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Chi-cuadrado</w:t>
            </w:r>
          </w:p>
        </w:tc>
        <w:tc>
          <w:tcPr>
            <w:tcW w:type="dxa" w:w="228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Estrato × zona</w:t>
            </w:r>
          </w:p>
        </w:tc>
        <w:tc>
          <w:tcPr>
            <w:tcW w:type="dxa" w:w="156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χ² = 8.057,6</w:t>
            </w:r>
          </w:p>
        </w:tc>
        <w:tc>
          <w:tcPr>
            <w:tcW w:type="dxa" w:w="156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&lt; 0,001</w:t>
            </w:r>
          </w:p>
        </w:tc>
        <w:tc>
          <w:tcPr>
            <w:tcW w:type="dxa" w:w="19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V = 0,466 (moderada)</w:t>
            </w:r>
          </w:p>
        </w:tc>
      </w:tr>
      <w:tr>
        <w:tc>
          <w:tcPr>
            <w:tcW w:type="dxa" w:w="2000"/>
            <w:tcMar>
              <w:top w:type="dxa" w:w="40"/>
              <w:left w:type="dxa" w:w="80"/>
              <w:bottom w:type="dxa" w:w="40"/>
              <w:right w:type="dxa" w:w="80"/>
            </w:tcMar>
          </w:tcPr>
          <w:p>
            <w:pPr>
              <w:spacing w:after="0" w:line="240"/>
              <w:jc w:val="left"/>
            </w:pPr>
            <w:r>
              <w:rPr>
                <w:b w:val="false"/>
                <w:bCs w:val="false"/>
                <w:color w:val="000000"/>
                <w:sz w:val="19"/>
                <w:szCs w:val="19"/>
              </w:rPr>
              <w:t xml:space="preserve">Chi-cuadrado</w:t>
            </w:r>
          </w:p>
        </w:tc>
        <w:tc>
          <w:tcPr>
            <w:tcW w:type="dxa" w:w="2280"/>
            <w:tcMar>
              <w:top w:type="dxa" w:w="40"/>
              <w:left w:type="dxa" w:w="80"/>
              <w:bottom w:type="dxa" w:w="40"/>
              <w:right w:type="dxa" w:w="80"/>
            </w:tcMar>
          </w:tcPr>
          <w:p>
            <w:pPr>
              <w:spacing w:after="0" w:line="240"/>
              <w:jc w:val="left"/>
            </w:pPr>
            <w:r>
              <w:rPr>
                <w:b w:val="false"/>
                <w:bCs w:val="false"/>
                <w:color w:val="000000"/>
                <w:sz w:val="19"/>
                <w:szCs w:val="19"/>
              </w:rPr>
              <w:t xml:space="preserve">Antigüedad × zona</w:t>
            </w:r>
          </w:p>
        </w:tc>
        <w:tc>
          <w:tcPr>
            <w:tcW w:type="dxa" w:w="1560"/>
            <w:tcMar>
              <w:top w:type="dxa" w:w="40"/>
              <w:left w:type="dxa" w:w="80"/>
              <w:bottom w:type="dxa" w:w="40"/>
              <w:right w:type="dxa" w:w="80"/>
            </w:tcMar>
          </w:tcPr>
          <w:p>
            <w:pPr>
              <w:spacing w:after="0" w:line="240"/>
              <w:jc w:val="right"/>
            </w:pPr>
            <w:r>
              <w:rPr>
                <w:b w:val="false"/>
                <w:bCs w:val="false"/>
                <w:color w:val="000000"/>
                <w:sz w:val="19"/>
                <w:szCs w:val="19"/>
              </w:rPr>
              <w:t xml:space="preserve">χ² = 728,0</w:t>
            </w:r>
          </w:p>
        </w:tc>
        <w:tc>
          <w:tcPr>
            <w:tcW w:type="dxa" w:w="1560"/>
            <w:tcMar>
              <w:top w:type="dxa" w:w="40"/>
              <w:left w:type="dxa" w:w="80"/>
              <w:bottom w:type="dxa" w:w="40"/>
              <w:right w:type="dxa" w:w="80"/>
            </w:tcMar>
          </w:tcPr>
          <w:p>
            <w:pPr>
              <w:spacing w:after="0" w:line="240"/>
              <w:jc w:val="right"/>
            </w:pPr>
            <w:r>
              <w:rPr>
                <w:b w:val="false"/>
                <w:bCs w:val="false"/>
                <w:color w:val="000000"/>
                <w:sz w:val="19"/>
                <w:szCs w:val="19"/>
              </w:rPr>
              <w:t xml:space="preserve">&lt; 0,001</w:t>
            </w:r>
          </w:p>
        </w:tc>
        <w:tc>
          <w:tcPr>
            <w:tcW w:type="dxa" w:w="1960"/>
            <w:tcMar>
              <w:top w:type="dxa" w:w="40"/>
              <w:left w:type="dxa" w:w="80"/>
              <w:bottom w:type="dxa" w:w="40"/>
              <w:right w:type="dxa" w:w="80"/>
            </w:tcMar>
          </w:tcPr>
          <w:p>
            <w:pPr>
              <w:spacing w:after="0" w:line="240"/>
              <w:jc w:val="left"/>
            </w:pPr>
            <w:r>
              <w:rPr>
                <w:b w:val="false"/>
                <w:bCs w:val="false"/>
                <w:color w:val="000000"/>
                <w:sz w:val="19"/>
                <w:szCs w:val="19"/>
              </w:rPr>
              <w:t xml:space="preserve">V = 0,140 (débil)</w:t>
            </w:r>
          </w:p>
        </w:tc>
      </w:tr>
      <w:tr>
        <w:tc>
          <w:tcPr>
            <w:tcW w:type="dxa" w:w="20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t-test (Welch)</w:t>
            </w:r>
          </w:p>
        </w:tc>
        <w:tc>
          <w:tcPr>
            <w:tcW w:type="dxa" w:w="228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Con garaje vs. sin garaje</w:t>
            </w:r>
          </w:p>
        </w:tc>
        <w:tc>
          <w:tcPr>
            <w:tcW w:type="dxa" w:w="156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t = 61,6</w:t>
            </w:r>
          </w:p>
        </w:tc>
        <w:tc>
          <w:tcPr>
            <w:tcW w:type="dxa" w:w="156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&lt; 0,001</w:t>
            </w:r>
          </w:p>
        </w:tc>
        <w:tc>
          <w:tcPr>
            <w:tcW w:type="dxa" w:w="19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d = 1,86 (muy grande)</w:t>
            </w:r>
          </w:p>
        </w:tc>
      </w:tr>
      <w:tr>
        <w:tc>
          <w:tcPr>
            <w:tcW w:type="dxa" w:w="2000"/>
            <w:tcMar>
              <w:top w:type="dxa" w:w="40"/>
              <w:left w:type="dxa" w:w="80"/>
              <w:bottom w:type="dxa" w:w="40"/>
              <w:right w:type="dxa" w:w="80"/>
            </w:tcMar>
          </w:tcPr>
          <w:p>
            <w:pPr>
              <w:spacing w:after="0" w:line="240"/>
              <w:jc w:val="left"/>
            </w:pPr>
            <w:r>
              <w:rPr>
                <w:b w:val="false"/>
                <w:bCs w:val="false"/>
                <w:color w:val="000000"/>
                <w:sz w:val="19"/>
                <w:szCs w:val="19"/>
              </w:rPr>
              <w:t xml:space="preserve">ANOVA 1 vía</w:t>
            </w:r>
          </w:p>
        </w:tc>
        <w:tc>
          <w:tcPr>
            <w:tcW w:type="dxa" w:w="2280"/>
            <w:tcMar>
              <w:top w:type="dxa" w:w="40"/>
              <w:left w:type="dxa" w:w="80"/>
              <w:bottom w:type="dxa" w:w="40"/>
              <w:right w:type="dxa" w:w="80"/>
            </w:tcMar>
          </w:tcPr>
          <w:p>
            <w:pPr>
              <w:spacing w:after="0" w:line="240"/>
              <w:jc w:val="left"/>
            </w:pPr>
            <w:r>
              <w:rPr>
                <w:b w:val="false"/>
                <w:bCs w:val="false"/>
                <w:color w:val="000000"/>
                <w:sz w:val="19"/>
                <w:szCs w:val="19"/>
              </w:rPr>
              <w:t xml:space="preserve">Precio ~ zona</w:t>
            </w:r>
          </w:p>
        </w:tc>
        <w:tc>
          <w:tcPr>
            <w:tcW w:type="dxa" w:w="1560"/>
            <w:tcMar>
              <w:top w:type="dxa" w:w="40"/>
              <w:left w:type="dxa" w:w="80"/>
              <w:bottom w:type="dxa" w:w="40"/>
              <w:right w:type="dxa" w:w="80"/>
            </w:tcMar>
          </w:tcPr>
          <w:p>
            <w:pPr>
              <w:spacing w:after="0" w:line="240"/>
              <w:jc w:val="right"/>
            </w:pPr>
            <w:r>
              <w:rPr>
                <w:b w:val="false"/>
                <w:bCs w:val="false"/>
                <w:color w:val="000000"/>
                <w:sz w:val="19"/>
                <w:szCs w:val="19"/>
              </w:rPr>
              <w:t xml:space="preserve">F = 478,5</w:t>
            </w:r>
          </w:p>
        </w:tc>
        <w:tc>
          <w:tcPr>
            <w:tcW w:type="dxa" w:w="1560"/>
            <w:tcMar>
              <w:top w:type="dxa" w:w="40"/>
              <w:left w:type="dxa" w:w="80"/>
              <w:bottom w:type="dxa" w:w="40"/>
              <w:right w:type="dxa" w:w="80"/>
            </w:tcMar>
          </w:tcPr>
          <w:p>
            <w:pPr>
              <w:spacing w:after="0" w:line="240"/>
              <w:jc w:val="right"/>
            </w:pPr>
            <w:r>
              <w:rPr>
                <w:b w:val="false"/>
                <w:bCs w:val="false"/>
                <w:color w:val="000000"/>
                <w:sz w:val="19"/>
                <w:szCs w:val="19"/>
              </w:rPr>
              <w:t xml:space="preserve">&lt; 0,001</w:t>
            </w:r>
          </w:p>
        </w:tc>
        <w:tc>
          <w:tcPr>
            <w:tcW w:type="dxa" w:w="1960"/>
            <w:tcMar>
              <w:top w:type="dxa" w:w="40"/>
              <w:left w:type="dxa" w:w="80"/>
              <w:bottom w:type="dxa" w:w="40"/>
              <w:right w:type="dxa" w:w="80"/>
            </w:tcMar>
          </w:tcPr>
          <w:p>
            <w:pPr>
              <w:spacing w:after="0" w:line="240"/>
              <w:jc w:val="left"/>
            </w:pPr>
            <w:r>
              <w:rPr>
                <w:b w:val="false"/>
                <w:bCs w:val="false"/>
                <w:color w:val="000000"/>
                <w:sz w:val="19"/>
                <w:szCs w:val="19"/>
              </w:rPr>
              <w:t xml:space="preserve">Se rechaza H₀</w:t>
            </w:r>
          </w:p>
        </w:tc>
      </w:tr>
    </w:tbl>
    <w:p>
      <w:pPr>
        <w:spacing w:after="40" w:before="120"/>
        <w:jc w:val="center"/>
      </w:pPr>
      <w:r>
        <w:drawing>
          <wp:inline distT="0" distB="0" distL="0" distR="0">
            <wp:extent cx="4953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2552700"/>
                    </a:xfrm>
                    <a:prstGeom prst="rect">
                      <a:avLst/>
                    </a:prstGeom>
                  </pic:spPr>
                </pic:pic>
              </a:graphicData>
            </a:graphic>
          </wp:inline>
        </w:drawing>
      </w:r>
    </w:p>
    <w:p>
      <w:pPr>
        <w:pStyle w:val="Caption"/>
        <w:spacing w:after="200"/>
        <w:jc w:val="center"/>
      </w:pPr>
      <w:r>
        <w:rPr>
          <w:i/>
          <w:iCs/>
        </w:rPr>
        <w:t xml:space="preserve">Ilustración 21. Síntesis gráfica de la significancia (−log₁₀ del p-valor) de cada prueba de hipótesis.</w:t>
      </w:r>
    </w:p>
    <w:p>
      <w:pPr>
        <w:pStyle w:val="Heading2"/>
        <w:spacing w:after="100" w:before="220"/>
      </w:pPr>
      <w:r>
        <w:rPr>
          <w:b/>
          <w:bCs/>
        </w:rPr>
        <w:t xml:space="preserve">4.11 Validación de supuestos</w:t>
      </w:r>
    </w:p>
    <w:p>
      <w:pPr>
        <w:spacing w:after="80" w:line="276"/>
        <w:jc w:val="both"/>
      </w:pPr>
      <w:r>
        <w:t xml:space="preserve">Siguiendo la práctica del análisis inferencial, cada prueba paramétrica exige el cumplimiento de ciertos supuestos. La Tabla 6 los consolida: para cada prueba se indica el supuesto exigido, cómo se verificó, el resultado y si se cumple. La transparencia es deliberada: </w:t>
      </w:r>
      <w:r>
        <w:rPr>
          <w:b/>
          <w:bCs/>
        </w:rPr>
        <w:t xml:space="preserve">varios supuestos no se cumplen estrictamente</w:t>
      </w:r>
      <w:r>
        <w:t xml:space="preserve"> —esperable con ~9.300 observaciones reales—, y por eso cada prueba paramétrica se acompañó de un respaldo no paramétrico (Mann-Whitney, Kruskal-Wallis, permutación) que confirma sus conclusiones sin depender de esos supuestos.</w:t>
      </w:r>
    </w:p>
    <w:p>
      <w:pPr>
        <w:pStyle w:val="Caption"/>
        <w:spacing w:after="60" w:before="120"/>
        <w:jc w:val="center"/>
      </w:pPr>
      <w:r>
        <w:rPr>
          <w:i/>
          <w:iCs/>
        </w:rPr>
        <w:t xml:space="preserve">Tabla 6. Supuestos de cada prueba: exigencia, verificación, resultado y 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60"/>
        <w:gridCol w:w="2140"/>
        <w:gridCol w:w="1860"/>
        <w:gridCol w:w="1800"/>
      </w:tblGrid>
      <w:tr>
        <w:trPr>
          <w:tblHeader/>
        </w:trPr>
        <w:tc>
          <w:tcPr>
            <w:tcW w:type="dxa" w:w="1500"/>
            <w:shd w:fill="1F3864" w:color="auto" w:val="clear"/>
            <w:tcMar>
              <w:top w:type="dxa" w:w="40"/>
              <w:left w:type="dxa" w:w="80"/>
              <w:bottom w:type="dxa" w:w="40"/>
              <w:right w:type="dxa" w:w="80"/>
            </w:tcMar>
          </w:tcPr>
          <w:p>
            <w:pPr>
              <w:spacing w:after="0" w:line="240"/>
              <w:jc w:val="left"/>
            </w:pPr>
            <w:r>
              <w:rPr>
                <w:b/>
                <w:bCs/>
                <w:color w:val="FFFFFF"/>
                <w:sz w:val="19"/>
                <w:szCs w:val="19"/>
              </w:rPr>
              <w:t xml:space="preserve">Prueba</w:t>
            </w:r>
          </w:p>
        </w:tc>
        <w:tc>
          <w:tcPr>
            <w:tcW w:type="dxa" w:w="2060"/>
            <w:shd w:fill="1F3864" w:color="auto" w:val="clear"/>
            <w:tcMar>
              <w:top w:type="dxa" w:w="40"/>
              <w:left w:type="dxa" w:w="80"/>
              <w:bottom w:type="dxa" w:w="40"/>
              <w:right w:type="dxa" w:w="80"/>
            </w:tcMar>
          </w:tcPr>
          <w:p>
            <w:pPr>
              <w:spacing w:after="0" w:line="240"/>
              <w:jc w:val="left"/>
            </w:pPr>
            <w:r>
              <w:rPr>
                <w:b/>
                <w:bCs/>
                <w:color w:val="FFFFFF"/>
                <w:sz w:val="19"/>
                <w:szCs w:val="19"/>
              </w:rPr>
              <w:t xml:space="preserve">Supuesto exigido</w:t>
            </w:r>
          </w:p>
        </w:tc>
        <w:tc>
          <w:tcPr>
            <w:tcW w:type="dxa" w:w="2140"/>
            <w:shd w:fill="1F3864" w:color="auto" w:val="clear"/>
            <w:tcMar>
              <w:top w:type="dxa" w:w="40"/>
              <w:left w:type="dxa" w:w="80"/>
              <w:bottom w:type="dxa" w:w="40"/>
              <w:right w:type="dxa" w:w="80"/>
            </w:tcMar>
          </w:tcPr>
          <w:p>
            <w:pPr>
              <w:spacing w:after="0" w:line="240"/>
              <w:jc w:val="left"/>
            </w:pPr>
            <w:r>
              <w:rPr>
                <w:b/>
                <w:bCs/>
                <w:color w:val="FFFFFF"/>
                <w:sz w:val="19"/>
                <w:szCs w:val="19"/>
              </w:rPr>
              <w:t xml:space="preserve">Cómo se verificó</w:t>
            </w:r>
          </w:p>
        </w:tc>
        <w:tc>
          <w:tcPr>
            <w:tcW w:type="dxa" w:w="1860"/>
            <w:shd w:fill="1F3864" w:color="auto" w:val="clear"/>
            <w:tcMar>
              <w:top w:type="dxa" w:w="40"/>
              <w:left w:type="dxa" w:w="80"/>
              <w:bottom w:type="dxa" w:w="40"/>
              <w:right w:type="dxa" w:w="80"/>
            </w:tcMar>
          </w:tcPr>
          <w:p>
            <w:pPr>
              <w:spacing w:after="0" w:line="240"/>
              <w:jc w:val="left"/>
            </w:pPr>
            <w:r>
              <w:rPr>
                <w:b/>
                <w:bCs/>
                <w:color w:val="FFFFFF"/>
                <w:sz w:val="19"/>
                <w:szCs w:val="19"/>
              </w:rPr>
              <w:t xml:space="preserve">Resultado</w:t>
            </w:r>
          </w:p>
        </w:tc>
        <w:tc>
          <w:tcPr>
            <w:tcW w:type="dxa" w:w="1800"/>
            <w:shd w:fill="1F3864" w:color="auto" w:val="clear"/>
            <w:tcMar>
              <w:top w:type="dxa" w:w="40"/>
              <w:left w:type="dxa" w:w="80"/>
              <w:bottom w:type="dxa" w:w="40"/>
              <w:right w:type="dxa" w:w="80"/>
            </w:tcMar>
          </w:tcPr>
          <w:p>
            <w:pPr>
              <w:spacing w:after="0" w:line="240"/>
              <w:jc w:val="left"/>
            </w:pPr>
            <w:r>
              <w:rPr>
                <w:b/>
                <w:bCs/>
                <w:color w:val="FFFFFF"/>
                <w:sz w:val="19"/>
                <w:szCs w:val="19"/>
              </w:rPr>
              <w:t xml:space="preserve">¿Se cumple?</w:t>
            </w:r>
          </w:p>
        </w:tc>
      </w:tr>
      <w:tr>
        <w:tc>
          <w:tcPr>
            <w:tcW w:type="dxa" w:w="1500"/>
            <w:tcMar>
              <w:top w:type="dxa" w:w="40"/>
              <w:left w:type="dxa" w:w="80"/>
              <w:bottom w:type="dxa" w:w="40"/>
              <w:right w:type="dxa" w:w="80"/>
            </w:tcMar>
          </w:tcPr>
          <w:p>
            <w:pPr>
              <w:spacing w:after="0" w:line="240"/>
              <w:jc w:val="left"/>
            </w:pPr>
            <w:r>
              <w:rPr>
                <w:b w:val="false"/>
                <w:bCs w:val="false"/>
                <w:color w:val="000000"/>
                <w:sz w:val="19"/>
                <w:szCs w:val="19"/>
              </w:rPr>
              <w:t xml:space="preserve">t de Welch (4.2)</w:t>
            </w:r>
          </w:p>
        </w:tc>
        <w:tc>
          <w:tcPr>
            <w:tcW w:type="dxa" w:w="2060"/>
            <w:tcMar>
              <w:top w:type="dxa" w:w="40"/>
              <w:left w:type="dxa" w:w="80"/>
              <w:bottom w:type="dxa" w:w="40"/>
              <w:right w:type="dxa" w:w="80"/>
            </w:tcMar>
          </w:tcPr>
          <w:p>
            <w:pPr>
              <w:spacing w:after="0" w:line="240"/>
              <w:jc w:val="left"/>
            </w:pPr>
            <w:r>
              <w:rPr>
                <w:b w:val="false"/>
                <w:bCs w:val="false"/>
                <w:color w:val="000000"/>
                <w:sz w:val="19"/>
                <w:szCs w:val="19"/>
              </w:rPr>
              <w:t xml:space="preserve">Normalidad por grupo</w:t>
            </w:r>
          </w:p>
        </w:tc>
        <w:tc>
          <w:tcPr>
            <w:tcW w:type="dxa" w:w="2140"/>
            <w:tcMar>
              <w:top w:type="dxa" w:w="40"/>
              <w:left w:type="dxa" w:w="80"/>
              <w:bottom w:type="dxa" w:w="40"/>
              <w:right w:type="dxa" w:w="80"/>
            </w:tcMar>
          </w:tcPr>
          <w:p>
            <w:pPr>
              <w:spacing w:after="0" w:line="240"/>
              <w:jc w:val="left"/>
            </w:pPr>
            <w:r>
              <w:rPr>
                <w:b w:val="false"/>
                <w:bCs w:val="false"/>
                <w:color w:val="000000"/>
                <w:sz w:val="19"/>
                <w:szCs w:val="19"/>
              </w:rPr>
              <w:t xml:space="preserve">Shapiro-Wilk sobre log(precio)</w:t>
            </w:r>
          </w:p>
        </w:tc>
        <w:tc>
          <w:tcPr>
            <w:tcW w:type="dxa" w:w="1860"/>
            <w:tcMar>
              <w:top w:type="dxa" w:w="40"/>
              <w:left w:type="dxa" w:w="80"/>
              <w:bottom w:type="dxa" w:w="40"/>
              <w:right w:type="dxa" w:w="80"/>
            </w:tcMar>
          </w:tcPr>
          <w:p>
            <w:pPr>
              <w:spacing w:after="0" w:line="240"/>
              <w:jc w:val="left"/>
            </w:pPr>
            <w:r>
              <w:rPr>
                <w:b w:val="false"/>
                <w:bCs w:val="false"/>
                <w:color w:val="000000"/>
                <w:sz w:val="19"/>
                <w:szCs w:val="19"/>
              </w:rPr>
              <w:t xml:space="preserve">p &lt; 0,001 (ambos)</w:t>
            </w:r>
          </w:p>
        </w:tc>
        <w:tc>
          <w:tcPr>
            <w:tcW w:type="dxa" w:w="1800"/>
            <w:tcMar>
              <w:top w:type="dxa" w:w="40"/>
              <w:left w:type="dxa" w:w="80"/>
              <w:bottom w:type="dxa" w:w="40"/>
              <w:right w:type="dxa" w:w="80"/>
            </w:tcMar>
          </w:tcPr>
          <w:p>
            <w:pPr>
              <w:spacing w:after="0" w:line="240"/>
              <w:jc w:val="left"/>
            </w:pPr>
            <w:r>
              <w:rPr>
                <w:b w:val="false"/>
                <w:bCs w:val="false"/>
                <w:color w:val="000000"/>
                <w:sz w:val="19"/>
                <w:szCs w:val="19"/>
              </w:rPr>
              <w:t xml:space="preserve">No → TLC + Mann-Whitney</w:t>
            </w:r>
          </w:p>
        </w:tc>
      </w:tr>
      <w:tr>
        <w:tc>
          <w:tcPr>
            <w:tcW w:type="dxa" w:w="15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t de Welch (4.2)</w:t>
            </w:r>
          </w:p>
        </w:tc>
        <w:tc>
          <w:tcPr>
            <w:tcW w:type="dxa" w:w="20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Homogeneidad de varianzas</w:t>
            </w:r>
          </w:p>
        </w:tc>
        <w:tc>
          <w:tcPr>
            <w:tcW w:type="dxa" w:w="214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Levene</w:t>
            </w:r>
          </w:p>
        </w:tc>
        <w:tc>
          <w:tcPr>
            <w:tcW w:type="dxa" w:w="18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p = 0,007</w:t>
            </w:r>
          </w:p>
        </w:tc>
        <w:tc>
          <w:tcPr>
            <w:tcW w:type="dxa" w:w="18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No → se usa Welch</w:t>
            </w:r>
          </w:p>
        </w:tc>
      </w:tr>
      <w:tr>
        <w:tc>
          <w:tcPr>
            <w:tcW w:type="dxa" w:w="1500"/>
            <w:tcMar>
              <w:top w:type="dxa" w:w="40"/>
              <w:left w:type="dxa" w:w="80"/>
              <w:bottom w:type="dxa" w:w="40"/>
              <w:right w:type="dxa" w:w="80"/>
            </w:tcMar>
          </w:tcPr>
          <w:p>
            <w:pPr>
              <w:spacing w:after="0" w:line="240"/>
              <w:jc w:val="left"/>
            </w:pPr>
            <w:r>
              <w:rPr>
                <w:b w:val="false"/>
                <w:bCs w:val="false"/>
                <w:color w:val="000000"/>
                <w:sz w:val="19"/>
                <w:szCs w:val="19"/>
              </w:rPr>
              <w:t xml:space="preserve">ANOVA estrato (4.3)</w:t>
            </w:r>
          </w:p>
        </w:tc>
        <w:tc>
          <w:tcPr>
            <w:tcW w:type="dxa" w:w="2060"/>
            <w:tcMar>
              <w:top w:type="dxa" w:w="40"/>
              <w:left w:type="dxa" w:w="80"/>
              <w:bottom w:type="dxa" w:w="40"/>
              <w:right w:type="dxa" w:w="80"/>
            </w:tcMar>
          </w:tcPr>
          <w:p>
            <w:pPr>
              <w:spacing w:after="0" w:line="240"/>
              <w:jc w:val="left"/>
            </w:pPr>
            <w:r>
              <w:rPr>
                <w:b w:val="false"/>
                <w:bCs w:val="false"/>
                <w:color w:val="000000"/>
                <w:sz w:val="19"/>
                <w:szCs w:val="19"/>
              </w:rPr>
              <w:t xml:space="preserve">Normalidad de residuos</w:t>
            </w:r>
          </w:p>
        </w:tc>
        <w:tc>
          <w:tcPr>
            <w:tcW w:type="dxa" w:w="2140"/>
            <w:tcMar>
              <w:top w:type="dxa" w:w="40"/>
              <w:left w:type="dxa" w:w="80"/>
              <w:bottom w:type="dxa" w:w="40"/>
              <w:right w:type="dxa" w:w="80"/>
            </w:tcMar>
          </w:tcPr>
          <w:p>
            <w:pPr>
              <w:spacing w:after="0" w:line="240"/>
              <w:jc w:val="left"/>
            </w:pPr>
            <w:r>
              <w:rPr>
                <w:b w:val="false"/>
                <w:bCs w:val="false"/>
                <w:color w:val="000000"/>
                <w:sz w:val="19"/>
                <w:szCs w:val="19"/>
              </w:rPr>
              <w:t xml:space="preserve">Shapiro-Wilk sobre residuos</w:t>
            </w:r>
          </w:p>
        </w:tc>
        <w:tc>
          <w:tcPr>
            <w:tcW w:type="dxa" w:w="1860"/>
            <w:tcMar>
              <w:top w:type="dxa" w:w="40"/>
              <w:left w:type="dxa" w:w="80"/>
              <w:bottom w:type="dxa" w:w="40"/>
              <w:right w:type="dxa" w:w="80"/>
            </w:tcMar>
          </w:tcPr>
          <w:p>
            <w:pPr>
              <w:spacing w:after="0" w:line="240"/>
              <w:jc w:val="left"/>
            </w:pPr>
            <w:r>
              <w:rPr>
                <w:b w:val="false"/>
                <w:bCs w:val="false"/>
                <w:color w:val="000000"/>
                <w:sz w:val="19"/>
                <w:szCs w:val="19"/>
              </w:rPr>
              <w:t xml:space="preserve">p = 0,128</w:t>
            </w:r>
          </w:p>
        </w:tc>
        <w:tc>
          <w:tcPr>
            <w:tcW w:type="dxa" w:w="1800"/>
            <w:tcMar>
              <w:top w:type="dxa" w:w="40"/>
              <w:left w:type="dxa" w:w="80"/>
              <w:bottom w:type="dxa" w:w="40"/>
              <w:right w:type="dxa" w:w="80"/>
            </w:tcMar>
          </w:tcPr>
          <w:p>
            <w:pPr>
              <w:spacing w:after="0" w:line="240"/>
              <w:jc w:val="left"/>
            </w:pPr>
            <w:r>
              <w:rPr>
                <w:b w:val="false"/>
                <w:bCs w:val="false"/>
                <w:color w:val="000000"/>
                <w:sz w:val="19"/>
                <w:szCs w:val="19"/>
              </w:rPr>
              <w:t xml:space="preserve">Sí</w:t>
            </w:r>
          </w:p>
        </w:tc>
      </w:tr>
      <w:tr>
        <w:tc>
          <w:tcPr>
            <w:tcW w:type="dxa" w:w="15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ANOVA estrato (4.3)</w:t>
            </w:r>
          </w:p>
        </w:tc>
        <w:tc>
          <w:tcPr>
            <w:tcW w:type="dxa" w:w="20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Homogeneidad de varianzas</w:t>
            </w:r>
          </w:p>
        </w:tc>
        <w:tc>
          <w:tcPr>
            <w:tcW w:type="dxa" w:w="214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Levene</w:t>
            </w:r>
          </w:p>
        </w:tc>
        <w:tc>
          <w:tcPr>
            <w:tcW w:type="dxa" w:w="18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p &lt; 0,001</w:t>
            </w:r>
          </w:p>
        </w:tc>
        <w:tc>
          <w:tcPr>
            <w:tcW w:type="dxa" w:w="18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No → respaldo Kruskal</w:t>
            </w:r>
          </w:p>
        </w:tc>
      </w:tr>
      <w:tr>
        <w:tc>
          <w:tcPr>
            <w:tcW w:type="dxa" w:w="1500"/>
            <w:tcMar>
              <w:top w:type="dxa" w:w="40"/>
              <w:left w:type="dxa" w:w="80"/>
              <w:bottom w:type="dxa" w:w="40"/>
              <w:right w:type="dxa" w:w="80"/>
            </w:tcMar>
          </w:tcPr>
          <w:p>
            <w:pPr>
              <w:spacing w:after="0" w:line="240"/>
              <w:jc w:val="left"/>
            </w:pPr>
            <w:r>
              <w:rPr>
                <w:b w:val="false"/>
                <w:bCs w:val="false"/>
                <w:color w:val="000000"/>
                <w:sz w:val="19"/>
                <w:szCs w:val="19"/>
              </w:rPr>
              <w:t xml:space="preserve">ANOVA zona (4.9)</w:t>
            </w:r>
          </w:p>
        </w:tc>
        <w:tc>
          <w:tcPr>
            <w:tcW w:type="dxa" w:w="2060"/>
            <w:tcMar>
              <w:top w:type="dxa" w:w="40"/>
              <w:left w:type="dxa" w:w="80"/>
              <w:bottom w:type="dxa" w:w="40"/>
              <w:right w:type="dxa" w:w="80"/>
            </w:tcMar>
          </w:tcPr>
          <w:p>
            <w:pPr>
              <w:spacing w:after="0" w:line="240"/>
              <w:jc w:val="left"/>
            </w:pPr>
            <w:r>
              <w:rPr>
                <w:b w:val="false"/>
                <w:bCs w:val="false"/>
                <w:color w:val="000000"/>
                <w:sz w:val="19"/>
                <w:szCs w:val="19"/>
              </w:rPr>
              <w:t xml:space="preserve">Normalidad de residuos</w:t>
            </w:r>
          </w:p>
        </w:tc>
        <w:tc>
          <w:tcPr>
            <w:tcW w:type="dxa" w:w="2140"/>
            <w:tcMar>
              <w:top w:type="dxa" w:w="40"/>
              <w:left w:type="dxa" w:w="80"/>
              <w:bottom w:type="dxa" w:w="40"/>
              <w:right w:type="dxa" w:w="80"/>
            </w:tcMar>
          </w:tcPr>
          <w:p>
            <w:pPr>
              <w:spacing w:after="0" w:line="240"/>
              <w:jc w:val="left"/>
            </w:pPr>
            <w:r>
              <w:rPr>
                <w:b w:val="false"/>
                <w:bCs w:val="false"/>
                <w:color w:val="000000"/>
                <w:sz w:val="19"/>
                <w:szCs w:val="19"/>
              </w:rPr>
              <w:t xml:space="preserve">Shapiro-Wilk sobre residuos</w:t>
            </w:r>
          </w:p>
        </w:tc>
        <w:tc>
          <w:tcPr>
            <w:tcW w:type="dxa" w:w="1860"/>
            <w:tcMar>
              <w:top w:type="dxa" w:w="40"/>
              <w:left w:type="dxa" w:w="80"/>
              <w:bottom w:type="dxa" w:w="40"/>
              <w:right w:type="dxa" w:w="80"/>
            </w:tcMar>
          </w:tcPr>
          <w:p>
            <w:pPr>
              <w:spacing w:after="0" w:line="240"/>
              <w:jc w:val="left"/>
            </w:pPr>
            <w:r>
              <w:rPr>
                <w:b w:val="false"/>
                <w:bCs w:val="false"/>
                <w:color w:val="000000"/>
                <w:sz w:val="19"/>
                <w:szCs w:val="19"/>
              </w:rPr>
              <w:t xml:space="preserve">p = 0,110</w:t>
            </w:r>
          </w:p>
        </w:tc>
        <w:tc>
          <w:tcPr>
            <w:tcW w:type="dxa" w:w="1800"/>
            <w:tcMar>
              <w:top w:type="dxa" w:w="40"/>
              <w:left w:type="dxa" w:w="80"/>
              <w:bottom w:type="dxa" w:w="40"/>
              <w:right w:type="dxa" w:w="80"/>
            </w:tcMar>
          </w:tcPr>
          <w:p>
            <w:pPr>
              <w:spacing w:after="0" w:line="240"/>
              <w:jc w:val="left"/>
            </w:pPr>
            <w:r>
              <w:rPr>
                <w:b w:val="false"/>
                <w:bCs w:val="false"/>
                <w:color w:val="000000"/>
                <w:sz w:val="19"/>
                <w:szCs w:val="19"/>
              </w:rPr>
              <w:t xml:space="preserve">Sí</w:t>
            </w:r>
          </w:p>
        </w:tc>
      </w:tr>
      <w:tr>
        <w:tc>
          <w:tcPr>
            <w:tcW w:type="dxa" w:w="15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ANOVA zona (4.9)</w:t>
            </w:r>
          </w:p>
        </w:tc>
        <w:tc>
          <w:tcPr>
            <w:tcW w:type="dxa" w:w="20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Homogeneidad de varianzas</w:t>
            </w:r>
          </w:p>
        </w:tc>
        <w:tc>
          <w:tcPr>
            <w:tcW w:type="dxa" w:w="214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Levene</w:t>
            </w:r>
          </w:p>
        </w:tc>
        <w:tc>
          <w:tcPr>
            <w:tcW w:type="dxa" w:w="18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p &lt; 0,001</w:t>
            </w:r>
          </w:p>
        </w:tc>
        <w:tc>
          <w:tcPr>
            <w:tcW w:type="dxa" w:w="18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No → respaldo Kruskal</w:t>
            </w:r>
          </w:p>
        </w:tc>
      </w:tr>
      <w:tr>
        <w:tc>
          <w:tcPr>
            <w:tcW w:type="dxa" w:w="1500"/>
            <w:tcMar>
              <w:top w:type="dxa" w:w="40"/>
              <w:left w:type="dxa" w:w="80"/>
              <w:bottom w:type="dxa" w:w="40"/>
              <w:right w:type="dxa" w:w="80"/>
            </w:tcMar>
          </w:tcPr>
          <w:p>
            <w:pPr>
              <w:spacing w:after="0" w:line="240"/>
              <w:jc w:val="left"/>
            </w:pPr>
            <w:r>
              <w:rPr>
                <w:b w:val="false"/>
                <w:bCs w:val="false"/>
                <w:color w:val="000000"/>
                <w:sz w:val="19"/>
                <w:szCs w:val="19"/>
              </w:rPr>
              <w:t xml:space="preserve">Chi-cuadrado (4.7)</w:t>
            </w:r>
          </w:p>
        </w:tc>
        <w:tc>
          <w:tcPr>
            <w:tcW w:type="dxa" w:w="2060"/>
            <w:tcMar>
              <w:top w:type="dxa" w:w="40"/>
              <w:left w:type="dxa" w:w="80"/>
              <w:bottom w:type="dxa" w:w="40"/>
              <w:right w:type="dxa" w:w="80"/>
            </w:tcMar>
          </w:tcPr>
          <w:p>
            <w:pPr>
              <w:spacing w:after="0" w:line="240"/>
              <w:jc w:val="left"/>
            </w:pPr>
            <w:r>
              <w:rPr>
                <w:b w:val="false"/>
                <w:bCs w:val="false"/>
                <w:color w:val="000000"/>
                <w:sz w:val="19"/>
                <w:szCs w:val="19"/>
              </w:rPr>
              <w:t xml:space="preserve">Frecuencia esperada ≥ 5</w:t>
            </w:r>
          </w:p>
        </w:tc>
        <w:tc>
          <w:tcPr>
            <w:tcW w:type="dxa" w:w="2140"/>
            <w:tcMar>
              <w:top w:type="dxa" w:w="40"/>
              <w:left w:type="dxa" w:w="80"/>
              <w:bottom w:type="dxa" w:w="40"/>
              <w:right w:type="dxa" w:w="80"/>
            </w:tcMar>
          </w:tcPr>
          <w:p>
            <w:pPr>
              <w:spacing w:after="0" w:line="240"/>
              <w:jc w:val="left"/>
            </w:pPr>
            <w:r>
              <w:rPr>
                <w:b w:val="false"/>
                <w:bCs w:val="false"/>
                <w:color w:val="000000"/>
                <w:sz w:val="19"/>
                <w:szCs w:val="19"/>
              </w:rPr>
              <w:t xml:space="preserve">Matriz de esperadas</w:t>
            </w:r>
          </w:p>
        </w:tc>
        <w:tc>
          <w:tcPr>
            <w:tcW w:type="dxa" w:w="1860"/>
            <w:tcMar>
              <w:top w:type="dxa" w:w="40"/>
              <w:left w:type="dxa" w:w="80"/>
              <w:bottom w:type="dxa" w:w="40"/>
              <w:right w:type="dxa" w:w="80"/>
            </w:tcMar>
          </w:tcPr>
          <w:p>
            <w:pPr>
              <w:spacing w:after="0" w:line="240"/>
              <w:jc w:val="left"/>
            </w:pPr>
            <w:r>
              <w:rPr>
                <w:b w:val="false"/>
                <w:bCs w:val="false"/>
                <w:color w:val="000000"/>
                <w:sz w:val="19"/>
                <w:szCs w:val="19"/>
              </w:rPr>
              <w:t xml:space="preserve">mín. ≈ 0,50 (zonas pequeñas)</w:t>
            </w:r>
          </w:p>
        </w:tc>
        <w:tc>
          <w:tcPr>
            <w:tcW w:type="dxa" w:w="1800"/>
            <w:tcMar>
              <w:top w:type="dxa" w:w="40"/>
              <w:left w:type="dxa" w:w="80"/>
              <w:bottom w:type="dxa" w:w="40"/>
              <w:right w:type="dxa" w:w="80"/>
            </w:tcMar>
          </w:tcPr>
          <w:p>
            <w:pPr>
              <w:spacing w:after="0" w:line="240"/>
              <w:jc w:val="left"/>
            </w:pPr>
            <w:r>
              <w:rPr>
                <w:b w:val="false"/>
                <w:bCs w:val="false"/>
                <w:color w:val="000000"/>
                <w:sz w:val="19"/>
                <w:szCs w:val="19"/>
              </w:rPr>
              <w:t xml:space="preserve">Parcial → interpretar con cautela</w:t>
            </w:r>
          </w:p>
        </w:tc>
      </w:tr>
      <w:tr>
        <w:tc>
          <w:tcPr>
            <w:tcW w:type="dxa" w:w="15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Pearson (4.6)</w:t>
            </w:r>
          </w:p>
        </w:tc>
        <w:tc>
          <w:tcPr>
            <w:tcW w:type="dxa" w:w="20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Relación lineal</w:t>
            </w:r>
          </w:p>
        </w:tc>
        <w:tc>
          <w:tcPr>
            <w:tcW w:type="dxa" w:w="214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Inspección en escala log-log</w:t>
            </w:r>
          </w:p>
        </w:tc>
        <w:tc>
          <w:tcPr>
            <w:tcW w:type="dxa" w:w="18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Recta clara en log-log</w:t>
            </w:r>
          </w:p>
        </w:tc>
        <w:tc>
          <w:tcPr>
            <w:tcW w:type="dxa" w:w="18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Sí (en logaritmo)</w:t>
            </w:r>
          </w:p>
        </w:tc>
      </w:tr>
      <w:tr>
        <w:tc>
          <w:tcPr>
            <w:tcW w:type="dxa" w:w="1500"/>
            <w:tcMar>
              <w:top w:type="dxa" w:w="40"/>
              <w:left w:type="dxa" w:w="80"/>
              <w:bottom w:type="dxa" w:w="40"/>
              <w:right w:type="dxa" w:w="80"/>
            </w:tcMar>
          </w:tcPr>
          <w:p>
            <w:pPr>
              <w:spacing w:after="0" w:line="240"/>
              <w:jc w:val="left"/>
            </w:pPr>
            <w:r>
              <w:rPr>
                <w:b w:val="false"/>
                <w:bCs w:val="false"/>
                <w:color w:val="000000"/>
                <w:sz w:val="19"/>
                <w:szCs w:val="19"/>
              </w:rPr>
              <w:t xml:space="preserve">Regresión OLS (5.3)</w:t>
            </w:r>
          </w:p>
        </w:tc>
        <w:tc>
          <w:tcPr>
            <w:tcW w:type="dxa" w:w="2060"/>
            <w:tcMar>
              <w:top w:type="dxa" w:w="40"/>
              <w:left w:type="dxa" w:w="80"/>
              <w:bottom w:type="dxa" w:w="40"/>
              <w:right w:type="dxa" w:w="80"/>
            </w:tcMar>
          </w:tcPr>
          <w:p>
            <w:pPr>
              <w:spacing w:after="0" w:line="240"/>
              <w:jc w:val="left"/>
            </w:pPr>
            <w:r>
              <w:rPr>
                <w:b w:val="false"/>
                <w:bCs w:val="false"/>
                <w:color w:val="000000"/>
                <w:sz w:val="19"/>
                <w:szCs w:val="19"/>
              </w:rPr>
              <w:t xml:space="preserve">Normalidad de residuos</w:t>
            </w:r>
          </w:p>
        </w:tc>
        <w:tc>
          <w:tcPr>
            <w:tcW w:type="dxa" w:w="2140"/>
            <w:tcMar>
              <w:top w:type="dxa" w:w="40"/>
              <w:left w:type="dxa" w:w="80"/>
              <w:bottom w:type="dxa" w:w="40"/>
              <w:right w:type="dxa" w:w="80"/>
            </w:tcMar>
          </w:tcPr>
          <w:p>
            <w:pPr>
              <w:spacing w:after="0" w:line="240"/>
              <w:jc w:val="left"/>
            </w:pPr>
            <w:r>
              <w:rPr>
                <w:b w:val="false"/>
                <w:bCs w:val="false"/>
                <w:color w:val="000000"/>
                <w:sz w:val="19"/>
                <w:szCs w:val="19"/>
              </w:rPr>
              <w:t xml:space="preserve">Jarque-Bera</w:t>
            </w:r>
          </w:p>
        </w:tc>
        <w:tc>
          <w:tcPr>
            <w:tcW w:type="dxa" w:w="1860"/>
            <w:tcMar>
              <w:top w:type="dxa" w:w="40"/>
              <w:left w:type="dxa" w:w="80"/>
              <w:bottom w:type="dxa" w:w="40"/>
              <w:right w:type="dxa" w:w="80"/>
            </w:tcMar>
          </w:tcPr>
          <w:p>
            <w:pPr>
              <w:spacing w:after="0" w:line="240"/>
              <w:jc w:val="left"/>
            </w:pPr>
            <w:r>
              <w:rPr>
                <w:b w:val="false"/>
                <w:bCs w:val="false"/>
                <w:color w:val="000000"/>
                <w:sz w:val="19"/>
                <w:szCs w:val="19"/>
              </w:rPr>
              <w:t xml:space="preserve">p &lt; 0,001 (forma acampanada)</w:t>
            </w:r>
          </w:p>
        </w:tc>
        <w:tc>
          <w:tcPr>
            <w:tcW w:type="dxa" w:w="1800"/>
            <w:tcMar>
              <w:top w:type="dxa" w:w="40"/>
              <w:left w:type="dxa" w:w="80"/>
              <w:bottom w:type="dxa" w:w="40"/>
              <w:right w:type="dxa" w:w="80"/>
            </w:tcMar>
          </w:tcPr>
          <w:p>
            <w:pPr>
              <w:spacing w:after="0" w:line="240"/>
              <w:jc w:val="left"/>
            </w:pPr>
            <w:r>
              <w:rPr>
                <w:b w:val="false"/>
                <w:bCs w:val="false"/>
                <w:color w:val="000000"/>
                <w:sz w:val="19"/>
                <w:szCs w:val="19"/>
              </w:rPr>
              <w:t xml:space="preserve">Aprox. → TLC</w:t>
            </w:r>
          </w:p>
        </w:tc>
      </w:tr>
      <w:tr>
        <w:tc>
          <w:tcPr>
            <w:tcW w:type="dxa" w:w="15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Regresión OLS (5.3)</w:t>
            </w:r>
          </w:p>
        </w:tc>
        <w:tc>
          <w:tcPr>
            <w:tcW w:type="dxa" w:w="20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Homocedasticidad</w:t>
            </w:r>
          </w:p>
        </w:tc>
        <w:tc>
          <w:tcPr>
            <w:tcW w:type="dxa" w:w="214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Breusch-Pagan</w:t>
            </w:r>
          </w:p>
        </w:tc>
        <w:tc>
          <w:tcPr>
            <w:tcW w:type="dxa" w:w="18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p &lt; 0,001</w:t>
            </w:r>
          </w:p>
        </w:tc>
        <w:tc>
          <w:tcPr>
            <w:tcW w:type="dxa" w:w="18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No → se corrige con errores robustos HC3</w:t>
            </w:r>
          </w:p>
        </w:tc>
      </w:tr>
      <w:tr>
        <w:tc>
          <w:tcPr>
            <w:tcW w:type="dxa" w:w="1500"/>
            <w:tcMar>
              <w:top w:type="dxa" w:w="40"/>
              <w:left w:type="dxa" w:w="80"/>
              <w:bottom w:type="dxa" w:w="40"/>
              <w:right w:type="dxa" w:w="80"/>
            </w:tcMar>
          </w:tcPr>
          <w:p>
            <w:pPr>
              <w:spacing w:after="0" w:line="240"/>
              <w:jc w:val="left"/>
            </w:pPr>
            <w:r>
              <w:rPr>
                <w:b w:val="false"/>
                <w:bCs w:val="false"/>
                <w:color w:val="000000"/>
                <w:sz w:val="19"/>
                <w:szCs w:val="19"/>
              </w:rPr>
              <w:t xml:space="preserve">Regresión OLS (5.3)</w:t>
            </w:r>
          </w:p>
        </w:tc>
        <w:tc>
          <w:tcPr>
            <w:tcW w:type="dxa" w:w="2060"/>
            <w:tcMar>
              <w:top w:type="dxa" w:w="40"/>
              <w:left w:type="dxa" w:w="80"/>
              <w:bottom w:type="dxa" w:w="40"/>
              <w:right w:type="dxa" w:w="80"/>
            </w:tcMar>
          </w:tcPr>
          <w:p>
            <w:pPr>
              <w:spacing w:after="0" w:line="240"/>
              <w:jc w:val="left"/>
            </w:pPr>
            <w:r>
              <w:rPr>
                <w:b w:val="false"/>
                <w:bCs w:val="false"/>
                <w:color w:val="000000"/>
                <w:sz w:val="19"/>
                <w:szCs w:val="19"/>
              </w:rPr>
              <w:t xml:space="preserve">Ausencia de multicolinealidad</w:t>
            </w:r>
          </w:p>
        </w:tc>
        <w:tc>
          <w:tcPr>
            <w:tcW w:type="dxa" w:w="2140"/>
            <w:tcMar>
              <w:top w:type="dxa" w:w="40"/>
              <w:left w:type="dxa" w:w="80"/>
              <w:bottom w:type="dxa" w:w="40"/>
              <w:right w:type="dxa" w:w="80"/>
            </w:tcMar>
          </w:tcPr>
          <w:p>
            <w:pPr>
              <w:spacing w:after="0" w:line="240"/>
              <w:jc w:val="left"/>
            </w:pPr>
            <w:r>
              <w:rPr>
                <w:b w:val="false"/>
                <w:bCs w:val="false"/>
                <w:color w:val="000000"/>
                <w:sz w:val="19"/>
                <w:szCs w:val="19"/>
              </w:rPr>
              <w:t xml:space="preserve">Número de condición</w:t>
            </w:r>
          </w:p>
        </w:tc>
        <w:tc>
          <w:tcPr>
            <w:tcW w:type="dxa" w:w="1860"/>
            <w:tcMar>
              <w:top w:type="dxa" w:w="40"/>
              <w:left w:type="dxa" w:w="80"/>
              <w:bottom w:type="dxa" w:w="40"/>
              <w:right w:type="dxa" w:w="80"/>
            </w:tcMar>
          </w:tcPr>
          <w:p>
            <w:pPr>
              <w:spacing w:after="0" w:line="240"/>
              <w:jc w:val="left"/>
            </w:pPr>
            <w:r>
              <w:rPr>
                <w:b w:val="false"/>
                <w:bCs w:val="false"/>
                <w:color w:val="000000"/>
                <w:sz w:val="19"/>
                <w:szCs w:val="19"/>
              </w:rPr>
              <w:t xml:space="preserve">141</w:t>
            </w:r>
          </w:p>
        </w:tc>
        <w:tc>
          <w:tcPr>
            <w:tcW w:type="dxa" w:w="1800"/>
            <w:tcMar>
              <w:top w:type="dxa" w:w="40"/>
              <w:left w:type="dxa" w:w="80"/>
              <w:bottom w:type="dxa" w:w="40"/>
              <w:right w:type="dxa" w:w="80"/>
            </w:tcMar>
          </w:tcPr>
          <w:p>
            <w:pPr>
              <w:spacing w:after="0" w:line="240"/>
              <w:jc w:val="left"/>
            </w:pPr>
            <w:r>
              <w:rPr>
                <w:b w:val="false"/>
                <w:bCs w:val="false"/>
                <w:color w:val="000000"/>
                <w:sz w:val="19"/>
                <w:szCs w:val="19"/>
              </w:rPr>
              <w:t xml:space="preserve">Baja-moderada</w:t>
            </w:r>
          </w:p>
        </w:tc>
      </w:tr>
    </w:tbl>
    <w:p>
      <w:pPr>
        <w:pStyle w:val="Heading1"/>
        <w:spacing w:after="140" w:before="300"/>
      </w:pPr>
      <w:r>
        <w:rPr>
          <w:b/>
          <w:bCs/>
        </w:rPr>
        <w:t xml:space="preserve">5. Modelo de regresión lineal múltiple</w:t>
      </w:r>
    </w:p>
    <w:p>
      <w:pPr>
        <w:pStyle w:val="Heading2"/>
        <w:spacing w:after="100" w:before="220"/>
      </w:pPr>
      <w:r>
        <w:rPr>
          <w:b/>
          <w:bCs/>
        </w:rPr>
        <w:t xml:space="preserve">5.1 Especificación</w:t>
      </w:r>
    </w:p>
    <w:p>
      <w:pPr>
        <w:spacing w:after="140" w:line="276"/>
        <w:jc w:val="both"/>
      </w:pPr>
      <w:r>
        <w:t xml:space="preserve">Se estima por mínimos cuadrados ordinarios un modelo de la forma </w:t>
      </w:r>
      <w:r>
        <w:rPr>
          <w:i/>
          <w:iCs/>
        </w:rPr>
        <w:t xml:space="preserve">log_precio ~ log_area + habitaciones + banos + garajes + C(estrato) + C(zone) + C(antiguedad)</w:t>
      </w:r>
      <w:r>
        <w:t xml:space="preserve">. El uso de logaritmos en la variable dependiente y en el área confiere a los coeficientes una lectura de elasticidad y de cambio porcentual. Las categorías de referencia (absorbidas en el intercepto) son el </w:t>
      </w:r>
      <w:r>
        <w:rPr>
          <w:b/>
          <w:bCs/>
        </w:rPr>
        <w:t xml:space="preserve">estrato 2</w:t>
      </w:r>
      <w:r>
        <w:t xml:space="preserve"> (el estrato 1 se excluyó en la limpieza, §2.2, por ser un error de clasificación, de modo que el estrato 2 es la referencia natural), la zona Centro y la antigüedad “Entre 0 y 5 años”. Además, dado que el diagnóstico de la §5.3 confirma heterocedasticidad, la inferencia sobre los coeficientes se realiza con </w:t>
      </w:r>
      <w:r>
        <w:rPr>
          <w:b/>
          <w:bCs/>
        </w:rPr>
        <w:t xml:space="preserve">errores estándar robustos (HC3)</w:t>
      </w:r>
      <w:r>
        <w:t xml:space="preserve">.</w:t>
      </w:r>
    </w:p>
    <w:p>
      <w:pPr>
        <w:pStyle w:val="Heading2"/>
        <w:spacing w:after="100" w:before="220"/>
      </w:pPr>
      <w:r>
        <w:rPr>
          <w:b/>
          <w:bCs/>
        </w:rPr>
        <w:t xml:space="preserve">5.2 Resultados y coeficientes</w:t>
      </w:r>
    </w:p>
    <w:p>
      <w:pPr>
        <w:spacing w:after="80" w:line="276"/>
        <w:jc w:val="both"/>
      </w:pPr>
      <w:r>
        <w:t xml:space="preserve">Antes de interpretar el modelo final conviene mostrar cuánto aportan las decisiones de modelado. La Tabla 7 contrasta un </w:t>
      </w:r>
      <w:r>
        <w:rPr>
          <w:b/>
          <w:bCs/>
        </w:rPr>
        <w:t xml:space="preserve">modelo ingenuo</w:t>
      </w:r>
      <w:r>
        <w:t xml:space="preserve"> —el precio en pesos, con el área sin transformar— frente al </w:t>
      </w:r>
      <w:r>
        <w:rPr>
          <w:b/>
          <w:bCs/>
        </w:rPr>
        <w:t xml:space="preserve">modelo final</w:t>
      </w:r>
      <w:r>
        <w:t xml:space="preserve"> en logaritmo y con variables categóricas (dummies). El salto es notable: el R² pasa de 0,663 a 0,869 y el número de condición cae de 4.893 (multicolinealidad severa, agravada por la escala de las variables sin transformar) a 141. Además, los residuos del modelo final son mucho más cercanos a la normal (asimetría de 2,07 a 0,30; curtosis de 15,7 a 5,3), lo que valida las decisiones de la sección 2.3.</w:t>
      </w:r>
    </w:p>
    <w:p>
      <w:pPr>
        <w:pStyle w:val="Caption"/>
        <w:spacing w:after="60" w:before="120"/>
        <w:jc w:val="center"/>
      </w:pPr>
      <w:r>
        <w:rPr>
          <w:i/>
          <w:iCs/>
        </w:rPr>
        <w:t xml:space="preserve">Tabla 7. Comparación entre el modelo ingenuo (precio en pesos) y el modelo final (logaritmo + dummies).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shd w:fill="1F3864" w:color="auto" w:val="clear"/>
            <w:tcMar>
              <w:top w:type="dxa" w:w="40"/>
              <w:left w:type="dxa" w:w="80"/>
              <w:bottom w:type="dxa" w:w="40"/>
              <w:right w:type="dxa" w:w="80"/>
            </w:tcMar>
          </w:tcPr>
          <w:p>
            <w:pPr>
              <w:spacing w:after="0" w:line="240"/>
              <w:jc w:val="left"/>
            </w:pPr>
            <w:r>
              <w:rPr>
                <w:b/>
                <w:bCs/>
                <w:color w:val="FFFFFF"/>
                <w:sz w:val="19"/>
                <w:szCs w:val="19"/>
              </w:rPr>
              <w:t xml:space="preserve">Indicador</w:t>
            </w:r>
          </w:p>
        </w:tc>
        <w:tc>
          <w:tcPr>
            <w:tcW w:type="dxa" w:w="2700"/>
            <w:shd w:fill="1F3864" w:color="auto" w:val="clear"/>
            <w:tcMar>
              <w:top w:type="dxa" w:w="40"/>
              <w:left w:type="dxa" w:w="80"/>
              <w:bottom w:type="dxa" w:w="40"/>
              <w:right w:type="dxa" w:w="80"/>
            </w:tcMar>
          </w:tcPr>
          <w:p>
            <w:pPr>
              <w:spacing w:after="0" w:line="240"/>
              <w:jc w:val="right"/>
            </w:pPr>
            <w:r>
              <w:rPr>
                <w:b/>
                <w:bCs/>
                <w:color w:val="FFFFFF"/>
                <w:sz w:val="19"/>
                <w:szCs w:val="19"/>
              </w:rPr>
              <w:t xml:space="preserve">Modelo ingenuo (pesos)</w:t>
            </w:r>
          </w:p>
        </w:tc>
        <w:tc>
          <w:tcPr>
            <w:tcW w:type="dxa" w:w="2700"/>
            <w:shd w:fill="1F3864" w:color="auto" w:val="clear"/>
            <w:tcMar>
              <w:top w:type="dxa" w:w="40"/>
              <w:left w:type="dxa" w:w="80"/>
              <w:bottom w:type="dxa" w:w="40"/>
              <w:right w:type="dxa" w:w="80"/>
            </w:tcMar>
          </w:tcPr>
          <w:p>
            <w:pPr>
              <w:spacing w:after="0" w:line="240"/>
              <w:jc w:val="right"/>
            </w:pPr>
            <w:r>
              <w:rPr>
                <w:b/>
                <w:bCs/>
                <w:color w:val="FFFFFF"/>
                <w:sz w:val="19"/>
                <w:szCs w:val="19"/>
              </w:rPr>
              <w:t xml:space="preserve">Modelo final (log + dummies)</w:t>
            </w:r>
          </w:p>
        </w:tc>
      </w:tr>
      <w:tr>
        <w:tc>
          <w:tcPr>
            <w:tcW w:type="dxa" w:w="3960"/>
            <w:tcMar>
              <w:top w:type="dxa" w:w="40"/>
              <w:left w:type="dxa" w:w="80"/>
              <w:bottom w:type="dxa" w:w="40"/>
              <w:right w:type="dxa" w:w="80"/>
            </w:tcMar>
          </w:tcPr>
          <w:p>
            <w:pPr>
              <w:spacing w:after="0" w:line="240"/>
              <w:jc w:val="left"/>
            </w:pPr>
            <w:r>
              <w:rPr>
                <w:b w:val="false"/>
                <w:bCs w:val="false"/>
                <w:color w:val="000000"/>
                <w:sz w:val="19"/>
                <w:szCs w:val="19"/>
              </w:rPr>
              <w:t xml:space="preserve">R²</w:t>
            </w:r>
          </w:p>
        </w:tc>
        <w:tc>
          <w:tcPr>
            <w:tcW w:type="dxa" w:w="2700"/>
            <w:tcMar>
              <w:top w:type="dxa" w:w="40"/>
              <w:left w:type="dxa" w:w="80"/>
              <w:bottom w:type="dxa" w:w="40"/>
              <w:right w:type="dxa" w:w="80"/>
            </w:tcMar>
          </w:tcPr>
          <w:p>
            <w:pPr>
              <w:spacing w:after="0" w:line="240"/>
              <w:jc w:val="right"/>
            </w:pPr>
            <w:r>
              <w:rPr>
                <w:b w:val="false"/>
                <w:bCs w:val="false"/>
                <w:color w:val="000000"/>
                <w:sz w:val="19"/>
                <w:szCs w:val="19"/>
              </w:rPr>
              <w:t xml:space="preserve">0,663</w:t>
            </w:r>
          </w:p>
        </w:tc>
        <w:tc>
          <w:tcPr>
            <w:tcW w:type="dxa" w:w="2700"/>
            <w:tcMar>
              <w:top w:type="dxa" w:w="40"/>
              <w:left w:type="dxa" w:w="80"/>
              <w:bottom w:type="dxa" w:w="40"/>
              <w:right w:type="dxa" w:w="80"/>
            </w:tcMar>
          </w:tcPr>
          <w:p>
            <w:pPr>
              <w:spacing w:after="0" w:line="240"/>
              <w:jc w:val="right"/>
            </w:pPr>
            <w:r>
              <w:rPr>
                <w:b w:val="false"/>
                <w:bCs w:val="false"/>
                <w:color w:val="000000"/>
                <w:sz w:val="19"/>
                <w:szCs w:val="19"/>
              </w:rPr>
              <w:t xml:space="preserve">0,869</w:t>
            </w:r>
          </w:p>
        </w:tc>
      </w:tr>
      <w:tr>
        <w:tc>
          <w:tcPr>
            <w:tcW w:type="dxa" w:w="39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R² ajustado</w:t>
            </w:r>
          </w:p>
        </w:tc>
        <w:tc>
          <w:tcPr>
            <w:tcW w:type="dxa" w:w="27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0,663</w:t>
            </w:r>
          </w:p>
        </w:tc>
        <w:tc>
          <w:tcPr>
            <w:tcW w:type="dxa" w:w="27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0,869</w:t>
            </w:r>
          </w:p>
        </w:tc>
      </w:tr>
      <w:tr>
        <w:tc>
          <w:tcPr>
            <w:tcW w:type="dxa" w:w="3960"/>
            <w:tcMar>
              <w:top w:type="dxa" w:w="40"/>
              <w:left w:type="dxa" w:w="80"/>
              <w:bottom w:type="dxa" w:w="40"/>
              <w:right w:type="dxa" w:w="80"/>
            </w:tcMar>
          </w:tcPr>
          <w:p>
            <w:pPr>
              <w:spacing w:after="0" w:line="240"/>
              <w:jc w:val="left"/>
            </w:pPr>
            <w:r>
              <w:rPr>
                <w:b w:val="false"/>
                <w:bCs w:val="false"/>
                <w:color w:val="000000"/>
                <w:sz w:val="19"/>
                <w:szCs w:val="19"/>
              </w:rPr>
              <w:t xml:space="preserve">Número de condición</w:t>
            </w:r>
          </w:p>
        </w:tc>
        <w:tc>
          <w:tcPr>
            <w:tcW w:type="dxa" w:w="2700"/>
            <w:tcMar>
              <w:top w:type="dxa" w:w="40"/>
              <w:left w:type="dxa" w:w="80"/>
              <w:bottom w:type="dxa" w:w="40"/>
              <w:right w:type="dxa" w:w="80"/>
            </w:tcMar>
          </w:tcPr>
          <w:p>
            <w:pPr>
              <w:spacing w:after="0" w:line="240"/>
              <w:jc w:val="right"/>
            </w:pPr>
            <w:r>
              <w:rPr>
                <w:b w:val="false"/>
                <w:bCs w:val="false"/>
                <w:color w:val="000000"/>
                <w:sz w:val="19"/>
                <w:szCs w:val="19"/>
              </w:rPr>
              <w:t xml:space="preserve">4.893 (multicolinealidad severa)</w:t>
            </w:r>
          </w:p>
        </w:tc>
        <w:tc>
          <w:tcPr>
            <w:tcW w:type="dxa" w:w="2700"/>
            <w:tcMar>
              <w:top w:type="dxa" w:w="40"/>
              <w:left w:type="dxa" w:w="80"/>
              <w:bottom w:type="dxa" w:w="40"/>
              <w:right w:type="dxa" w:w="80"/>
            </w:tcMar>
          </w:tcPr>
          <w:p>
            <w:pPr>
              <w:spacing w:after="0" w:line="240"/>
              <w:jc w:val="right"/>
            </w:pPr>
            <w:r>
              <w:rPr>
                <w:b w:val="false"/>
                <w:bCs w:val="false"/>
                <w:color w:val="000000"/>
                <w:sz w:val="19"/>
                <w:szCs w:val="19"/>
              </w:rPr>
              <w:t xml:space="preserve">141 (aceptable)</w:t>
            </w:r>
          </w:p>
        </w:tc>
      </w:tr>
      <w:tr>
        <w:tc>
          <w:tcPr>
            <w:tcW w:type="dxa" w:w="39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Curtosis de los residuos</w:t>
            </w:r>
          </w:p>
        </w:tc>
        <w:tc>
          <w:tcPr>
            <w:tcW w:type="dxa" w:w="27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15,7</w:t>
            </w:r>
          </w:p>
        </w:tc>
        <w:tc>
          <w:tcPr>
            <w:tcW w:type="dxa" w:w="27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5,3</w:t>
            </w:r>
          </w:p>
        </w:tc>
      </w:tr>
      <w:tr>
        <w:tc>
          <w:tcPr>
            <w:tcW w:type="dxa" w:w="3960"/>
            <w:tcMar>
              <w:top w:type="dxa" w:w="40"/>
              <w:left w:type="dxa" w:w="80"/>
              <w:bottom w:type="dxa" w:w="40"/>
              <w:right w:type="dxa" w:w="80"/>
            </w:tcMar>
          </w:tcPr>
          <w:p>
            <w:pPr>
              <w:spacing w:after="0" w:line="240"/>
              <w:jc w:val="left"/>
            </w:pPr>
            <w:r>
              <w:rPr>
                <w:b w:val="false"/>
                <w:bCs w:val="false"/>
                <w:color w:val="000000"/>
                <w:sz w:val="19"/>
                <w:szCs w:val="19"/>
              </w:rPr>
              <w:t xml:space="preserve">Asimetría de los residuos</w:t>
            </w:r>
          </w:p>
        </w:tc>
        <w:tc>
          <w:tcPr>
            <w:tcW w:type="dxa" w:w="2700"/>
            <w:tcMar>
              <w:top w:type="dxa" w:w="40"/>
              <w:left w:type="dxa" w:w="80"/>
              <w:bottom w:type="dxa" w:w="40"/>
              <w:right w:type="dxa" w:w="80"/>
            </w:tcMar>
          </w:tcPr>
          <w:p>
            <w:pPr>
              <w:spacing w:after="0" w:line="240"/>
              <w:jc w:val="right"/>
            </w:pPr>
            <w:r>
              <w:rPr>
                <w:b w:val="false"/>
                <w:bCs w:val="false"/>
                <w:color w:val="000000"/>
                <w:sz w:val="19"/>
                <w:szCs w:val="19"/>
              </w:rPr>
              <w:t xml:space="preserve">2,07</w:t>
            </w:r>
          </w:p>
        </w:tc>
        <w:tc>
          <w:tcPr>
            <w:tcW w:type="dxa" w:w="2700"/>
            <w:tcMar>
              <w:top w:type="dxa" w:w="40"/>
              <w:left w:type="dxa" w:w="80"/>
              <w:bottom w:type="dxa" w:w="40"/>
              <w:right w:type="dxa" w:w="80"/>
            </w:tcMar>
          </w:tcPr>
          <w:p>
            <w:pPr>
              <w:spacing w:after="0" w:line="240"/>
              <w:jc w:val="right"/>
            </w:pPr>
            <w:r>
              <w:rPr>
                <w:b w:val="false"/>
                <w:bCs w:val="false"/>
                <w:color w:val="000000"/>
                <w:sz w:val="19"/>
                <w:szCs w:val="19"/>
              </w:rPr>
              <w:t xml:space="preserve">0,30</w:t>
            </w:r>
          </w:p>
        </w:tc>
      </w:tr>
    </w:tbl>
    <w:p>
      <w:pPr>
        <w:spacing w:after="80" w:line="276"/>
        <w:jc w:val="both"/>
      </w:pPr>
      <w:r>
        <w:t xml:space="preserve">El modelo final explica el </w:t>
      </w:r>
      <w:r>
        <w:rPr>
          <w:b/>
          <w:bCs/>
        </w:rPr>
        <w:t xml:space="preserve">86,9 % de la variabilidad</w:t>
      </w:r>
      <w:r>
        <w:t xml:space="preserve"> del log-precio (R² = 0,869; R² ajustado = 0,869; F = 3.235; n = 9.284). Como la variable dependiente está en logaritmo, cada coeficiente se traduce a un cambio porcentual sobre el precio; por ejemplo, un coeficiente de 0,082 equivale a un aumento de +8,5 %. La Tabla 8 muestra directamente ese efecto porcentual para los coeficientes más relevantes.</w:t>
      </w:r>
    </w:p>
    <w:p>
      <w:pPr>
        <w:pStyle w:val="Caption"/>
        <w:spacing w:after="60" w:before="120"/>
        <w:jc w:val="center"/>
      </w:pPr>
      <w:r>
        <w:rPr>
          <w:i/>
          <w:iCs/>
        </w:rPr>
        <w:t xml:space="preserve">Tabla 8. Interpretación de coeficientes seleccionados del modelo de regresión.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shd w:fill="1F3864" w:color="auto" w:val="clear"/>
            <w:tcMar>
              <w:top w:type="dxa" w:w="40"/>
              <w:left w:type="dxa" w:w="80"/>
              <w:bottom w:type="dxa" w:w="40"/>
              <w:right w:type="dxa" w:w="80"/>
            </w:tcMar>
          </w:tcPr>
          <w:p>
            <w:pPr>
              <w:spacing w:after="0" w:line="240"/>
              <w:jc w:val="left"/>
            </w:pPr>
            <w:r>
              <w:rPr>
                <w:b/>
                <w:bCs/>
                <w:color w:val="FFFFFF"/>
                <w:sz w:val="19"/>
                <w:szCs w:val="19"/>
              </w:rPr>
              <w:t xml:space="preserve">Variable</w:t>
            </w:r>
          </w:p>
        </w:tc>
        <w:tc>
          <w:tcPr>
            <w:tcW w:type="dxa" w:w="2000"/>
            <w:shd w:fill="1F3864" w:color="auto" w:val="clear"/>
            <w:tcMar>
              <w:top w:type="dxa" w:w="40"/>
              <w:left w:type="dxa" w:w="80"/>
              <w:bottom w:type="dxa" w:w="40"/>
              <w:right w:type="dxa" w:w="80"/>
            </w:tcMar>
          </w:tcPr>
          <w:p>
            <w:pPr>
              <w:spacing w:after="0" w:line="240"/>
              <w:jc w:val="right"/>
            </w:pPr>
            <w:r>
              <w:rPr>
                <w:b/>
                <w:bCs/>
                <w:color w:val="FFFFFF"/>
                <w:sz w:val="19"/>
                <w:szCs w:val="19"/>
              </w:rPr>
              <w:t xml:space="preserve">Coef. (log)</w:t>
            </w:r>
          </w:p>
        </w:tc>
        <w:tc>
          <w:tcPr>
            <w:tcW w:type="dxa" w:w="3960"/>
            <w:shd w:fill="1F3864" w:color="auto" w:val="clear"/>
            <w:tcMar>
              <w:top w:type="dxa" w:w="40"/>
              <w:left w:type="dxa" w:w="80"/>
              <w:bottom w:type="dxa" w:w="40"/>
              <w:right w:type="dxa" w:w="80"/>
            </w:tcMar>
          </w:tcPr>
          <w:p>
            <w:pPr>
              <w:spacing w:after="0" w:line="240"/>
              <w:jc w:val="left"/>
            </w:pPr>
            <w:r>
              <w:rPr>
                <w:b/>
                <w:bCs/>
                <w:color w:val="FFFFFF"/>
                <w:sz w:val="19"/>
                <w:szCs w:val="19"/>
              </w:rPr>
              <w:t xml:space="preserve">Efecto sobre el precio</w:t>
            </w:r>
          </w:p>
        </w:tc>
      </w:tr>
      <w:tr>
        <w:tc>
          <w:tcPr>
            <w:tcW w:type="dxa" w:w="3400"/>
            <w:tcMar>
              <w:top w:type="dxa" w:w="40"/>
              <w:left w:type="dxa" w:w="80"/>
              <w:bottom w:type="dxa" w:w="40"/>
              <w:right w:type="dxa" w:w="80"/>
            </w:tcMar>
          </w:tcPr>
          <w:p>
            <w:pPr>
              <w:spacing w:after="0" w:line="240"/>
              <w:jc w:val="left"/>
            </w:pPr>
            <w:r>
              <w:rPr>
                <w:b w:val="false"/>
                <w:bCs w:val="false"/>
                <w:color w:val="000000"/>
                <w:sz w:val="19"/>
                <w:szCs w:val="19"/>
              </w:rPr>
              <w:t xml:space="preserve">log_area (elasticidad)</w:t>
            </w:r>
          </w:p>
        </w:tc>
        <w:tc>
          <w:tcPr>
            <w:tcW w:type="dxa" w:w="2000"/>
            <w:tcMar>
              <w:top w:type="dxa" w:w="40"/>
              <w:left w:type="dxa" w:w="80"/>
              <w:bottom w:type="dxa" w:w="40"/>
              <w:right w:type="dxa" w:w="80"/>
            </w:tcMar>
          </w:tcPr>
          <w:p>
            <w:pPr>
              <w:spacing w:after="0" w:line="240"/>
              <w:jc w:val="right"/>
            </w:pPr>
            <w:r>
              <w:rPr>
                <w:b w:val="false"/>
                <w:bCs w:val="false"/>
                <w:color w:val="000000"/>
                <w:sz w:val="19"/>
                <w:szCs w:val="19"/>
              </w:rPr>
              <w:t xml:space="preserve">0,693</w:t>
            </w:r>
          </w:p>
        </w:tc>
        <w:tc>
          <w:tcPr>
            <w:tcW w:type="dxa" w:w="3960"/>
            <w:tcMar>
              <w:top w:type="dxa" w:w="40"/>
              <w:left w:type="dxa" w:w="80"/>
              <w:bottom w:type="dxa" w:w="40"/>
              <w:right w:type="dxa" w:w="80"/>
            </w:tcMar>
          </w:tcPr>
          <w:p>
            <w:pPr>
              <w:spacing w:after="0" w:line="240"/>
              <w:jc w:val="left"/>
            </w:pPr>
            <w:r>
              <w:rPr>
                <w:b w:val="false"/>
                <w:bCs w:val="false"/>
                <w:color w:val="000000"/>
                <w:sz w:val="19"/>
                <w:szCs w:val="19"/>
              </w:rPr>
              <w:t xml:space="preserve">+10 % de área → +6,9 % de precio</w:t>
            </w:r>
          </w:p>
        </w:tc>
      </w:tr>
      <w:tr>
        <w:tc>
          <w:tcPr>
            <w:tcW w:type="dxa" w:w="34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Estrato 3 (vs. estrato 2)</w:t>
            </w:r>
          </w:p>
        </w:tc>
        <w:tc>
          <w:tcPr>
            <w:tcW w:type="dxa" w:w="20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0,177</w:t>
            </w:r>
          </w:p>
        </w:tc>
        <w:tc>
          <w:tcPr>
            <w:tcW w:type="dxa" w:w="39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+19,4 %</w:t>
            </w:r>
          </w:p>
        </w:tc>
      </w:tr>
      <w:tr>
        <w:tc>
          <w:tcPr>
            <w:tcW w:type="dxa" w:w="3400"/>
            <w:tcMar>
              <w:top w:type="dxa" w:w="40"/>
              <w:left w:type="dxa" w:w="80"/>
              <w:bottom w:type="dxa" w:w="40"/>
              <w:right w:type="dxa" w:w="80"/>
            </w:tcMar>
          </w:tcPr>
          <w:p>
            <w:pPr>
              <w:spacing w:after="0" w:line="240"/>
              <w:jc w:val="left"/>
            </w:pPr>
            <w:r>
              <w:rPr>
                <w:b w:val="false"/>
                <w:bCs w:val="false"/>
                <w:color w:val="000000"/>
                <w:sz w:val="19"/>
                <w:szCs w:val="19"/>
              </w:rPr>
              <w:t xml:space="preserve">Estrato 4 (vs. estrato 2)</w:t>
            </w:r>
          </w:p>
        </w:tc>
        <w:tc>
          <w:tcPr>
            <w:tcW w:type="dxa" w:w="2000"/>
            <w:tcMar>
              <w:top w:type="dxa" w:w="40"/>
              <w:left w:type="dxa" w:w="80"/>
              <w:bottom w:type="dxa" w:w="40"/>
              <w:right w:type="dxa" w:w="80"/>
            </w:tcMar>
          </w:tcPr>
          <w:p>
            <w:pPr>
              <w:spacing w:after="0" w:line="240"/>
              <w:jc w:val="right"/>
            </w:pPr>
            <w:r>
              <w:rPr>
                <w:b w:val="false"/>
                <w:bCs w:val="false"/>
                <w:color w:val="000000"/>
                <w:sz w:val="19"/>
                <w:szCs w:val="19"/>
              </w:rPr>
              <w:t xml:space="preserve">0,369</w:t>
            </w:r>
          </w:p>
        </w:tc>
        <w:tc>
          <w:tcPr>
            <w:tcW w:type="dxa" w:w="3960"/>
            <w:tcMar>
              <w:top w:type="dxa" w:w="40"/>
              <w:left w:type="dxa" w:w="80"/>
              <w:bottom w:type="dxa" w:w="40"/>
              <w:right w:type="dxa" w:w="80"/>
            </w:tcMar>
          </w:tcPr>
          <w:p>
            <w:pPr>
              <w:spacing w:after="0" w:line="240"/>
              <w:jc w:val="left"/>
            </w:pPr>
            <w:r>
              <w:rPr>
                <w:b w:val="false"/>
                <w:bCs w:val="false"/>
                <w:color w:val="000000"/>
                <w:sz w:val="19"/>
                <w:szCs w:val="19"/>
              </w:rPr>
              <w:t xml:space="preserve">+44,6 %</w:t>
            </w:r>
          </w:p>
        </w:tc>
      </w:tr>
      <w:tr>
        <w:tc>
          <w:tcPr>
            <w:tcW w:type="dxa" w:w="34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Estrato 5 (vs. estrato 2)</w:t>
            </w:r>
          </w:p>
        </w:tc>
        <w:tc>
          <w:tcPr>
            <w:tcW w:type="dxa" w:w="20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0,474</w:t>
            </w:r>
          </w:p>
        </w:tc>
        <w:tc>
          <w:tcPr>
            <w:tcW w:type="dxa" w:w="39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+60,7 %</w:t>
            </w:r>
          </w:p>
        </w:tc>
      </w:tr>
      <w:tr>
        <w:tc>
          <w:tcPr>
            <w:tcW w:type="dxa" w:w="3400"/>
            <w:tcMar>
              <w:top w:type="dxa" w:w="40"/>
              <w:left w:type="dxa" w:w="80"/>
              <w:bottom w:type="dxa" w:w="40"/>
              <w:right w:type="dxa" w:w="80"/>
            </w:tcMar>
          </w:tcPr>
          <w:p>
            <w:pPr>
              <w:spacing w:after="0" w:line="240"/>
              <w:jc w:val="left"/>
            </w:pPr>
            <w:r>
              <w:rPr>
                <w:b w:val="false"/>
                <w:bCs w:val="false"/>
                <w:color w:val="000000"/>
                <w:sz w:val="19"/>
                <w:szCs w:val="19"/>
              </w:rPr>
              <w:t xml:space="preserve">Estrato 6 (vs. estrato 2)</w:t>
            </w:r>
          </w:p>
        </w:tc>
        <w:tc>
          <w:tcPr>
            <w:tcW w:type="dxa" w:w="2000"/>
            <w:tcMar>
              <w:top w:type="dxa" w:w="40"/>
              <w:left w:type="dxa" w:w="80"/>
              <w:bottom w:type="dxa" w:w="40"/>
              <w:right w:type="dxa" w:w="80"/>
            </w:tcMar>
          </w:tcPr>
          <w:p>
            <w:pPr>
              <w:spacing w:after="0" w:line="240"/>
              <w:jc w:val="right"/>
            </w:pPr>
            <w:r>
              <w:rPr>
                <w:b w:val="false"/>
                <w:bCs w:val="false"/>
                <w:color w:val="000000"/>
                <w:sz w:val="19"/>
                <w:szCs w:val="19"/>
              </w:rPr>
              <w:t xml:space="preserve">0,691</w:t>
            </w:r>
          </w:p>
        </w:tc>
        <w:tc>
          <w:tcPr>
            <w:tcW w:type="dxa" w:w="3960"/>
            <w:tcMar>
              <w:top w:type="dxa" w:w="40"/>
              <w:left w:type="dxa" w:w="80"/>
              <w:bottom w:type="dxa" w:w="40"/>
              <w:right w:type="dxa" w:w="80"/>
            </w:tcMar>
          </w:tcPr>
          <w:p>
            <w:pPr>
              <w:spacing w:after="0" w:line="240"/>
              <w:jc w:val="left"/>
            </w:pPr>
            <w:r>
              <w:rPr>
                <w:b w:val="false"/>
                <w:bCs w:val="false"/>
                <w:color w:val="000000"/>
                <w:sz w:val="19"/>
                <w:szCs w:val="19"/>
              </w:rPr>
              <w:t xml:space="preserve">+99,6 %</w:t>
            </w:r>
          </w:p>
        </w:tc>
      </w:tr>
      <w:tr>
        <w:tc>
          <w:tcPr>
            <w:tcW w:type="dxa" w:w="34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Cada garaje adicional</w:t>
            </w:r>
          </w:p>
        </w:tc>
        <w:tc>
          <w:tcPr>
            <w:tcW w:type="dxa" w:w="20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0,082</w:t>
            </w:r>
          </w:p>
        </w:tc>
        <w:tc>
          <w:tcPr>
            <w:tcW w:type="dxa" w:w="39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+8,5 %</w:t>
            </w:r>
          </w:p>
        </w:tc>
      </w:tr>
      <w:tr>
        <w:tc>
          <w:tcPr>
            <w:tcW w:type="dxa" w:w="3400"/>
            <w:tcMar>
              <w:top w:type="dxa" w:w="40"/>
              <w:left w:type="dxa" w:w="80"/>
              <w:bottom w:type="dxa" w:w="40"/>
              <w:right w:type="dxa" w:w="80"/>
            </w:tcMar>
          </w:tcPr>
          <w:p>
            <w:pPr>
              <w:spacing w:after="0" w:line="240"/>
              <w:jc w:val="left"/>
            </w:pPr>
            <w:r>
              <w:rPr>
                <w:b w:val="false"/>
                <w:bCs w:val="false"/>
                <w:color w:val="000000"/>
                <w:sz w:val="19"/>
                <w:szCs w:val="19"/>
              </w:rPr>
              <w:t xml:space="preserve">Cada baño adicional</w:t>
            </w:r>
          </w:p>
        </w:tc>
        <w:tc>
          <w:tcPr>
            <w:tcW w:type="dxa" w:w="2000"/>
            <w:tcMar>
              <w:top w:type="dxa" w:w="40"/>
              <w:left w:type="dxa" w:w="80"/>
              <w:bottom w:type="dxa" w:w="40"/>
              <w:right w:type="dxa" w:w="80"/>
            </w:tcMar>
          </w:tcPr>
          <w:p>
            <w:pPr>
              <w:spacing w:after="0" w:line="240"/>
              <w:jc w:val="right"/>
            </w:pPr>
            <w:r>
              <w:rPr>
                <w:b w:val="false"/>
                <w:bCs w:val="false"/>
                <w:color w:val="000000"/>
                <w:sz w:val="19"/>
                <w:szCs w:val="19"/>
              </w:rPr>
              <w:t xml:space="preserve">0,063</w:t>
            </w:r>
          </w:p>
        </w:tc>
        <w:tc>
          <w:tcPr>
            <w:tcW w:type="dxa" w:w="3960"/>
            <w:tcMar>
              <w:top w:type="dxa" w:w="40"/>
              <w:left w:type="dxa" w:w="80"/>
              <w:bottom w:type="dxa" w:w="40"/>
              <w:right w:type="dxa" w:w="80"/>
            </w:tcMar>
          </w:tcPr>
          <w:p>
            <w:pPr>
              <w:spacing w:after="0" w:line="240"/>
              <w:jc w:val="left"/>
            </w:pPr>
            <w:r>
              <w:rPr>
                <w:b w:val="false"/>
                <w:bCs w:val="false"/>
                <w:color w:val="000000"/>
                <w:sz w:val="19"/>
                <w:szCs w:val="19"/>
              </w:rPr>
              <w:t xml:space="preserve">+6,5 %</w:t>
            </w:r>
          </w:p>
        </w:tc>
      </w:tr>
      <w:tr>
        <w:tc>
          <w:tcPr>
            <w:tcW w:type="dxa" w:w="34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Cada habitación adicional (a igual área)</w:t>
            </w:r>
          </w:p>
        </w:tc>
        <w:tc>
          <w:tcPr>
            <w:tcW w:type="dxa" w:w="20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−0,045</w:t>
            </w:r>
          </w:p>
        </w:tc>
        <w:tc>
          <w:tcPr>
            <w:tcW w:type="dxa" w:w="39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−4,4 %</w:t>
            </w:r>
          </w:p>
        </w:tc>
      </w:tr>
      <w:tr>
        <w:tc>
          <w:tcPr>
            <w:tcW w:type="dxa" w:w="3400"/>
            <w:tcMar>
              <w:top w:type="dxa" w:w="40"/>
              <w:left w:type="dxa" w:w="80"/>
              <w:bottom w:type="dxa" w:w="40"/>
              <w:right w:type="dxa" w:w="80"/>
            </w:tcMar>
          </w:tcPr>
          <w:p>
            <w:pPr>
              <w:spacing w:after="0" w:line="240"/>
              <w:jc w:val="left"/>
            </w:pPr>
            <w:r>
              <w:rPr>
                <w:b w:val="false"/>
                <w:bCs w:val="false"/>
                <w:color w:val="000000"/>
                <w:sz w:val="19"/>
                <w:szCs w:val="19"/>
              </w:rPr>
              <w:t xml:space="preserve">Zona Sur (vs. Centro)</w:t>
            </w:r>
          </w:p>
        </w:tc>
        <w:tc>
          <w:tcPr>
            <w:tcW w:type="dxa" w:w="2000"/>
            <w:tcMar>
              <w:top w:type="dxa" w:w="40"/>
              <w:left w:type="dxa" w:w="80"/>
              <w:bottom w:type="dxa" w:w="40"/>
              <w:right w:type="dxa" w:w="80"/>
            </w:tcMar>
          </w:tcPr>
          <w:p>
            <w:pPr>
              <w:spacing w:after="0" w:line="240"/>
              <w:jc w:val="right"/>
            </w:pPr>
            <w:r>
              <w:rPr>
                <w:b w:val="false"/>
                <w:bCs w:val="false"/>
                <w:color w:val="000000"/>
                <w:sz w:val="19"/>
                <w:szCs w:val="19"/>
              </w:rPr>
              <w:t xml:space="preserve">−0,510</w:t>
            </w:r>
          </w:p>
        </w:tc>
        <w:tc>
          <w:tcPr>
            <w:tcW w:type="dxa" w:w="3960"/>
            <w:tcMar>
              <w:top w:type="dxa" w:w="40"/>
              <w:left w:type="dxa" w:w="80"/>
              <w:bottom w:type="dxa" w:w="40"/>
              <w:right w:type="dxa" w:w="80"/>
            </w:tcMar>
          </w:tcPr>
          <w:p>
            <w:pPr>
              <w:spacing w:after="0" w:line="240"/>
              <w:jc w:val="left"/>
            </w:pPr>
            <w:r>
              <w:rPr>
                <w:b w:val="false"/>
                <w:bCs w:val="false"/>
                <w:color w:val="000000"/>
                <w:sz w:val="19"/>
                <w:szCs w:val="19"/>
              </w:rPr>
              <w:t xml:space="preserve">−39,9 %</w:t>
            </w:r>
          </w:p>
        </w:tc>
      </w:tr>
      <w:tr>
        <w:tc>
          <w:tcPr>
            <w:tcW w:type="dxa" w:w="34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Zona Guaymaral (vs. Centro)</w:t>
            </w:r>
          </w:p>
        </w:tc>
        <w:tc>
          <w:tcPr>
            <w:tcW w:type="dxa" w:w="20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−0,493</w:t>
            </w:r>
          </w:p>
        </w:tc>
        <w:tc>
          <w:tcPr>
            <w:tcW w:type="dxa" w:w="39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−38,9 %</w:t>
            </w:r>
          </w:p>
        </w:tc>
      </w:tr>
    </w:tbl>
    <w:p>
      <w:pPr>
        <w:spacing w:after="140" w:line="276"/>
        <w:jc w:val="both"/>
      </w:pPr>
      <w:r>
        <w:t xml:space="preserve">El área es el motor del precio, con una elasticidad de 0,693. Un hallazgo contraintuitivo y revelador es que, </w:t>
      </w:r>
      <w:r>
        <w:rPr>
          <w:b/>
          <w:bCs/>
        </w:rPr>
        <w:t xml:space="preserve">manteniendo el área constante</w:t>
      </w:r>
      <w:r>
        <w:t xml:space="preserve">, cada habitación adicional se asocia a un precio ligeramente menor (−4,4 %): a igual metraje, más habitaciones implican espacios más pequeños y menos deseables. El modelo captura así que el mercado paga por metros y amplitud, no por el número de cuartos. Como el estrato 1 se excluyó en la limpieza, la referencia natural es el </w:t>
      </w:r>
      <w:r>
        <w:rPr>
          <w:b/>
          <w:bCs/>
        </w:rPr>
        <w:t xml:space="preserve">estrato 2</w:t>
      </w:r>
      <w:r>
        <w:t xml:space="preserve">, y los coeficientes de estrato son directamente interpretables y </w:t>
      </w:r>
      <w:r>
        <w:rPr>
          <w:b/>
          <w:bCs/>
        </w:rPr>
        <w:t xml:space="preserve">crecientes</w:t>
      </w:r>
      <w:r>
        <w:t xml:space="preserve"> (estrato 3 +19,4 %, estrato 4 +44,6 %, estrato 5 +60,7 %, estrato 6 +99,6 %). Con </w:t>
      </w:r>
      <w:r>
        <w:rPr>
          <w:b/>
          <w:bCs/>
        </w:rPr>
        <w:t xml:space="preserve">errores robustos HC3</w:t>
      </w:r>
      <w:r>
        <w:t xml:space="preserve">, todos los predictores conservan su significancia al 5 % salvo la zona Chapinero, de modo que la heterocedasticidad no altera ninguna conclusión.</w:t>
      </w:r>
    </w:p>
    <w:p>
      <w:pPr>
        <w:pStyle w:val="Heading2"/>
        <w:spacing w:after="100" w:before="220"/>
      </w:pPr>
      <w:r>
        <w:rPr>
          <w:b/>
          <w:bCs/>
        </w:rPr>
        <w:t xml:space="preserve">5.3 Diagnóstico de supuestos</w:t>
      </w:r>
    </w:p>
    <w:p>
      <w:pPr>
        <w:spacing w:after="140" w:line="276"/>
        <w:jc w:val="both"/>
      </w:pPr>
      <w:r>
        <w:t xml:space="preserve">La Ilustración 22 y las pruebas formales evalúan los supuestos del modelo. La distribución de residuos es aproximadamente acampanada y centrada en cero (asimetría 0,30; curtosis 5,32), aunque Jarque-Bera rechaza la normalidad perfecta (p &lt; 0,001), algo esperable con casi 9.300 observaciones. Breusch-Pagan detecta heterocedasticidad (LM = 386,5; p &lt; 0,001), que la transformación logarítmica atenúa pero no elimina. Por ese motivo la inferencia sobre los coeficientes (§5.2) se reporta con </w:t>
      </w:r>
      <w:r>
        <w:rPr>
          <w:b/>
          <w:bCs/>
        </w:rPr>
        <w:t xml:space="preserve">errores estándar robustos a heterocedasticidad (HC3)</w:t>
      </w:r>
      <w:r>
        <w:t xml:space="preserve">: los estimadores puntuales no cambian y, aun con la corrección, todos los predictores siguen siendo significativos al 5 % salvo la zona Chapinero, por lo que las conclusiones se mantienen. El número de condición (141) indica una multicolinealidad baja-moderada, coherente con la fuerte asociación estrato–zona detectada en la sección 4.7. En conjunto, los supuestos se cumplen de forma razonable y la inferencia es sólida.</w:t>
      </w:r>
    </w:p>
    <w:p>
      <w:pPr>
        <w:spacing w:after="40" w:before="120"/>
        <w:jc w:val="center"/>
      </w:pPr>
      <w:r>
        <w:drawing>
          <wp:inline distT="0" distB="0" distL="0" distR="0">
            <wp:extent cx="585787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57875" cy="2038350"/>
                    </a:xfrm>
                    <a:prstGeom prst="rect">
                      <a:avLst/>
                    </a:prstGeom>
                  </pic:spPr>
                </pic:pic>
              </a:graphicData>
            </a:graphic>
          </wp:inline>
        </w:drawing>
      </w:r>
    </w:p>
    <w:p>
      <w:pPr>
        <w:pStyle w:val="Caption"/>
        <w:spacing w:after="200"/>
        <w:jc w:val="center"/>
      </w:pPr>
      <w:r>
        <w:rPr>
          <w:i/>
          <w:iCs/>
        </w:rPr>
        <w:t xml:space="preserve">Ilustración 22. Diagnóstico de la regresión: distribución de residuos (izquierda) y residuos vs. valores predichos (derecha).</w:t>
      </w:r>
    </w:p>
    <w:p>
      <w:pPr>
        <w:pStyle w:val="Heading2"/>
        <w:spacing w:after="100" w:before="220"/>
      </w:pPr>
      <w:r>
        <w:rPr>
          <w:b/>
          <w:bCs/>
        </w:rPr>
        <w:t xml:space="preserve">5.4 Multicolinealidad y regularización</w:t>
      </w:r>
    </w:p>
    <w:p>
      <w:pPr>
        <w:spacing w:after="140" w:line="276"/>
        <w:jc w:val="both"/>
      </w:pPr>
      <w:r>
        <w:t xml:space="preserve">Los factores de inflación de la varianza (VIF) de los predictores numéricos son moderados (el mayor es log(área) = 5,97), sin multicolinealidad severa entre ellos. Para obtener un modelo más parsimonioso se aplicó regularización </w:t>
      </w:r>
      <w:r>
        <w:rPr>
          <w:b/>
          <w:bCs/>
        </w:rPr>
        <w:t xml:space="preserve">Lasso (L1)</w:t>
      </w:r>
      <w:r>
        <w:t xml:space="preserve">, barriendo el parámetro de penalización (Ilustración 23). En el punto de equilibrio (α = 0,018) el Lasso reduce las </w:t>
      </w:r>
      <w:r>
        <w:rPr>
          <w:b/>
          <w:bCs/>
        </w:rPr>
        <w:t xml:space="preserve">19 variables predictoras iniciales a 11</w:t>
      </w:r>
      <w:r>
        <w:t xml:space="preserve">, perdiendo muy poco poder explicativo (de R² = 0,869 a ≈ 0,85).</w:t>
      </w:r>
    </w:p>
    <w:p>
      <w:pPr>
        <w:spacing w:after="40" w:before="120"/>
        <w:jc w:val="center"/>
      </w:pPr>
      <w:r>
        <w:drawing>
          <wp:inline distT="0" distB="0" distL="0" distR="0">
            <wp:extent cx="585787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857875" cy="2028825"/>
                    </a:xfrm>
                    <a:prstGeom prst="rect">
                      <a:avLst/>
                    </a:prstGeom>
                  </pic:spPr>
                </pic:pic>
              </a:graphicData>
            </a:graphic>
          </wp:inline>
        </w:drawing>
      </w:r>
    </w:p>
    <w:p>
      <w:pPr>
        <w:pStyle w:val="Caption"/>
        <w:spacing w:after="200"/>
        <w:jc w:val="center"/>
      </w:pPr>
      <w:r>
        <w:rPr>
          <w:i/>
          <w:iCs/>
        </w:rPr>
        <w:t xml:space="preserve">Ilustración 23. Regularización Lasso: R² y número de variables activas en función del parámetro de penalización α.</w:t>
      </w:r>
    </w:p>
    <w:p>
      <w:pPr>
        <w:spacing w:after="140" w:line="276"/>
        <w:jc w:val="both"/>
      </w:pPr>
      <w:r>
        <w:t xml:space="preserve">La Tabla 9 contrasta las </w:t>
      </w:r>
      <w:r>
        <w:rPr>
          <w:b/>
          <w:bCs/>
        </w:rPr>
        <w:t xml:space="preserve">variables iniciales</w:t>
      </w:r>
      <w:r>
        <w:t xml:space="preserve"> del modelo con las </w:t>
      </w:r>
      <w:r>
        <w:rPr>
          <w:b/>
          <w:bCs/>
        </w:rPr>
        <w:t xml:space="preserve">ocho que el Lasso eliminó</w:t>
      </w:r>
      <w:r>
        <w:t xml:space="preserve">, agrupadas por familia, y la Ilustración 24 las ordena por importancia. Lo revelador es que el método </w:t>
      </w:r>
      <w:r>
        <w:rPr>
          <w:b/>
          <w:bCs/>
        </w:rPr>
        <w:t xml:space="preserve">no descarta simplemente las de menor coeficiente, sino las redundantes</w:t>
      </w:r>
      <w:r>
        <w:t xml:space="preserve">: elimina sobre todo categorías de zona y antigüedad cuya información ya está contenida en otras variables (en especial el estrato). Por ejemplo, descarta la Zona Guaymaral —la más cara en precio total— porque su precio se explica por el tamaño y el estrato y no por un premium de ubicación, y elimina el número de habitaciones (muy correlacionado con el área). Así, el Lasso permite obtener un modelo más simple y robusto —de 19 a 11 variables— sacrificando muy poco poder explicativo, lo que lo hace especialmente útil cuando el objetivo es la parsimonia.</w:t>
      </w:r>
    </w:p>
    <w:p>
      <w:pPr>
        <w:pStyle w:val="Caption"/>
        <w:spacing w:after="60" w:before="120"/>
        <w:jc w:val="center"/>
      </w:pPr>
      <w:r>
        <w:rPr>
          <w:i/>
          <w:iCs/>
        </w:rPr>
        <w:t xml:space="preserve">Tabla 9. Variables iniciales del modelo frente a las eliminadas por la regularización Lasso.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shd w:fill="1F3864" w:color="auto" w:val="clear"/>
            <w:tcMar>
              <w:top w:type="dxa" w:w="40"/>
              <w:left w:type="dxa" w:w="80"/>
              <w:bottom w:type="dxa" w:w="40"/>
              <w:right w:type="dxa" w:w="80"/>
            </w:tcMar>
          </w:tcPr>
          <w:p>
            <w:pPr>
              <w:spacing w:after="0" w:line="240"/>
              <w:jc w:val="left"/>
            </w:pPr>
            <w:r>
              <w:rPr>
                <w:b/>
                <w:bCs/>
                <w:color w:val="FFFFFF"/>
                <w:sz w:val="19"/>
                <w:szCs w:val="19"/>
              </w:rPr>
              <w:t xml:space="preserve">Familia de variables</w:t>
            </w:r>
          </w:p>
        </w:tc>
        <w:tc>
          <w:tcPr>
            <w:tcW w:type="dxa" w:w="4360"/>
            <w:shd w:fill="1F3864" w:color="auto" w:val="clear"/>
            <w:tcMar>
              <w:top w:type="dxa" w:w="40"/>
              <w:left w:type="dxa" w:w="80"/>
              <w:bottom w:type="dxa" w:w="40"/>
              <w:right w:type="dxa" w:w="80"/>
            </w:tcMar>
          </w:tcPr>
          <w:p>
            <w:pPr>
              <w:spacing w:after="0" w:line="240"/>
              <w:jc w:val="left"/>
            </w:pPr>
            <w:r>
              <w:rPr>
                <w:b/>
                <w:bCs/>
                <w:color w:val="FFFFFF"/>
                <w:sz w:val="19"/>
                <w:szCs w:val="19"/>
              </w:rPr>
              <w:t xml:space="preserve">Variables iniciales (19)</w:t>
            </w:r>
          </w:p>
        </w:tc>
        <w:tc>
          <w:tcPr>
            <w:tcW w:type="dxa" w:w="3000"/>
            <w:shd w:fill="1F3864" w:color="auto" w:val="clear"/>
            <w:tcMar>
              <w:top w:type="dxa" w:w="40"/>
              <w:left w:type="dxa" w:w="80"/>
              <w:bottom w:type="dxa" w:w="40"/>
              <w:right w:type="dxa" w:w="80"/>
            </w:tcMar>
          </w:tcPr>
          <w:p>
            <w:pPr>
              <w:spacing w:after="0" w:line="240"/>
              <w:jc w:val="left"/>
            </w:pPr>
            <w:r>
              <w:rPr>
                <w:b/>
                <w:bCs/>
                <w:color w:val="FFFFFF"/>
                <w:sz w:val="19"/>
                <w:szCs w:val="19"/>
              </w:rPr>
              <w:t xml:space="preserve">Eliminadas por Lasso (8)</w:t>
            </w:r>
          </w:p>
        </w:tc>
      </w:tr>
      <w:tr>
        <w:tc>
          <w:tcPr>
            <w:tcW w:type="dxa" w:w="2000"/>
            <w:tcMar>
              <w:top w:type="dxa" w:w="40"/>
              <w:left w:type="dxa" w:w="80"/>
              <w:bottom w:type="dxa" w:w="40"/>
              <w:right w:type="dxa" w:w="80"/>
            </w:tcMar>
          </w:tcPr>
          <w:p>
            <w:pPr>
              <w:spacing w:after="0" w:line="240"/>
              <w:jc w:val="left"/>
            </w:pPr>
            <w:r>
              <w:rPr>
                <w:b w:val="false"/>
                <w:bCs w:val="false"/>
                <w:color w:val="000000"/>
                <w:sz w:val="19"/>
                <w:szCs w:val="19"/>
              </w:rPr>
              <w:t xml:space="preserve">Continuas / conteo</w:t>
            </w:r>
          </w:p>
        </w:tc>
        <w:tc>
          <w:tcPr>
            <w:tcW w:type="dxa" w:w="4360"/>
            <w:tcMar>
              <w:top w:type="dxa" w:w="40"/>
              <w:left w:type="dxa" w:w="80"/>
              <w:bottom w:type="dxa" w:w="40"/>
              <w:right w:type="dxa" w:w="80"/>
            </w:tcMar>
          </w:tcPr>
          <w:p>
            <w:pPr>
              <w:spacing w:after="0" w:line="240"/>
              <w:jc w:val="left"/>
            </w:pPr>
            <w:r>
              <w:rPr>
                <w:b w:val="false"/>
                <w:bCs w:val="false"/>
                <w:color w:val="000000"/>
                <w:sz w:val="19"/>
                <w:szCs w:val="19"/>
              </w:rPr>
              <w:t xml:space="preserve">log(área), Habitaciones, Baños, Garajes</w:t>
            </w:r>
          </w:p>
        </w:tc>
        <w:tc>
          <w:tcPr>
            <w:tcW w:type="dxa" w:w="3000"/>
            <w:tcMar>
              <w:top w:type="dxa" w:w="40"/>
              <w:left w:type="dxa" w:w="80"/>
              <w:bottom w:type="dxa" w:w="40"/>
              <w:right w:type="dxa" w:w="80"/>
            </w:tcMar>
          </w:tcPr>
          <w:p>
            <w:pPr>
              <w:spacing w:after="0" w:line="240"/>
              <w:jc w:val="left"/>
            </w:pPr>
            <w:r>
              <w:rPr>
                <w:b w:val="false"/>
                <w:bCs w:val="false"/>
                <w:color w:val="000000"/>
                <w:sz w:val="19"/>
                <w:szCs w:val="19"/>
              </w:rPr>
              <w:t xml:space="preserve">Habitaciones</w:t>
            </w:r>
          </w:p>
        </w:tc>
      </w:tr>
      <w:tr>
        <w:tc>
          <w:tcPr>
            <w:tcW w:type="dxa" w:w="20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Estrato (ref.: estrato 2)</w:t>
            </w:r>
          </w:p>
        </w:tc>
        <w:tc>
          <w:tcPr>
            <w:tcW w:type="dxa" w:w="43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Estrato 3, 4, 5, 6</w:t>
            </w:r>
          </w:p>
        </w:tc>
        <w:tc>
          <w:tcPr>
            <w:tcW w:type="dxa" w:w="30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Estrato 4, Estrato 5</w:t>
            </w:r>
          </w:p>
        </w:tc>
      </w:tr>
      <w:tr>
        <w:tc>
          <w:tcPr>
            <w:tcW w:type="dxa" w:w="2000"/>
            <w:tcMar>
              <w:top w:type="dxa" w:w="40"/>
              <w:left w:type="dxa" w:w="80"/>
              <w:bottom w:type="dxa" w:w="40"/>
              <w:right w:type="dxa" w:w="80"/>
            </w:tcMar>
          </w:tcPr>
          <w:p>
            <w:pPr>
              <w:spacing w:after="0" w:line="240"/>
              <w:jc w:val="left"/>
            </w:pPr>
            <w:r>
              <w:rPr>
                <w:b w:val="false"/>
                <w:bCs w:val="false"/>
                <w:color w:val="000000"/>
                <w:sz w:val="19"/>
                <w:szCs w:val="19"/>
              </w:rPr>
              <w:t xml:space="preserve">Zona (ref.: Centro)</w:t>
            </w:r>
          </w:p>
        </w:tc>
        <w:tc>
          <w:tcPr>
            <w:tcW w:type="dxa" w:w="4360"/>
            <w:tcMar>
              <w:top w:type="dxa" w:w="40"/>
              <w:left w:type="dxa" w:w="80"/>
              <w:bottom w:type="dxa" w:w="40"/>
              <w:right w:type="dxa" w:w="80"/>
            </w:tcMar>
          </w:tcPr>
          <w:p>
            <w:pPr>
              <w:spacing w:after="0" w:line="240"/>
              <w:jc w:val="left"/>
            </w:pPr>
            <w:r>
              <w:rPr>
                <w:b w:val="false"/>
                <w:bCs w:val="false"/>
                <w:color w:val="000000"/>
                <w:sz w:val="19"/>
                <w:szCs w:val="19"/>
              </w:rPr>
              <w:t xml:space="preserve">Chapinero, Guaymaral, Noroccidente, Norte, Occidental, Otros, Sur</w:t>
            </w:r>
          </w:p>
        </w:tc>
        <w:tc>
          <w:tcPr>
            <w:tcW w:type="dxa" w:w="3000"/>
            <w:tcMar>
              <w:top w:type="dxa" w:w="40"/>
              <w:left w:type="dxa" w:w="80"/>
              <w:bottom w:type="dxa" w:w="40"/>
              <w:right w:type="dxa" w:w="80"/>
            </w:tcMar>
          </w:tcPr>
          <w:p>
            <w:pPr>
              <w:spacing w:after="0" w:line="240"/>
              <w:jc w:val="left"/>
            </w:pPr>
            <w:r>
              <w:rPr>
                <w:b w:val="false"/>
                <w:bCs w:val="false"/>
                <w:color w:val="000000"/>
                <w:sz w:val="19"/>
                <w:szCs w:val="19"/>
              </w:rPr>
              <w:t xml:space="preserve">Guaymaral, Otros</w:t>
            </w:r>
          </w:p>
        </w:tc>
      </w:tr>
      <w:tr>
        <w:tc>
          <w:tcPr>
            <w:tcW w:type="dxa" w:w="20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Antigüedad (ref.: 0–5 años)</w:t>
            </w:r>
          </w:p>
        </w:tc>
        <w:tc>
          <w:tcPr>
            <w:tcW w:type="dxa" w:w="43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Entre 5 y 10 años, Entre 10 y 20 años, Más de 20 años, Remodelado</w:t>
            </w:r>
          </w:p>
        </w:tc>
        <w:tc>
          <w:tcPr>
            <w:tcW w:type="dxa" w:w="300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Entre 5 y 10 años, Entre 10 y 20 años, Remodelado</w:t>
            </w:r>
          </w:p>
        </w:tc>
      </w:tr>
      <w:tr>
        <w:tc>
          <w:tcPr>
            <w:tcW w:type="dxa" w:w="2000"/>
            <w:tcMar>
              <w:top w:type="dxa" w:w="40"/>
              <w:left w:type="dxa" w:w="80"/>
              <w:bottom w:type="dxa" w:w="40"/>
              <w:right w:type="dxa" w:w="80"/>
            </w:tcMar>
          </w:tcPr>
          <w:p>
            <w:pPr>
              <w:spacing w:after="0" w:line="240"/>
              <w:jc w:val="left"/>
            </w:pPr>
            <w:r>
              <w:rPr>
                <w:b w:val="false"/>
                <w:bCs w:val="false"/>
                <w:color w:val="000000"/>
                <w:sz w:val="19"/>
                <w:szCs w:val="19"/>
              </w:rPr>
              <w:t xml:space="preserve">Total</w:t>
            </w:r>
          </w:p>
        </w:tc>
        <w:tc>
          <w:tcPr>
            <w:tcW w:type="dxa" w:w="4360"/>
            <w:tcMar>
              <w:top w:type="dxa" w:w="40"/>
              <w:left w:type="dxa" w:w="80"/>
              <w:bottom w:type="dxa" w:w="40"/>
              <w:right w:type="dxa" w:w="80"/>
            </w:tcMar>
          </w:tcPr>
          <w:p>
            <w:pPr>
              <w:spacing w:after="0" w:line="240"/>
              <w:jc w:val="left"/>
            </w:pPr>
            <w:r>
              <w:rPr>
                <w:b w:val="false"/>
                <w:bCs w:val="false"/>
                <w:color w:val="000000"/>
                <w:sz w:val="19"/>
                <w:szCs w:val="19"/>
              </w:rPr>
              <w:t xml:space="preserve">19 variables predictoras</w:t>
            </w:r>
          </w:p>
        </w:tc>
        <w:tc>
          <w:tcPr>
            <w:tcW w:type="dxa" w:w="3000"/>
            <w:tcMar>
              <w:top w:type="dxa" w:w="40"/>
              <w:left w:type="dxa" w:w="80"/>
              <w:bottom w:type="dxa" w:w="40"/>
              <w:right w:type="dxa" w:w="80"/>
            </w:tcMar>
          </w:tcPr>
          <w:p>
            <w:pPr>
              <w:spacing w:after="0" w:line="240"/>
              <w:jc w:val="left"/>
            </w:pPr>
            <w:r>
              <w:rPr>
                <w:b w:val="false"/>
                <w:bCs w:val="false"/>
                <w:color w:val="000000"/>
                <w:sz w:val="19"/>
                <w:szCs w:val="19"/>
              </w:rPr>
              <w:t xml:space="preserve">8 eliminadas (quedan 11)</w:t>
            </w:r>
          </w:p>
        </w:tc>
      </w:tr>
    </w:tbl>
    <w:p>
      <w:pPr>
        <w:spacing w:after="40" w:before="12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4000500"/>
                    </a:xfrm>
                    <a:prstGeom prst="rect">
                      <a:avLst/>
                    </a:prstGeom>
                  </pic:spPr>
                </pic:pic>
              </a:graphicData>
            </a:graphic>
          </wp:inline>
        </w:drawing>
      </w:r>
    </w:p>
    <w:p>
      <w:pPr>
        <w:pStyle w:val="Caption"/>
        <w:spacing w:after="200"/>
        <w:jc w:val="center"/>
      </w:pPr>
      <w:r>
        <w:rPr>
          <w:i/>
          <w:iCs/>
        </w:rPr>
        <w:t xml:space="preserve">Ilustración 24. Variables iniciales ordenadas por importancia (coeficiente estandarizado), diferenciando las retenidas de las eliminadas por Lasso.</w:t>
      </w:r>
    </w:p>
    <w:p>
      <w:pPr>
        <w:pStyle w:val="Heading2"/>
        <w:spacing w:after="100" w:before="220"/>
      </w:pPr>
      <w:r>
        <w:rPr>
          <w:b/>
          <w:bCs/>
        </w:rPr>
        <w:t xml:space="preserve">5.5 Error de predicción</w:t>
      </w:r>
    </w:p>
    <w:p>
      <w:pPr>
        <w:spacing w:after="80" w:line="276"/>
        <w:jc w:val="both"/>
      </w:pPr>
      <w:r>
        <w:t xml:space="preserve">Devolviendo las predicciones a la escala de pesos, la Tabla 10 reporta el error del modelo. El MAPE del 24,0 % indica un desempeño razonable para un mercado inmobiliario con la calidad de datos disponible: el modelo acierta el orden de magnitud y las tendencias, pero no sustituye un avalúo profesional. Que el RMSE ($3,56 M) supere ampliamente al MAE ($1,98 M) revela la existencia de casos —inmuebles de lujo o atípicos— donde el error es grande.</w:t>
      </w:r>
    </w:p>
    <w:p>
      <w:pPr>
        <w:pStyle w:val="Caption"/>
        <w:spacing w:after="60" w:before="120"/>
        <w:jc w:val="center"/>
      </w:pPr>
      <w:r>
        <w:rPr>
          <w:i/>
          <w:iCs/>
        </w:rPr>
        <w:t xml:space="preserve">Tabla 10. Métricas de error del modelo de regresión (en pesos colombianos).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40"/>
              <w:left w:type="dxa" w:w="80"/>
              <w:bottom w:type="dxa" w:w="40"/>
              <w:right w:type="dxa" w:w="80"/>
            </w:tcMar>
          </w:tcPr>
          <w:p>
            <w:pPr>
              <w:spacing w:after="0" w:line="240"/>
              <w:jc w:val="left"/>
            </w:pPr>
            <w:r>
              <w:rPr>
                <w:b/>
                <w:bCs/>
                <w:color w:val="FFFFFF"/>
                <w:sz w:val="19"/>
                <w:szCs w:val="19"/>
              </w:rPr>
              <w:t xml:space="preserve">Métrica</w:t>
            </w:r>
          </w:p>
        </w:tc>
        <w:tc>
          <w:tcPr>
            <w:tcW w:type="dxa" w:w="4680"/>
            <w:shd w:fill="1F3864" w:color="auto" w:val="clear"/>
            <w:tcMar>
              <w:top w:type="dxa" w:w="40"/>
              <w:left w:type="dxa" w:w="80"/>
              <w:bottom w:type="dxa" w:w="40"/>
              <w:right w:type="dxa" w:w="80"/>
            </w:tcMar>
          </w:tcPr>
          <w:p>
            <w:pPr>
              <w:spacing w:after="0" w:line="240"/>
              <w:jc w:val="right"/>
            </w:pPr>
            <w:r>
              <w:rPr>
                <w:b/>
                <w:bCs/>
                <w:color w:val="FFFFFF"/>
                <w:sz w:val="19"/>
                <w:szCs w:val="19"/>
              </w:rPr>
              <w:t xml:space="preserve">Valor</w:t>
            </w:r>
          </w:p>
        </w:tc>
      </w:tr>
      <w:tr>
        <w:tc>
          <w:tcPr>
            <w:tcW w:type="dxa" w:w="4680"/>
            <w:tcMar>
              <w:top w:type="dxa" w:w="40"/>
              <w:left w:type="dxa" w:w="80"/>
              <w:bottom w:type="dxa" w:w="40"/>
              <w:right w:type="dxa" w:w="80"/>
            </w:tcMar>
          </w:tcPr>
          <w:p>
            <w:pPr>
              <w:spacing w:after="0" w:line="240"/>
              <w:jc w:val="left"/>
            </w:pPr>
            <w:r>
              <w:rPr>
                <w:b w:val="false"/>
                <w:bCs w:val="false"/>
                <w:color w:val="000000"/>
                <w:sz w:val="19"/>
                <w:szCs w:val="19"/>
              </w:rPr>
              <w:t xml:space="preserve">Arriendo promedio real</w:t>
            </w:r>
          </w:p>
        </w:tc>
        <w:tc>
          <w:tcPr>
            <w:tcW w:type="dxa" w:w="4680"/>
            <w:tcMar>
              <w:top w:type="dxa" w:w="40"/>
              <w:left w:type="dxa" w:w="80"/>
              <w:bottom w:type="dxa" w:w="40"/>
              <w:right w:type="dxa" w:w="80"/>
            </w:tcMar>
          </w:tcPr>
          <w:p>
            <w:pPr>
              <w:spacing w:after="0" w:line="240"/>
              <w:jc w:val="right"/>
            </w:pPr>
            <w:r>
              <w:rPr>
                <w:b w:val="false"/>
                <w:bCs w:val="false"/>
                <w:color w:val="000000"/>
                <w:sz w:val="19"/>
                <w:szCs w:val="19"/>
              </w:rPr>
              <w:t xml:space="preserve">$ 8.015.298</w:t>
            </w:r>
          </w:p>
        </w:tc>
      </w:tr>
      <w:tr>
        <w:tc>
          <w:tcPr>
            <w:tcW w:type="dxa" w:w="468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MAE (error absoluto medio)</w:t>
            </w:r>
          </w:p>
        </w:tc>
        <w:tc>
          <w:tcPr>
            <w:tcW w:type="dxa" w:w="468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$ 1.982.453</w:t>
            </w:r>
          </w:p>
        </w:tc>
      </w:tr>
      <w:tr>
        <w:tc>
          <w:tcPr>
            <w:tcW w:type="dxa" w:w="4680"/>
            <w:tcMar>
              <w:top w:type="dxa" w:w="40"/>
              <w:left w:type="dxa" w:w="80"/>
              <w:bottom w:type="dxa" w:w="40"/>
              <w:right w:type="dxa" w:w="80"/>
            </w:tcMar>
          </w:tcPr>
          <w:p>
            <w:pPr>
              <w:spacing w:after="0" w:line="240"/>
              <w:jc w:val="left"/>
            </w:pPr>
            <w:r>
              <w:rPr>
                <w:b w:val="false"/>
                <w:bCs w:val="false"/>
                <w:color w:val="000000"/>
                <w:sz w:val="19"/>
                <w:szCs w:val="19"/>
              </w:rPr>
              <w:t xml:space="preserve">RMSE (raíz del error cuadrático medio)</w:t>
            </w:r>
          </w:p>
        </w:tc>
        <w:tc>
          <w:tcPr>
            <w:tcW w:type="dxa" w:w="4680"/>
            <w:tcMar>
              <w:top w:type="dxa" w:w="40"/>
              <w:left w:type="dxa" w:w="80"/>
              <w:bottom w:type="dxa" w:w="40"/>
              <w:right w:type="dxa" w:w="80"/>
            </w:tcMar>
          </w:tcPr>
          <w:p>
            <w:pPr>
              <w:spacing w:after="0" w:line="240"/>
              <w:jc w:val="right"/>
            </w:pPr>
            <w:r>
              <w:rPr>
                <w:b w:val="false"/>
                <w:bCs w:val="false"/>
                <w:color w:val="000000"/>
                <w:sz w:val="19"/>
                <w:szCs w:val="19"/>
              </w:rPr>
              <w:t xml:space="preserve">$ 3.558.998</w:t>
            </w:r>
          </w:p>
        </w:tc>
      </w:tr>
      <w:tr>
        <w:tc>
          <w:tcPr>
            <w:tcW w:type="dxa" w:w="468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MAPE (error porcentual absoluto medio)</w:t>
            </w:r>
          </w:p>
        </w:tc>
        <w:tc>
          <w:tcPr>
            <w:tcW w:type="dxa" w:w="468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24,0 %</w:t>
            </w:r>
          </w:p>
        </w:tc>
      </w:tr>
    </w:tbl>
    <w:p>
      <w:pPr>
        <w:spacing w:after="140" w:line="276"/>
        <w:jc w:val="both"/>
      </w:pPr>
      <w:r>
        <w:t xml:space="preserve">La Ilustración 25 muestra estos resultados: a la izquierda, el arriendo real frente al predicho (cuanto más cerca de la diagonal roja, mejor la predicción); a la derecha, la distribución del error en pesos con el MAE y el RMSE marcados. Se aprecia que el modelo predice bien en el rango medio y se dispersa en los arriendos altos, donde intervienen atributos que la base no captura (acabados, vista, amenidades).</w:t>
      </w:r>
    </w:p>
    <w:p>
      <w:pPr>
        <w:spacing w:after="40" w:before="120"/>
        <w:jc w:val="center"/>
      </w:pPr>
      <w:r>
        <w:drawing>
          <wp:inline distT="0" distB="0" distL="0" distR="0">
            <wp:extent cx="585787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57875" cy="2038350"/>
                    </a:xfrm>
                    <a:prstGeom prst="rect">
                      <a:avLst/>
                    </a:prstGeom>
                  </pic:spPr>
                </pic:pic>
              </a:graphicData>
            </a:graphic>
          </wp:inline>
        </w:drawing>
      </w:r>
    </w:p>
    <w:p>
      <w:pPr>
        <w:pStyle w:val="Caption"/>
        <w:spacing w:after="200"/>
        <w:jc w:val="center"/>
      </w:pPr>
      <w:r>
        <w:rPr>
          <w:i/>
          <w:iCs/>
        </w:rPr>
        <w:t xml:space="preserve">Ilustración 25. Desempeño del modelo: arriendo real vs. predicho (izquierda) y distribución del error con MAE y RMSE (derecha).</w:t>
      </w:r>
    </w:p>
    <w:p>
      <w:pPr>
        <w:pStyle w:val="Heading2"/>
        <w:spacing w:after="100" w:before="220"/>
      </w:pPr>
      <w:r>
        <w:rPr>
          <w:b/>
          <w:bCs/>
        </w:rPr>
        <w:t xml:space="preserve">5.6 Importancia relativa de los predictores</w:t>
      </w:r>
    </w:p>
    <w:p>
      <w:pPr>
        <w:spacing w:after="80" w:line="276"/>
        <w:jc w:val="both"/>
      </w:pPr>
      <w:r>
        <w:t xml:space="preserve">Para comparar el peso de cada grupo de variables con una métrica homogénea se reportan dos medidas complementarias (Tabla 11): la </w:t>
      </w:r>
      <w:r>
        <w:rPr>
          <w:b/>
          <w:bCs/>
        </w:rPr>
        <w:t xml:space="preserve">asociación marginal</w:t>
      </w:r>
      <w:r>
        <w:t xml:space="preserve"> —el R² de un modelo que usa solo ese grupo, equivalente al η² del ANOVA— y el </w:t>
      </w:r>
      <w:r>
        <w:rPr>
          <w:b/>
          <w:bCs/>
        </w:rPr>
        <w:t xml:space="preserve">aporte único</w:t>
      </w:r>
      <w:r>
        <w:t xml:space="preserve"> —la caída del R² al retirar ese grupo del modelo completo (R² parcial incremental)—. La distinción es reveladora: el </w:t>
      </w:r>
      <w:r>
        <w:rPr>
          <w:b/>
          <w:bCs/>
        </w:rPr>
        <w:t xml:space="preserve">estrato (R² = 0,46) y la zona (R² = 0,27)</w:t>
      </w:r>
      <w:r>
        <w:t xml:space="preserve"> tienen las asociaciones marginales más fuertes, pero su aporte único es pequeño (ΔR² ≈ 0,017 y 0,019) porque comparten mucha información entre sí y con el área. El </w:t>
      </w:r>
      <w:r>
        <w:rPr>
          <w:b/>
          <w:bCs/>
        </w:rPr>
        <w:t xml:space="preserve">área</w:t>
      </w:r>
      <w:r>
        <w:t xml:space="preserve">, en cambio, explica por sí sola el 73 % de la varianza del log-precio y es la variable con </w:t>
      </w:r>
      <w:r>
        <w:rPr>
          <w:b/>
          <w:bCs/>
        </w:rPr>
        <w:t xml:space="preserve">mayor aporte único (ΔR² = 0,070)</w:t>
      </w:r>
      <w:r>
        <w:t xml:space="preserve"> y el mayor coeficiente estandarizado (0,57). La antigüedad es la de menor peso por ambas medidas.</w:t>
      </w:r>
    </w:p>
    <w:p>
      <w:pPr>
        <w:pStyle w:val="Caption"/>
        <w:spacing w:after="60" w:before="120"/>
        <w:jc w:val="center"/>
      </w:pPr>
      <w:r>
        <w:rPr>
          <w:i/>
          <w:iCs/>
        </w:rPr>
        <w:t xml:space="preserve">Tabla 11. Importancia relativa de los grupos de variables: asociación marginal (R² individual) y aporte único (ΔR² al retirarlo del modelo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shd w:fill="1F3864" w:color="auto" w:val="clear"/>
            <w:tcMar>
              <w:top w:type="dxa" w:w="40"/>
              <w:left w:type="dxa" w:w="80"/>
              <w:bottom w:type="dxa" w:w="40"/>
              <w:right w:type="dxa" w:w="80"/>
            </w:tcMar>
          </w:tcPr>
          <w:p>
            <w:pPr>
              <w:spacing w:after="0" w:line="240"/>
              <w:jc w:val="left"/>
            </w:pPr>
            <w:r>
              <w:rPr>
                <w:b/>
                <w:bCs/>
                <w:color w:val="FFFFFF"/>
                <w:sz w:val="19"/>
                <w:szCs w:val="19"/>
              </w:rPr>
              <w:t xml:space="preserve">Grupo de variables</w:t>
            </w:r>
          </w:p>
        </w:tc>
        <w:tc>
          <w:tcPr>
            <w:tcW w:type="dxa" w:w="2700"/>
            <w:shd w:fill="1F3864" w:color="auto" w:val="clear"/>
            <w:tcMar>
              <w:top w:type="dxa" w:w="40"/>
              <w:left w:type="dxa" w:w="80"/>
              <w:bottom w:type="dxa" w:w="40"/>
              <w:right w:type="dxa" w:w="80"/>
            </w:tcMar>
          </w:tcPr>
          <w:p>
            <w:pPr>
              <w:spacing w:after="0" w:line="240"/>
              <w:jc w:val="right"/>
            </w:pPr>
            <w:r>
              <w:rPr>
                <w:b/>
                <w:bCs/>
                <w:color w:val="FFFFFF"/>
                <w:sz w:val="19"/>
                <w:szCs w:val="19"/>
              </w:rPr>
              <w:t xml:space="preserve">R² individual (marginal)</w:t>
            </w:r>
          </w:p>
        </w:tc>
        <w:tc>
          <w:tcPr>
            <w:tcW w:type="dxa" w:w="2700"/>
            <w:shd w:fill="1F3864" w:color="auto" w:val="clear"/>
            <w:tcMar>
              <w:top w:type="dxa" w:w="40"/>
              <w:left w:type="dxa" w:w="80"/>
              <w:bottom w:type="dxa" w:w="40"/>
              <w:right w:type="dxa" w:w="80"/>
            </w:tcMar>
          </w:tcPr>
          <w:p>
            <w:pPr>
              <w:spacing w:after="0" w:line="240"/>
              <w:jc w:val="right"/>
            </w:pPr>
            <w:r>
              <w:rPr>
                <w:b/>
                <w:bCs/>
                <w:color w:val="FFFFFF"/>
                <w:sz w:val="19"/>
                <w:szCs w:val="19"/>
              </w:rPr>
              <w:t xml:space="preserve">ΔR² único (al retirarlo)</w:t>
            </w:r>
          </w:p>
        </w:tc>
      </w:tr>
      <w:tr>
        <w:tc>
          <w:tcPr>
            <w:tcW w:type="dxa" w:w="3960"/>
            <w:tcMar>
              <w:top w:type="dxa" w:w="40"/>
              <w:left w:type="dxa" w:w="80"/>
              <w:bottom w:type="dxa" w:w="40"/>
              <w:right w:type="dxa" w:w="80"/>
            </w:tcMar>
          </w:tcPr>
          <w:p>
            <w:pPr>
              <w:spacing w:after="0" w:line="240"/>
              <w:jc w:val="left"/>
            </w:pPr>
            <w:r>
              <w:rPr>
                <w:b w:val="false"/>
                <w:bCs w:val="false"/>
                <w:color w:val="000000"/>
                <w:sz w:val="19"/>
                <w:szCs w:val="19"/>
              </w:rPr>
              <w:t xml:space="preserve">Área (log)</w:t>
            </w:r>
          </w:p>
        </w:tc>
        <w:tc>
          <w:tcPr>
            <w:tcW w:type="dxa" w:w="2700"/>
            <w:tcMar>
              <w:top w:type="dxa" w:w="40"/>
              <w:left w:type="dxa" w:w="80"/>
              <w:bottom w:type="dxa" w:w="40"/>
              <w:right w:type="dxa" w:w="80"/>
            </w:tcMar>
          </w:tcPr>
          <w:p>
            <w:pPr>
              <w:spacing w:after="0" w:line="240"/>
              <w:jc w:val="right"/>
            </w:pPr>
            <w:r>
              <w:rPr>
                <w:b w:val="false"/>
                <w:bCs w:val="false"/>
                <w:color w:val="000000"/>
                <w:sz w:val="19"/>
                <w:szCs w:val="19"/>
              </w:rPr>
              <w:t xml:space="preserve">0,730</w:t>
            </w:r>
          </w:p>
        </w:tc>
        <w:tc>
          <w:tcPr>
            <w:tcW w:type="dxa" w:w="2700"/>
            <w:tcMar>
              <w:top w:type="dxa" w:w="40"/>
              <w:left w:type="dxa" w:w="80"/>
              <w:bottom w:type="dxa" w:w="40"/>
              <w:right w:type="dxa" w:w="80"/>
            </w:tcMar>
          </w:tcPr>
          <w:p>
            <w:pPr>
              <w:spacing w:after="0" w:line="240"/>
              <w:jc w:val="right"/>
            </w:pPr>
            <w:r>
              <w:rPr>
                <w:b w:val="false"/>
                <w:bCs w:val="false"/>
                <w:color w:val="000000"/>
                <w:sz w:val="19"/>
                <w:szCs w:val="19"/>
              </w:rPr>
              <w:t xml:space="preserve">0,070</w:t>
            </w:r>
          </w:p>
        </w:tc>
      </w:tr>
      <w:tr>
        <w:tc>
          <w:tcPr>
            <w:tcW w:type="dxa" w:w="39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Estrato</w:t>
            </w:r>
          </w:p>
        </w:tc>
        <w:tc>
          <w:tcPr>
            <w:tcW w:type="dxa" w:w="27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0,458</w:t>
            </w:r>
          </w:p>
        </w:tc>
        <w:tc>
          <w:tcPr>
            <w:tcW w:type="dxa" w:w="27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0,017</w:t>
            </w:r>
          </w:p>
        </w:tc>
      </w:tr>
      <w:tr>
        <w:tc>
          <w:tcPr>
            <w:tcW w:type="dxa" w:w="3960"/>
            <w:tcMar>
              <w:top w:type="dxa" w:w="40"/>
              <w:left w:type="dxa" w:w="80"/>
              <w:bottom w:type="dxa" w:w="40"/>
              <w:right w:type="dxa" w:w="80"/>
            </w:tcMar>
          </w:tcPr>
          <w:p>
            <w:pPr>
              <w:spacing w:after="0" w:line="240"/>
              <w:jc w:val="left"/>
            </w:pPr>
            <w:r>
              <w:rPr>
                <w:b w:val="false"/>
                <w:bCs w:val="false"/>
                <w:color w:val="000000"/>
                <w:sz w:val="19"/>
                <w:szCs w:val="19"/>
              </w:rPr>
              <w:t xml:space="preserve">Zona</w:t>
            </w:r>
          </w:p>
        </w:tc>
        <w:tc>
          <w:tcPr>
            <w:tcW w:type="dxa" w:w="2700"/>
            <w:tcMar>
              <w:top w:type="dxa" w:w="40"/>
              <w:left w:type="dxa" w:w="80"/>
              <w:bottom w:type="dxa" w:w="40"/>
              <w:right w:type="dxa" w:w="80"/>
            </w:tcMar>
          </w:tcPr>
          <w:p>
            <w:pPr>
              <w:spacing w:after="0" w:line="240"/>
              <w:jc w:val="right"/>
            </w:pPr>
            <w:r>
              <w:rPr>
                <w:b w:val="false"/>
                <w:bCs w:val="false"/>
                <w:color w:val="000000"/>
                <w:sz w:val="19"/>
                <w:szCs w:val="19"/>
              </w:rPr>
              <w:t xml:space="preserve">0,265</w:t>
            </w:r>
          </w:p>
        </w:tc>
        <w:tc>
          <w:tcPr>
            <w:tcW w:type="dxa" w:w="2700"/>
            <w:tcMar>
              <w:top w:type="dxa" w:w="40"/>
              <w:left w:type="dxa" w:w="80"/>
              <w:bottom w:type="dxa" w:w="40"/>
              <w:right w:type="dxa" w:w="80"/>
            </w:tcMar>
          </w:tcPr>
          <w:p>
            <w:pPr>
              <w:spacing w:after="0" w:line="240"/>
              <w:jc w:val="right"/>
            </w:pPr>
            <w:r>
              <w:rPr>
                <w:b w:val="false"/>
                <w:bCs w:val="false"/>
                <w:color w:val="000000"/>
                <w:sz w:val="19"/>
                <w:szCs w:val="19"/>
              </w:rPr>
              <w:t xml:space="preserve">0,019</w:t>
            </w:r>
          </w:p>
        </w:tc>
      </w:tr>
      <w:tr>
        <w:tc>
          <w:tcPr>
            <w:tcW w:type="dxa" w:w="39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Antigüedad</w:t>
            </w:r>
          </w:p>
        </w:tc>
        <w:tc>
          <w:tcPr>
            <w:tcW w:type="dxa" w:w="27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0,061</w:t>
            </w:r>
          </w:p>
        </w:tc>
        <w:tc>
          <w:tcPr>
            <w:tcW w:type="dxa" w:w="27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0,010</w:t>
            </w:r>
          </w:p>
        </w:tc>
      </w:tr>
      <w:tr>
        <w:tc>
          <w:tcPr>
            <w:tcW w:type="dxa" w:w="3960"/>
            <w:tcMar>
              <w:top w:type="dxa" w:w="40"/>
              <w:left w:type="dxa" w:w="80"/>
              <w:bottom w:type="dxa" w:w="40"/>
              <w:right w:type="dxa" w:w="80"/>
            </w:tcMar>
          </w:tcPr>
          <w:p>
            <w:pPr>
              <w:spacing w:after="0" w:line="240"/>
              <w:jc w:val="left"/>
            </w:pPr>
            <w:r>
              <w:rPr>
                <w:b w:val="false"/>
                <w:bCs w:val="false"/>
                <w:color w:val="000000"/>
                <w:sz w:val="19"/>
                <w:szCs w:val="19"/>
              </w:rPr>
              <w:t xml:space="preserve">Habitaciones, baños y garajes</w:t>
            </w:r>
          </w:p>
        </w:tc>
        <w:tc>
          <w:tcPr>
            <w:tcW w:type="dxa" w:w="2700"/>
            <w:tcMar>
              <w:top w:type="dxa" w:w="40"/>
              <w:left w:type="dxa" w:w="80"/>
              <w:bottom w:type="dxa" w:w="40"/>
              <w:right w:type="dxa" w:w="80"/>
            </w:tcMar>
          </w:tcPr>
          <w:p>
            <w:pPr>
              <w:spacing w:after="0" w:line="240"/>
              <w:jc w:val="right"/>
            </w:pPr>
            <w:r>
              <w:rPr>
                <w:b w:val="false"/>
                <w:bCs w:val="false"/>
                <w:color w:val="000000"/>
                <w:sz w:val="19"/>
                <w:szCs w:val="19"/>
              </w:rPr>
              <w:t xml:space="preserve">—</w:t>
            </w:r>
          </w:p>
        </w:tc>
        <w:tc>
          <w:tcPr>
            <w:tcW w:type="dxa" w:w="2700"/>
            <w:tcMar>
              <w:top w:type="dxa" w:w="40"/>
              <w:left w:type="dxa" w:w="80"/>
              <w:bottom w:type="dxa" w:w="40"/>
              <w:right w:type="dxa" w:w="80"/>
            </w:tcMar>
          </w:tcPr>
          <w:p>
            <w:pPr>
              <w:spacing w:after="0" w:line="240"/>
              <w:jc w:val="right"/>
            </w:pPr>
            <w:r>
              <w:rPr>
                <w:b w:val="false"/>
                <w:bCs w:val="false"/>
                <w:color w:val="000000"/>
                <w:sz w:val="19"/>
                <w:szCs w:val="19"/>
              </w:rPr>
              <w:t xml:space="preserve">0,008</w:t>
            </w:r>
          </w:p>
        </w:tc>
      </w:tr>
      <w:tr>
        <w:tc>
          <w:tcPr>
            <w:tcW w:type="dxa" w:w="3960"/>
            <w:shd w:fill="EDF0F7" w:color="auto" w:val="clear"/>
            <w:tcMar>
              <w:top w:type="dxa" w:w="40"/>
              <w:left w:type="dxa" w:w="80"/>
              <w:bottom w:type="dxa" w:w="40"/>
              <w:right w:type="dxa" w:w="80"/>
            </w:tcMar>
          </w:tcPr>
          <w:p>
            <w:pPr>
              <w:spacing w:after="0" w:line="240"/>
              <w:jc w:val="left"/>
            </w:pPr>
            <w:r>
              <w:rPr>
                <w:b w:val="false"/>
                <w:bCs w:val="false"/>
                <w:color w:val="000000"/>
                <w:sz w:val="19"/>
                <w:szCs w:val="19"/>
              </w:rPr>
              <w:t xml:space="preserve">Modelo completo</w:t>
            </w:r>
          </w:p>
        </w:tc>
        <w:tc>
          <w:tcPr>
            <w:tcW w:type="dxa" w:w="27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0,869</w:t>
            </w:r>
          </w:p>
        </w:tc>
        <w:tc>
          <w:tcPr>
            <w:tcW w:type="dxa" w:w="2700"/>
            <w:shd w:fill="EDF0F7" w:color="auto" w:val="clear"/>
            <w:tcMar>
              <w:top w:type="dxa" w:w="40"/>
              <w:left w:type="dxa" w:w="80"/>
              <w:bottom w:type="dxa" w:w="40"/>
              <w:right w:type="dxa" w:w="80"/>
            </w:tcMar>
          </w:tcPr>
          <w:p>
            <w:pPr>
              <w:spacing w:after="0" w:line="240"/>
              <w:jc w:val="right"/>
            </w:pPr>
            <w:r>
              <w:rPr>
                <w:b w:val="false"/>
                <w:bCs w:val="false"/>
                <w:color w:val="000000"/>
                <w:sz w:val="19"/>
                <w:szCs w:val="19"/>
              </w:rPr>
              <w:t xml:space="preserve">—</w:t>
            </w:r>
          </w:p>
        </w:tc>
      </w:tr>
    </w:tbl>
    <w:p>
      <w:pPr>
        <w:pStyle w:val="Heading1"/>
        <w:spacing w:after="140" w:before="300"/>
      </w:pPr>
      <w:r>
        <w:rPr>
          <w:b/>
          <w:bCs/>
        </w:rPr>
        <w:t xml:space="preserve">6. Discusión</w:t>
      </w:r>
    </w:p>
    <w:p>
      <w:pPr>
        <w:spacing w:after="140" w:line="276"/>
        <w:jc w:val="both"/>
      </w:pPr>
      <w:r>
        <w:t xml:space="preserve">La convergencia entre los tres frentes metodológicos fortalece la validez de los hallazgos: lo que el análisis gráfico sugiere (la escalera de precios por estrato y zona, la fuerte relación con el área), la inferencia lo confirma con p-valores y tamaños de efecto, y el modelo de regresión lo integra en una fórmula predictiva. El análisis del precio por metro cuadrado (sección 3.7) aporta un matiz que el precio bruto oculta: la distinción entre inmuebles caros por grandes (Guaymaral) e inmuebles caros por ubicación (Norte, Centro, Chapinero). Asimismo, el contraste entre los dos chi-cuadrados de la sección 4.7 refuerza una precaución metodológica esencial cuando se trabaja con grandes volúmenes de datos: distinguir significancia estadística de relevancia práctica.</w:t>
      </w:r>
    </w:p>
    <w:p>
      <w:pPr>
        <w:pStyle w:val="Heading1"/>
        <w:spacing w:after="140" w:before="300"/>
      </w:pPr>
      <w:r>
        <w:rPr>
          <w:b/>
          <w:bCs/>
        </w:rPr>
        <w:t xml:space="preserve">7. Conclusiones</w:t>
      </w:r>
    </w:p>
    <w:p>
      <w:pPr>
        <w:spacing w:after="140" w:line="276"/>
        <w:jc w:val="both"/>
      </w:pPr>
      <w:r>
        <w:t xml:space="preserve">Este es un estudio </w:t>
      </w:r>
      <w:r>
        <w:rPr>
          <w:b/>
          <w:bCs/>
        </w:rPr>
        <w:t xml:space="preserve">observacional</w:t>
      </w:r>
      <w:r>
        <w:t xml:space="preserve">, así que sus hallazgos se leen como </w:t>
      </w:r>
      <w:r>
        <w:rPr>
          <w:b/>
          <w:bCs/>
        </w:rPr>
        <w:t xml:space="preserve">asociaciones</w:t>
      </w:r>
      <w:r>
        <w:t xml:space="preserve">, no como relaciones de causa-efecto. Cada conclusión parte de la idea y de su traducción en pesos; el respaldo estadístico —desarrollado en las secciones 4 y 5— se cita de forma breve.</w:t>
      </w:r>
    </w:p>
    <w:p>
      <w:pPr>
        <w:pStyle w:val="Heading2"/>
        <w:spacing w:after="100" w:before="220"/>
      </w:pPr>
      <w:r>
        <w:rPr>
          <w:b/>
          <w:bCs/>
        </w:rPr>
        <w:t xml:space="preserve">7.1 Hallazgos integrados</w:t>
      </w:r>
    </w:p>
    <w:p>
      <w:pPr>
        <w:pStyle w:val="ListParagraph"/>
        <w:numPr>
          <w:ilvl w:val="0"/>
          <w:numId w:val="2"/>
        </w:numPr>
        <w:spacing w:after="120"/>
        <w:jc w:val="both"/>
      </w:pPr>
      <w:r>
        <w:rPr>
          <w:b/>
          <w:bCs/>
        </w:rPr>
        <w:t xml:space="preserve">El estrato ordena el mercado como una etiqueta de precio. </w:t>
      </w:r>
      <w:r>
        <w:t xml:space="preserve">Al subir de estrato, el canon típico escala con nitidez: la mediana pasa de ~$1,0 M (estrato 2) a $1,5 M, $2,7 M, $6,0 M y $8,5 M (estrato 6), y en el modelo un estrato 6 casi duplica el precio de un estrato 2 comparable. Es la variable de mayor asociación con el precio (explica ~46 % de su variación) y todas las diferencias entre estratos son reales y crecientes. Es una asociación, no una causa, y —como se ve en el punto siguiente— buena parte se solapa con la zona.</w:t>
      </w:r>
    </w:p>
    <w:p>
      <w:pPr>
        <w:pStyle w:val="ListParagraph"/>
        <w:numPr>
          <w:ilvl w:val="0"/>
          <w:numId w:val="2"/>
        </w:numPr>
        <w:spacing w:after="120"/>
        <w:jc w:val="both"/>
      </w:pPr>
      <w:r>
        <w:rPr>
          <w:b/>
          <w:bCs/>
        </w:rPr>
        <w:t xml:space="preserve">La geografía del precio es, en gran medida, la geografía del estrato. </w:t>
      </w:r>
      <w:r>
        <w:t xml:space="preserve">Las zonas se ordenan de $1,1 M (Sur) a $11,2 M (Guaymaral) en canon mediano, pero zona y estrato están tan entrelazados —Norte y Guaymaral son casi todo estrato 6 (Ilustración 18)— que no deben leerse como dos efectos independientes: gran parte del “premio de zona” es premio de estrato. Aun así, la ubicación aporta algo propio: en el modelo, las diferencias por zona persisten tras controlar por área y estrato. Un índice de precios por localidad que ignore el estrato confunde ambos.</w:t>
      </w:r>
    </w:p>
    <w:p>
      <w:pPr>
        <w:pStyle w:val="ListParagraph"/>
        <w:numPr>
          <w:ilvl w:val="0"/>
          <w:numId w:val="2"/>
        </w:numPr>
        <w:spacing w:after="120"/>
        <w:jc w:val="both"/>
      </w:pPr>
      <w:r>
        <w:rPr>
          <w:b/>
          <w:bCs/>
        </w:rPr>
        <w:t xml:space="preserve">El tamaño es el factor con mayor peso propio y se comporta como una elasticidad. </w:t>
      </w:r>
      <w:r>
        <w:t xml:space="preserve">El área es la variable que más aporta por sí sola al modelo y, por su forma log-log, se lee como elasticidad: manteniendo lo demás constante, un 10 % más de área se asocia con ~6,9 % más de precio. En la práctica, duplicar el área no duplica el canon, lo multiplica por ~1,6; por eso el precio por metro tiende a bajar en los inmuebles grandes.</w:t>
      </w:r>
    </w:p>
    <w:p>
      <w:pPr>
        <w:pStyle w:val="ListParagraph"/>
        <w:numPr>
          <w:ilvl w:val="0"/>
          <w:numId w:val="2"/>
        </w:numPr>
        <w:spacing w:after="120"/>
        <w:jc w:val="both"/>
      </w:pPr>
      <w:r>
        <w:rPr>
          <w:b/>
          <w:bCs/>
        </w:rPr>
        <w:t xml:space="preserve">El equipamiento se paga; el número de cuartos, no tanto. </w:t>
      </w:r>
      <w:r>
        <w:t xml:space="preserve">A igual área, un baño o un garaje adicional suben el canon (del orden de +6,5 % y +8,5 % en el modelo; el garaje marca una diferencia muy grande), mientras que una habitación más —que reparte el mismo metraje en espacios más pequeños— lo baja levemente (−4,4 %). El mercado paga por amplitud y dotación, no por contar puertas.</w:t>
      </w:r>
    </w:p>
    <w:p>
      <w:pPr>
        <w:pStyle w:val="ListParagraph"/>
        <w:numPr>
          <w:ilvl w:val="0"/>
          <w:numId w:val="2"/>
        </w:numPr>
        <w:spacing w:after="120"/>
        <w:jc w:val="both"/>
      </w:pPr>
      <w:r>
        <w:rPr>
          <w:b/>
          <w:bCs/>
        </w:rPr>
        <w:t xml:space="preserve">“Lo nuevo es más barato” es un espejismo. </w:t>
      </w:r>
      <w:r>
        <w:t xml:space="preserve">El dato simple sugiere que los inmuebles de 0–5 años son los más económicos, pero es un efecto de composición: la antigüedad pesa poco por sí sola (~6 % de la variación) y su efecto depende del estrato (la interacción es significativa). En estratos altos, remodelar sí capitaliza; en estratos medios, casi no. Analizar una variable de forma aislada puede llevar a la conclusión contraria a la verdad.</w:t>
      </w:r>
    </w:p>
    <w:p>
      <w:pPr>
        <w:pStyle w:val="ListParagraph"/>
        <w:numPr>
          <w:ilvl w:val="0"/>
          <w:numId w:val="2"/>
        </w:numPr>
        <w:spacing w:after="120"/>
        <w:jc w:val="both"/>
      </w:pPr>
      <w:r>
        <w:rPr>
          <w:b/>
          <w:bCs/>
        </w:rPr>
        <w:t xml:space="preserve">El modelo sirve para orientar precios, no para avaluar. </w:t>
      </w:r>
      <w:r>
        <w:t xml:space="preserve">Explica el 87 % de la variación del </w:t>
      </w:r>
      <w:r>
        <w:rPr>
          <w:i/>
          <w:iCs/>
        </w:rPr>
        <w:t xml:space="preserve">log</w:t>
      </w:r>
      <w:r>
        <w:t xml:space="preserve">-precio —muy por encima de un modelo solo con área (73 %) o del precio en pesos sin transformar (66 %)— y su error típico ronda el 24 % (unos $2 M sobre una mediana de $6,2 M). Es útil para fijar un precio de lista o un rango, pero insuficiente para tasar un inmueble puntual, sobre todo en la gama alta, donde pesan atributos que la base no mide.</w:t>
      </w:r>
    </w:p>
    <w:p>
      <w:pPr>
        <w:pStyle w:val="ListParagraph"/>
        <w:numPr>
          <w:ilvl w:val="0"/>
          <w:numId w:val="2"/>
        </w:numPr>
        <w:spacing w:after="120"/>
        <w:jc w:val="both"/>
      </w:pPr>
      <w:r>
        <w:rPr>
          <w:b/>
          <w:bCs/>
        </w:rPr>
        <w:t xml:space="preserve">Significancia no es lo mismo que relevancia. </w:t>
      </w:r>
      <w:r>
        <w:t xml:space="preserve">Con ~9.300 inmuebles casi todo resulta “significativo”, de modo que el p-valor (evidencia) se lee junto al tamaño de efecto (magnitud) y al intervalo de confianza (incertidumbre). Ejemplo: la administración es significativa pero explica solo el 0,1 % del precio; y la diferencia entre dos zonas intermedias, aun siendo real, cae en un rango amplio (+11 % a +29 %).</w:t>
      </w:r>
    </w:p>
    <w:p>
      <w:pPr>
        <w:spacing w:after="140" w:line="276"/>
        <w:jc w:val="both"/>
      </w:pPr>
      <w:r>
        <w:rPr>
          <w:b/>
          <w:bCs/>
        </w:rPr>
        <w:t xml:space="preserve">En síntesis, </w:t>
      </w:r>
      <w:r>
        <w:t xml:space="preserve">el precio del arriendo en Bogotá se asocia sobre todo con el </w:t>
      </w:r>
      <w:r>
        <w:rPr>
          <w:b/>
          <w:bCs/>
        </w:rPr>
        <w:t xml:space="preserve">tamaño</w:t>
      </w:r>
      <w:r>
        <w:t xml:space="preserve"> del inmueble y con su </w:t>
      </w:r>
      <w:r>
        <w:rPr>
          <w:b/>
          <w:bCs/>
        </w:rPr>
        <w:t xml:space="preserve">posición socioeconómico-territorial</w:t>
      </w:r>
      <w:r>
        <w:t xml:space="preserve"> (estrato y zona, muy ligados entre sí), mientras que la antigüedad y el número de espacios juegan un papel secundario. Un modelo log-lineal con estas variables reproduce el 87 % de la variación del log-precio y sitúa el error en torno a ±24 %. Los patrones se mantienen bajo las pruebas no paramétricas de respaldo y bajo errores robustos (HC3), aunque su generalización está condicionada por el carácter observacional y por una muestra sesgada al segmento alto.</w:t>
      </w:r>
    </w:p>
    <w:p>
      <w:pPr>
        <w:pStyle w:val="Heading2"/>
        <w:spacing w:after="100" w:before="220"/>
      </w:pPr>
      <w:r>
        <w:rPr>
          <w:b/>
          <w:bCs/>
        </w:rPr>
        <w:t xml:space="preserve">7.2 Implicaciones prácticas</w:t>
      </w:r>
    </w:p>
    <w:p>
      <w:pPr>
        <w:spacing w:after="140" w:line="276"/>
        <w:jc w:val="both"/>
      </w:pPr>
      <w:r>
        <w:rPr>
          <w:b/>
          <w:bCs/>
        </w:rPr>
        <w:t xml:space="preserve">Para quien arrienda (inquilino). </w:t>
      </w:r>
      <w:r>
        <w:t xml:space="preserve">El presupuesto rinde de forma muy distinta según la combinación estrato–zona: el canon mediano de estratos 3–4 ($1,5–2,7 M) es una fracción del de estrato 6 ($8,5 M). Dentro de una zona con mezcla de estratos, como Chapinero, comparar inmuebles del mismo estrato ayuda a no pagar el “premio de etiqueta”; y renunciar a un garaje o a un baño reduce de forma apreciable el canon esperado.</w:t>
      </w:r>
    </w:p>
    <w:p>
      <w:pPr>
        <w:spacing w:after="140" w:line="276"/>
        <w:jc w:val="both"/>
      </w:pPr>
      <w:r>
        <w:rPr>
          <w:b/>
          <w:bCs/>
        </w:rPr>
        <w:t xml:space="preserve">Para propietarios e inversionistas. </w:t>
      </w:r>
      <w:r>
        <w:t xml:space="preserve">Los atributos que más se capitalizan en el canon son el estrato (no modificable), los baños y los garajes (parcialmente modificables) y, en estratos altos, la remodelación: un inmueble antiguo remodelado en estrato 5–6 alcanza cánones comparables a los de estrenar. En estratos medios, en cambio, invertir en remodelación tiene un retorno esperado menor sobre el arriendo.</w:t>
      </w:r>
    </w:p>
    <w:p>
      <w:pPr>
        <w:spacing w:after="140" w:line="276"/>
        <w:jc w:val="both"/>
      </w:pPr>
      <w:r>
        <w:rPr>
          <w:b/>
          <w:bCs/>
        </w:rPr>
        <w:t xml:space="preserve">Para análisis de mercado e índices. </w:t>
      </w:r>
      <w:r>
        <w:t xml:space="preserve">El fuerte solapamiento zona–estrato (Cramér's V = 0,47) advierte que un índice de precios por localidad captura en realidad composición socioeconómica; separar ambos efectos exige modelos conjuntos como el de la sección 5. Y como la media supera de forma sistemática a la mediana, cualquier cifra de “arriendo promedio en Bogotá” debería reportarse con la mediana para no inflar la percepción del mercado.</w:t>
      </w:r>
    </w:p>
    <w:p>
      <w:pPr>
        <w:pStyle w:val="Heading1"/>
        <w:spacing w:after="140" w:before="300"/>
      </w:pPr>
      <w:r>
        <w:rPr>
          <w:b/>
          <w:bCs/>
        </w:rPr>
        <w:t xml:space="preserve">8. Limitaciones y líneas futuras</w:t>
      </w:r>
    </w:p>
    <w:p>
      <w:pPr>
        <w:spacing w:after="140" w:line="276"/>
        <w:jc w:val="both"/>
      </w:pPr>
      <w:r>
        <w:t xml:space="preserve">Los resultados deben interpretarse a la luz de varias limitaciones. Primero, se trata de datos </w:t>
      </w:r>
      <w:r>
        <w:rPr>
          <w:b/>
          <w:bCs/>
        </w:rPr>
        <w:t xml:space="preserve">observacionales</w:t>
      </w:r>
      <w:r>
        <w:t xml:space="preserve">: las asociaciones halladas no implican causalidad (el efecto del garaje, por ejemplo, se confunde con el del tamaño y el estrato). Segundo, la muestra </w:t>
      </w:r>
      <w:r>
        <w:rPr>
          <w:b/>
          <w:bCs/>
        </w:rPr>
        <w:t xml:space="preserve">no es representativa de todo Bogotá</w:t>
      </w:r>
      <w:r>
        <w:t xml:space="preserve"> —predominan el estrato 6 y la zona Norte—, por lo que corresponde al mercado formal de arriendo publicado en portales y las conclusiones deben leerse con ese alcance. Tercero, la calidad de la fuente obligó a decisiones de depuración (rangos de precio y área, y exclusión del estrato 1 mal clasificado; detalle metodológico en §2.2) que podrían influir en las estimaciones. Cuarto, cerca del 19 % de los inmuebles no reporta administración. Finalmente, faltan variables potencialmente relevantes —estado de los acabados, piso, cercanía a transporte público o a servicios— cuya ausencia limita el poder explicativo del modelo. Los principales patrones se mantienen bajo las pruebas de respaldo realizadas (§7), aunque su generalización está condicionada por las características y la calidad de los datos disponibles.</w:t>
      </w:r>
    </w:p>
    <w:p>
      <w:pPr>
        <w:spacing w:after="140" w:line="276"/>
        <w:jc w:val="both"/>
      </w:pPr>
      <w:r>
        <w:rPr>
          <w:b/>
          <w:bCs/>
        </w:rPr>
        <w:t xml:space="preserve">Líneas futuras. </w:t>
      </w:r>
      <w:r>
        <w:t xml:space="preserve">El trabajo podría enriquecerse con: (i) </w:t>
      </w:r>
      <w:r>
        <w:rPr>
          <w:b/>
          <w:bCs/>
        </w:rPr>
        <w:t xml:space="preserve">validación fuera de muestra</w:t>
      </w:r>
      <w:r>
        <w:t xml:space="preserve"> (partición train/test o validación cruzada) para estimar el error predictivo real y no solo el ajuste en muestra; (ii) el uso de las </w:t>
      </w:r>
      <w:r>
        <w:rPr>
          <w:b/>
          <w:bCs/>
        </w:rPr>
        <w:t xml:space="preserve">coordenadas como distancia</w:t>
      </w:r>
      <w:r>
        <w:t xml:space="preserve"> a puntos de referencia (centros de negocio, transporte) en lugar de la zona categórica; (iii) </w:t>
      </w:r>
      <w:r>
        <w:rPr>
          <w:b/>
          <w:bCs/>
        </w:rPr>
        <w:t xml:space="preserve">términos de interacción</w:t>
      </w:r>
      <w:r>
        <w:t xml:space="preserve"> —por ejemplo área × estrato— para comprobar si la elasticidad del área varía entre estratos; y (iv) una </w:t>
      </w:r>
      <w:r>
        <w:rPr>
          <w:b/>
          <w:bCs/>
        </w:rPr>
        <w:t xml:space="preserve">muestra más equilibrada</w:t>
      </w:r>
      <w:r>
        <w:t xml:space="preserve"> entre estratos y zonas que mejore la validez externa.</w:t>
      </w:r>
    </w:p>
    <w:p>
      <w:pPr>
        <w:pStyle w:val="Heading1"/>
        <w:spacing w:after="140" w:before="300"/>
      </w:pPr>
      <w:r>
        <w:rPr>
          <w:b/>
          <w:bCs/>
        </w:rPr>
        <w:t xml:space="preserve">Referencias y origen de los datos</w:t>
      </w:r>
    </w:p>
    <w:p>
      <w:pPr>
        <w:spacing w:after="140" w:line="276"/>
        <w:jc w:val="both"/>
      </w:pPr>
      <w:r>
        <w:rPr>
          <w:i/>
          <w:iCs/>
        </w:rPr>
        <w:t xml:space="preserve">base_arriendos.csv</w:t>
      </w:r>
      <w:r>
        <w:t xml:space="preserve"> — Listado de precios de arriendo de inmuebles en Bogotá con variables físicas, socioeconómicas y geográficas (Actividad 3, Unidad 3, Maestría en Inteligencia Artificial, Universidad de La Sabana).</w:t>
      </w:r>
    </w:p>
    <w:p>
      <w:pPr>
        <w:spacing w:after="140" w:line="276"/>
        <w:jc w:val="both"/>
      </w:pPr>
      <w:r>
        <w:t xml:space="preserve">Herramientas: Python 3, pandas, NumPy, matplotlib, seaborn, SciPy y statsmodels.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spacing w:after="0"/>
      <w:jc w:val="right"/>
    </w:pPr>
    <w:r>
      <w:rPr>
        <w:color w:val="777777"/>
        <w:sz w:val="16"/>
        <w:szCs w:val="16"/>
      </w:rPr>
      <w:t xml:space="preserve">Universidad de La Sabana — Maestría en Inteligencia Artificial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qFormat/>
    <w:pPr>
      <w:spacing w:after="160" w:before="40"/>
      <w:jc w:val="center"/>
    </w:pPr>
    <w:rPr>
      <w:i/>
      <w:iCs/>
      <w:color w:val="555555"/>
      <w:sz w:val="18"/>
      <w:szCs w:val="18"/>
    </w:rPr>
  </w:style>
  <w:style w:type="paragraph" w:styleId="Heading1">
    <w:name w:val="Heading 1"/>
    <w:basedOn w:val="Normal"/>
    <w:next w:val="Normal"/>
    <w:qFormat/>
    <w:pPr>
      <w:spacing w:after="14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5a9f869430d2395e8b089c02190d0253457386.png"/><Relationship Id="rId10" Type="http://schemas.openxmlformats.org/officeDocument/2006/relationships/image" Target="media/d75b37a45ddb92a07ce591497b57d793c3943a2d.png"/><Relationship Id="rId11" Type="http://schemas.openxmlformats.org/officeDocument/2006/relationships/image" Target="media/fea72f4b3ce304fb6f67f0a1aa1fa336fe96ac98.png"/><Relationship Id="rId12" Type="http://schemas.openxmlformats.org/officeDocument/2006/relationships/image" Target="media/8008a07ea809ac92716df87a08f9e304cb35d72f.png"/><Relationship Id="rId13" Type="http://schemas.openxmlformats.org/officeDocument/2006/relationships/image" Target="media/4f9d77b7a65b42ed6cb5f9fd3da7dc05794cb13c.png"/><Relationship Id="rId14" Type="http://schemas.openxmlformats.org/officeDocument/2006/relationships/image" Target="media/678651f51406ad39c7a45d65eb299149be4ee55e.png"/><Relationship Id="rId15" Type="http://schemas.openxmlformats.org/officeDocument/2006/relationships/image" Target="media/2ae57a888599736ad8656c8f5b9261489991d45c.png"/><Relationship Id="rId16" Type="http://schemas.openxmlformats.org/officeDocument/2006/relationships/image" Target="media/06507b58d77dcb268a2e4e072035fd4a7e3bfae0.png"/><Relationship Id="rId17" Type="http://schemas.openxmlformats.org/officeDocument/2006/relationships/image" Target="media/e00acc052ee15e32a2611b95a4cf9b0061927c18.png"/><Relationship Id="rId18" Type="http://schemas.openxmlformats.org/officeDocument/2006/relationships/image" Target="media/9e02b26ce499385e74d618809567ecb5bd77d4f4.png"/><Relationship Id="rId19" Type="http://schemas.openxmlformats.org/officeDocument/2006/relationships/image" Target="media/cc5734b36de034f0c0c03fa8c54b8b5b218ff4a8.png"/><Relationship Id="rId20" Type="http://schemas.openxmlformats.org/officeDocument/2006/relationships/image" Target="media/2fb199a9eee3176890ebf697dd4d3bf7451c006d.png"/><Relationship Id="rId21" Type="http://schemas.openxmlformats.org/officeDocument/2006/relationships/image" Target="media/d7d2b416180e4539c8075faa465a4f89e00a45dc.png"/><Relationship Id="rId22" Type="http://schemas.openxmlformats.org/officeDocument/2006/relationships/image" Target="media/46e89ea8b09cdf9b9d1a12ff95a247384c8a657e.png"/><Relationship Id="rId23" Type="http://schemas.openxmlformats.org/officeDocument/2006/relationships/image" Target="media/d0c9367515d3851dd31faee211efd402e501c459.png"/><Relationship Id="rId24" Type="http://schemas.openxmlformats.org/officeDocument/2006/relationships/image" Target="media/f96f92bbbf30e6da810b9b519b9bd02be429d9b2.png"/><Relationship Id="rId25" Type="http://schemas.openxmlformats.org/officeDocument/2006/relationships/image" Target="media/acd37cad954c32265c03feb5a1848d8556bb7465.png"/><Relationship Id="rId26" Type="http://schemas.openxmlformats.org/officeDocument/2006/relationships/image" Target="media/edab914fa32393107ef151cbc87beb8d81c57caa.png"/><Relationship Id="rId27" Type="http://schemas.openxmlformats.org/officeDocument/2006/relationships/image" Target="media/3622f62a643c8f0f4e803baf34ef7c9546e81c10.png"/><Relationship Id="rId28" Type="http://schemas.openxmlformats.org/officeDocument/2006/relationships/image" Target="media/d994c17b5a67f5008bb4d0f77604e761d4e26e93.png"/><Relationship Id="rId29" Type="http://schemas.openxmlformats.org/officeDocument/2006/relationships/image" Target="media/146e4388b3eaad848eafb331b80c7e515e7e61ee.png"/><Relationship Id="rId30" Type="http://schemas.openxmlformats.org/officeDocument/2006/relationships/image" Target="media/e08882ec76c2a14835e3e11cfcaf4120dd46f356.png"/><Relationship Id="rId31" Type="http://schemas.openxmlformats.org/officeDocument/2006/relationships/image" Target="media/54d3fa02289fa1a6492b89899d72ee903528f995.png"/><Relationship Id="rId32" Type="http://schemas.openxmlformats.org/officeDocument/2006/relationships/image" Target="media/838811f81ea8a1f5346b8682eda59e83fac65125.png"/><Relationship Id="rId33" Type="http://schemas.openxmlformats.org/officeDocument/2006/relationships/image" Target="media/0097ef3b436d9e8b5027cff1e01510447413edee.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2026-08-10T01:19:50.221Z</dcterms:created>
  <dcterms:modified xsi:type="dcterms:W3CDTF">2026-08-10T01:19:50.222Z</dcterms:modified>
</cp:coreProperties>
</file>

<file path=docProps/custom.xml><?xml version="1.0" encoding="utf-8"?>
<Properties xmlns="http://schemas.openxmlformats.org/officeDocument/2006/custom-properties" xmlns:vt="http://schemas.openxmlformats.org/officeDocument/2006/docPropsVTypes"/>
</file>