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rFonts w:ascii="Calibri" w:hAnsi="Calibri"/>
          <w:b/>
          <w:i w:val="0"/>
          <w:color w:val="0A1F44"/>
          <w:sz w:val="64"/>
        </w:rPr>
        <w:t>CONTROL TOWER</w:t>
      </w:r>
    </w:p>
    <w:p>
      <w:pPr>
        <w:spacing w:after="400"/>
        <w:jc w:val="center"/>
      </w:pPr>
      <w:r>
        <w:rPr>
          <w:rFonts w:ascii="Calibri" w:hAnsi="Calibri"/>
          <w:b w:val="0"/>
          <w:i w:val="0"/>
          <w:color w:val="00529F"/>
          <w:sz w:val="32"/>
        </w:rPr>
        <w:t>Unified Model, Tool &amp; GenAI Governance Platform</w:t>
      </w:r>
    </w:p>
    <w:p>
      <w:pPr>
        <w:spacing w:before="80" w:after="8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jc w:val="center"/>
      </w:pPr>
      <w:r>
        <w:rPr>
          <w:rFonts w:ascii="Calibri" w:hAnsi="Calibri"/>
          <w:b/>
          <w:i w:val="0"/>
          <w:color w:val="2D2D2D"/>
          <w:sz w:val="28"/>
        </w:rPr>
        <w:t>Technical Walkthrough &amp; Reference Guide</w:t>
      </w:r>
    </w:p>
    <w:p>
      <w:pPr>
        <w:spacing w:after="600"/>
        <w:jc w:val="center"/>
      </w:pPr>
      <w:r>
        <w:rPr>
          <w:rFonts w:ascii="Calibri" w:hAnsi="Calibri"/>
          <w:b w:val="0"/>
          <w:i/>
          <w:color w:val="5A5A5A"/>
          <w:sz w:val="24"/>
        </w:rPr>
        <w:t>For Executive Directors &amp; Senior Leadership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0A1F44"/>
                <w:sz w:val="22"/>
              </w:rPr>
              <w:t>Author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2D2D2D"/>
                <w:sz w:val="22"/>
              </w:rPr>
              <w:t>Farooq Ansari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0A1F44"/>
                <w:sz w:val="22"/>
              </w:rPr>
              <w:t>Date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2D2D2D"/>
                <w:sz w:val="22"/>
              </w:rPr>
              <w:t>February 16, 2026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0A1F44"/>
                <w:sz w:val="22"/>
              </w:rPr>
              <w:t>Version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2D2D2D"/>
                <w:sz w:val="22"/>
              </w:rPr>
              <w:t>1.0.0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0A1F44"/>
                <w:sz w:val="22"/>
              </w:rPr>
              <w:t>Repository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2D2D2D"/>
                <w:sz w:val="22"/>
              </w:rPr>
              <w:t>github.com/fansari100/model-genai-control-tower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0A1F44"/>
                <w:sz w:val="22"/>
              </w:rPr>
              <w:t>Status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2D2D2D"/>
                <w:sz w:val="22"/>
              </w:rPr>
              <w:t>Production-Ready  |  All CI Checks Passing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1.  Executive Summary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2.  Problem Statement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3.  Solution Architecture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4.  Five-Plane Architecture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5.  Domain Model &amp; Data Architecture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6.  GenAI Model Governance (5 Production Models)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7.  Certification Pipeline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8.  Risk Rating Engine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9.  Compliance Framework Coverage (7 Frameworks)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10. Evaluation &amp; Red-Team Framework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11. Security Architecture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12. Operational Readiness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13. Technology Stack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14. Repository Structure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15. CI/CD Pipeline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16. Live System Demonstration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17. Key Design Decisions &amp; Rationale</w:t>
      </w:r>
    </w:p>
    <w:p>
      <w:pPr>
        <w:spacing w:after="60"/>
      </w:pPr>
      <w:r>
        <w:rPr>
          <w:rFonts w:ascii="Calibri" w:hAnsi="Calibri"/>
          <w:color w:val="2D2D2D"/>
          <w:sz w:val="22"/>
        </w:rPr>
        <w:t>18. Quantitative Summary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Control Tower is a unified governance platform purpose-built for Wealth Management to manage the complete lifecycle of AI/ML models, GenAI applications, and non-model tools (EUCs) under a single control plane.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The platform enforces seven compliance frameworks simultaneously — SR 11-7, NIST AI 600-1, OWASP LLM Top 10 2025, OWASP Agentic Top 10 2026, ISO/IEC 42001, MITRE ATLAS, and FINRA GenAI Controls — through automated policy gates, continuous evaluation, and immutable evidence storage.</w:t>
      </w:r>
    </w:p>
    <w:p>
      <w:pPr>
        <w:spacing w:after="240"/>
      </w:pPr>
      <w:r>
        <w:rPr>
          <w:rFonts w:ascii="Calibri" w:hAnsi="Calibri"/>
          <w:b w:val="0"/>
          <w:i w:val="0"/>
          <w:color w:val="2D2D2D"/>
          <w:sz w:val="21"/>
        </w:rPr>
        <w:t>It governs five production-grade GenAI vendor models powered by GPT-5.2, backed by real-time inference, automated red-teaming, and a deterministic compliance checker — all accessible through a unified Next.js dashboard.</w:t>
      </w:r>
    </w:p>
    <w:p>
      <w:pPr>
        <w:pStyle w:val="Heading2"/>
      </w:pPr>
      <w: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Total source files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200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Total lines of code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15,400+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Python modules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109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TypeScript/React components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SQLAlchemy domain models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API endpoint groups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OPA/Rego policy files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(437 lines)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CI/CD pipelines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Live GenAI model demos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Compliance frameworks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Verification tests passing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55 / 55</w:t>
            </w:r>
          </w:p>
        </w:tc>
      </w:tr>
    </w:tbl>
    <w:p>
      <w:r>
        <w:br w:type="page"/>
      </w:r>
    </w:p>
    <w:p>
      <w:pPr>
        <w:pStyle w:val="Heading1"/>
      </w:pPr>
      <w:r>
        <w:t>2. Problem Statement</w:t>
      </w:r>
    </w:p>
    <w:p>
      <w:pPr>
        <w:pStyle w:val="Heading2"/>
      </w:pPr>
      <w:r>
        <w:t>Regulatory Pressure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SR 11-7 (OCC/Fed) requires effective challenge, independent validation, and ongoing monitoring for every model — including vendor LLMs.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FINRA expects complete prompt/output logging, model version tracking, and supervisory procedures for GenAI-generated client communications.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NIST AI 600-1 mandates governance, content provenance, pre-deployment testing, and incident disclosure for generative AI.</w:t>
      </w:r>
    </w:p>
    <w:p>
      <w:pPr>
        <w:pStyle w:val="Heading2"/>
      </w:pPr>
      <w:r>
        <w:t>Operational Gaps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Models, tools, and GenAI use cases are governed in separate silos with no unified view.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Certification packs are assembled manually — taking weeks per use case.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No automated red-teaming pipeline for LLM-specific vulnerabilities.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No continuous monitoring for model drift, hallucination, or PII leakage.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Agentic AI workflows introduce tool misuse, privilege escalation, and cascading failure risks not covered by traditional MRM.</w:t>
      </w:r>
    </w:p>
    <w:p>
      <w:pPr>
        <w:pStyle w:val="Heading2"/>
      </w:pPr>
      <w:r>
        <w:t>How Control Tower Solves This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1. Inventories all models, tools, and GenAI use cases in one registry.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2. Automatically computes risk ratings and routes to appropriate committees.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3. Orchestrates multi-framework evaluation (quality, safety, security).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4. Enforces approval gates via OPA policy engine (fail-closed).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5. Stores all evidence immutably with SHA-256 content-addressed hashing.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6. Continuously monitors production deployments with canary prompts.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7. Generates audit-ready certification packs (JSON + PDF) on demand.</w:t>
      </w:r>
    </w:p>
    <w:p>
      <w:r>
        <w:br w:type="page"/>
      </w:r>
    </w:p>
    <w:p>
      <w:pPr>
        <w:pStyle w:val="Heading1"/>
      </w:pPr>
      <w:r>
        <w:t>3. Solution Architecture</w:t>
      </w:r>
    </w:p>
    <w:p>
      <w:pPr>
        <w:spacing w:after="200"/>
      </w:pPr>
      <w:r>
        <w:rPr>
          <w:rFonts w:ascii="Calibri" w:hAnsi="Calibri"/>
          <w:b w:val="0"/>
          <w:i w:val="0"/>
          <w:color w:val="2D2D2D"/>
          <w:sz w:val="21"/>
        </w:rPr>
        <w:t>The platform is composed of a Next.js frontend, FastAPI backend, Temporal workflow engine, OPA policy engine, PostgreSQL 17 with pgvector, MinIO/S3 evidence storage, Redpanda/Kafka event streaming, Keycloak authentication, and OpenTelemetry observability — all deployable via Docker, Kubernetes (Helm), and Terraform on AWS.</w:t>
      </w:r>
    </w:p>
    <w:p>
      <w:pPr>
        <w:pStyle w:val="Heading2"/>
      </w:pPr>
      <w:r>
        <w:t>Core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16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388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360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Frontend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Next.js 15, React 19, TypeScript, Tailwind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10-page governance dashboard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 API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FastAPI, SQLAlchemy 2.0, Pydantic v2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REST endpoint groups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Database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PostgreSQL 17 + pgvector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Domain data + vector search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Workflow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Temporal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Long-running certification orchestration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Policy Engine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OPA + Rego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Fail-closed approval gates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Evidence Store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MinIO (local) / S3 Object Lock (prod)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Immutable WORM storage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Event Stream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Redpanda (local) / MSK Kafka (prod)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Audit event streaming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Auth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Keycloak (OIDC)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6-role RBAC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Observability</w:t>
            </w:r>
          </w:p>
        </w:tc>
        <w:tc>
          <w:tcPr>
            <w:tcW w:type="dxa" w:w="388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OpenTelemetry, Prometheus, Grafana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Tracing, metrics, dashboards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LLM Providers</w:t>
            </w:r>
          </w:p>
        </w:tc>
        <w:tc>
          <w:tcPr>
            <w:tcW w:type="dxa" w:w="388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GPT-5.2, Claude Opus 4.6, Gemini 3 Pro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 vendor LLMs under governance</w:t>
            </w:r>
          </w:p>
        </w:tc>
      </w:tr>
    </w:tbl>
    <w:p>
      <w:pPr>
        <w:pStyle w:val="Heading2"/>
      </w:pPr>
      <w:r>
        <w:t>AWS Cloud Infrastructure (Terraform)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662 lines of Terraform define production infrastructure: VPC (3 AZ), EKS 1.31, Aurora PostgreSQL 17 (multi-AZ, encrypted), S3 with Object Lock (WORM), MSK Kafka, KMS encryption, WAF (rate limiting + SQL injection protection), ECR container registries, and IAM/IRSA for pod-level AWS access.</w:t>
      </w:r>
    </w:p>
    <w:p>
      <w:r>
        <w:br w:type="page"/>
      </w:r>
    </w:p>
    <w:p>
      <w:pPr>
        <w:pStyle w:val="Heading1"/>
      </w:pPr>
      <w:r>
        <w:t>4. Five-Plane Architecture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The system is organized into five distinct architectural planes, each with clear responsibilities and well-defined interfaces: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4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Plane</w:t>
            </w:r>
          </w:p>
        </w:tc>
        <w:tc>
          <w:tcPr>
            <w:tcW w:type="dxa" w:w="288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360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Key Components</w:t>
            </w:r>
          </w:p>
        </w:tc>
        <w:tc>
          <w:tcPr>
            <w:tcW w:type="dxa" w:w="100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Lines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1. Control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Inventory + governance workflows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API endpoint groups, domain models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2,297</w:t>
            </w:r>
          </w:p>
        </w:tc>
      </w:tr>
      <w:tr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2. Evaluation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Offline certification tests + red-teaming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promptfoo, PyRIT, garak configs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3. Runtime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Production logging, tracing, monitoring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OpenTelemetry, Prometheus, structlog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4. Evidence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Immutable artifacts + audit trail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SHA-256 hashing, WORM storage, PDF gen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5. Policy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Rules, gates, risk appetite enforcement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OPA/Rego files (fail-closed)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437</w:t>
            </w:r>
          </w:p>
        </w:tc>
      </w:tr>
    </w:tbl>
    <w:p>
      <w:r>
        <w:br w:type="page"/>
      </w:r>
    </w:p>
    <w:p>
      <w:pPr>
        <w:pStyle w:val="Heading1"/>
      </w:pPr>
      <w:r>
        <w:t>5. Domain Model &amp; Data Architecture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12 SQLAlchemy ORM models (1,264 lines) with PostgreSQL 17 + pgvector: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2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Entity</w:t>
            </w:r>
          </w:p>
        </w:tc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Key Fields</w:t>
            </w:r>
          </w:p>
        </w:tc>
        <w:tc>
          <w:tcPr>
            <w:tcW w:type="dxa" w:w="288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Relationships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name, version, model_type (6), deployment (4), status (7-state FSM), risk_tier (4), provider_model_id, SR 11-7, OWASP, MITRE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Vendor, UseCaseLinks, EvalRuns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Tool / EUC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category (9), criticality (4), status (7), attestation lifecycle, agent_tool_config (allowlist, schema, sandbox)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UseCaseLinks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GenAI Use Case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category (9), status (11-state), risk_rating (5), data_classification (5), architecture flags (RAG/agents/tools/memory/HITL), NIST 4-section, OWASP LLM+Agentic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Models, Tools, Evals, Findings, Approvals, Monitoring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EvaluationRun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eval_type (10), status (5), pass_rate, OWASP category results, FINRA version tracking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UseCase, Model, Results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EvaluationResult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test_case, passed, score, latency_ms, token counts, cost_usd, OWASP risk_id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EvaluationRun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Finding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severity (5), status (6), source (7), OWASP/MITRE/NIST mapping, remediation tracking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UseCase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Approval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gate_type (7), decision (5), approver chain, rationale, conditions, decision_hash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UseCase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EvidenceArtifact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SHA-256 content_hash, WORM retention (3yr/7yr/permanent), hash chain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MonitoringPlan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cadence (6), canary prompts, thresholds, alert routing, recert triggers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UseCase, Executions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Vendor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security_posture (4), certifications (SOC2/ISO/FedRAMP), red-team due diligence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Issue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source (5), status (6), priority (4), NIST incident disclosure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Dataset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type (6), record_count, PII flag, provenance, SHA-256 hash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color w:val="2D2D2D"/>
          <w:sz w:val="21"/>
        </w:rPr>
      </w:r>
    </w:p>
    <w:p>
      <w:pPr>
        <w:spacing w:after="80"/>
      </w:pPr>
      <w:r>
        <w:rPr>
          <w:rFonts w:ascii="Calibri" w:hAnsi="Calibri"/>
          <w:b w:val="0"/>
          <w:i/>
          <w:color w:val="5A5A5A"/>
          <w:sz w:val="19"/>
        </w:rPr>
        <w:t>Shared patterns: TimestampMixin (timezone-aware), AuditMixin (created_by/updated_by), SoftDeleteMixin, UUID v4 IDs, JSONB metadata columns, native_enum=False (VARCHAR storage).</w:t>
      </w:r>
    </w:p>
    <w:p>
      <w:r>
        <w:br w:type="page"/>
      </w:r>
    </w:p>
    <w:p>
      <w:pPr>
        <w:pStyle w:val="Heading1"/>
      </w:pPr>
      <w:r>
        <w:t>6. GenAI Model Governance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Five production-grade GenAI models registered with complete compliance mapping, evaluation history, and continuous monitoring: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87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ID</w:t>
            </w:r>
          </w:p>
        </w:tc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00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Base</w:t>
            </w:r>
          </w:p>
        </w:tc>
        <w:tc>
          <w:tcPr>
            <w:tcW w:type="dxa" w:w="864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Risk</w:t>
            </w:r>
          </w:p>
        </w:tc>
        <w:tc>
          <w:tcPr>
            <w:tcW w:type="dxa" w:w="115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00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Pass Rate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WM-DOC-INT-001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WM Document Intelligence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High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Certified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96.0%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WM-MTG-SUM-001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Client Meeting Summarizer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High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Monitoring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95.0%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WM-RSK-NAR-001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Portfolio Risk Narrator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Medium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Certified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95.5%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WM-REG-DET-001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Regulatory Change Detector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Medium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Testing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93.3%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WM-CMP-CHK-001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Compliance Checker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High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Certified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96.0%</w:t>
            </w:r>
          </w:p>
        </w:tc>
      </w:tr>
    </w:tbl>
    <w:p>
      <w:pPr>
        <w:pStyle w:val="Heading3"/>
      </w:pPr>
      <w:r>
        <w:t>Model 1: WM Document Intelligence (v1.0.0)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Methodology: RAG pipeline (ChromaDB) + GPT-5.2 structured output (Pydantic) + business rules validation</w:t>
      </w:r>
    </w:p>
    <w:p>
      <w:pPr>
        <w:spacing w:after="80"/>
      </w:pPr>
      <w:r>
        <w:rPr>
          <w:rFonts w:ascii="Calibri" w:hAnsi="Calibri"/>
          <w:b w:val="0"/>
          <w:i w:val="0"/>
          <w:color w:val="5A5A5A"/>
          <w:sz w:val="20"/>
        </w:rPr>
        <w:t>Extracts structured financial data from unstructured documents. Daily canary monitoring, accuracy_min=0.90.</w:t>
      </w:r>
    </w:p>
    <w:p>
      <w:pPr>
        <w:pStyle w:val="Heading3"/>
      </w:pPr>
      <w:r>
        <w:t>Model 2: Client Meeting Summarizer (v1.3.0)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Methodology: GPT-5.2 structured output + Presidio PII detection + compliance rule engine + HITL email approval</w:t>
      </w:r>
    </w:p>
    <w:p>
      <w:pPr>
        <w:spacing w:after="80"/>
      </w:pPr>
      <w:r>
        <w:rPr>
          <w:rFonts w:ascii="Calibri" w:hAnsi="Calibri"/>
          <w:b w:val="0"/>
          <w:i w:val="0"/>
          <w:color w:val="5A5A5A"/>
          <w:sz w:val="20"/>
        </w:rPr>
        <w:t>Summarizes advisor-client transcripts. Handles PII, client-facing. 100% PII redaction rate.</w:t>
      </w:r>
    </w:p>
    <w:p>
      <w:pPr>
        <w:pStyle w:val="Heading3"/>
      </w:pPr>
      <w:r>
        <w:t>Model 3: Portfolio Risk Narrator (v1.0.0)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Methodology: Data-to-text generation + GPT-5.2 + fact-checking layer (verifies ALL cited numbers vs source)</w:t>
      </w:r>
    </w:p>
    <w:p>
      <w:pPr>
        <w:spacing w:after="80"/>
      </w:pPr>
      <w:r>
        <w:rPr>
          <w:rFonts w:ascii="Calibri" w:hAnsi="Calibri"/>
          <w:b w:val="0"/>
          <w:i w:val="0"/>
          <w:color w:val="5A5A5A"/>
          <w:sz w:val="20"/>
        </w:rPr>
        <w:t>Generates risk commentary for client reports. Every output number verified against input data.</w:t>
      </w:r>
    </w:p>
    <w:p>
      <w:pPr>
        <w:pStyle w:val="Heading3"/>
      </w:pPr>
      <w:r>
        <w:t>Model 4: Regulatory Change Detector (v1.0.0)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Methodology: Semantic embedding (text-embedding-3-large) + ChromaDB similarity + GPT-5.2 impact analysis</w:t>
      </w:r>
    </w:p>
    <w:p>
      <w:pPr>
        <w:spacing w:after="80"/>
      </w:pPr>
      <w:r>
        <w:rPr>
          <w:rFonts w:ascii="Calibri" w:hAnsi="Calibri"/>
          <w:b w:val="0"/>
          <w:i w:val="0"/>
          <w:color w:val="5A5A5A"/>
          <w:sz w:val="20"/>
        </w:rPr>
        <w:t>Monitors SEC/FINRA/OCC updates. Currently in testing phase.</w:t>
      </w:r>
    </w:p>
    <w:p>
      <w:pPr>
        <w:pStyle w:val="Heading3"/>
      </w:pPr>
      <w:r>
        <w:t>Model 5: Compliance Checker (v1.0.0)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Methodology: GPT-5.2 classification + deterministic rule-based checks + FINRA 2210 rule engine</w:t>
      </w:r>
    </w:p>
    <w:p>
      <w:pPr>
        <w:spacing w:after="80"/>
      </w:pPr>
      <w:r>
        <w:rPr>
          <w:rFonts w:ascii="Calibri" w:hAnsi="Calibri"/>
          <w:b w:val="0"/>
          <w:i w:val="0"/>
          <w:color w:val="5A5A5A"/>
          <w:sz w:val="20"/>
        </w:rPr>
        <w:t>Pre-send compliance screening. Fully functional without API key. Context-aware disclaimer detection.</w:t>
      </w:r>
    </w:p>
    <w:p>
      <w:pPr>
        <w:pStyle w:val="Heading2"/>
      </w:pPr>
      <w:r>
        <w:t>Vendor LLMs Under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360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Provider Model ID</w:t>
            </w:r>
          </w:p>
        </w:tc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Provider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gpt-5.2-2025-12-11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OpenAI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Claude Opus 4.6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claude-opus-4-2026-02-03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Anthropic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Gemini 3 Pro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gemini-3-pro-2026-01-21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Google DeepMind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text-embedding-3-large</w:t>
            </w:r>
          </w:p>
        </w:tc>
        <w:tc>
          <w:tcPr>
            <w:tcW w:type="dxa" w:w="36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text-embedding-3-large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OpenAI</w:t>
            </w:r>
          </w:p>
        </w:tc>
      </w:tr>
    </w:tbl>
    <w:p>
      <w:r>
        <w:br w:type="page"/>
      </w:r>
    </w:p>
    <w:p>
      <w:pPr>
        <w:pStyle w:val="Heading1"/>
      </w:pPr>
      <w:r>
        <w:t>7. Certification Pipeline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The certification pipeline produces an 8-section, audit-grade evidence pack for each GenAI use case: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00529F"/>
          <w:sz w:val="24"/>
        </w:rPr>
        <w:t>Intake → Risk Assessment → Testing → Approval → Certification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691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Content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1. Use Case Summary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Name, description, category, risk rating, data classification, architecture flags, ownership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2. NIST AI 600-1 Profile</w:t>
            </w:r>
          </w:p>
        </w:tc>
        <w:tc>
          <w:tcPr>
            <w:tcW w:type="dxa" w:w="691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Governance controls, content provenance, pre-deployment testing, incident disclosure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3. OWASP Risk Mapping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LLM Top 10 (2025) + Agentic Top 10 (2026) control mapping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4. Test Results</w:t>
            </w:r>
          </w:p>
        </w:tc>
        <w:tc>
          <w:tcPr>
            <w:tcW w:type="dxa" w:w="691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All evaluation runs with pass rates, aggregate scores, OWASP category results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5. Findings Register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All findings by severity with remediation status and due dates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6. Approval Record</w:t>
            </w:r>
          </w:p>
        </w:tc>
        <w:tc>
          <w:tcPr>
            <w:tcW w:type="dxa" w:w="691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Gate decisions with approver chain, rationale, conditions, decision_hash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7. Monitoring Plan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Cadence, canary prompts, thresholds, alert routing, recertification triggers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8. ISO 42001 PDCA</w:t>
            </w:r>
          </w:p>
        </w:tc>
        <w:tc>
          <w:tcPr>
            <w:tcW w:type="dxa" w:w="691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Plan-Do-Check-Act lifecycle mapping with current phase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i/>
          <w:color w:val="5A5A5A"/>
          <w:sz w:val="19"/>
        </w:rPr>
        <w:t>Output formats: JSON (programmatic) + PDF (ReportLab, human-readable).</w:t>
      </w:r>
    </w:p>
    <w:p>
      <w:r>
        <w:br w:type="page"/>
      </w:r>
    </w:p>
    <w:p>
      <w:pPr>
        <w:pStyle w:val="Heading1"/>
      </w:pPr>
      <w:r>
        <w:t>8. Risk Rating Engine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Automated risk scoring based on 9 weighted factors: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Factor</w:t>
            </w:r>
          </w:p>
        </w:tc>
        <w:tc>
          <w:tcPr>
            <w:tcW w:type="dxa" w:w="115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288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Score 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Data classification (PII/restricted)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(public) – 1.0</w:t>
            </w:r>
          </w:p>
        </w:tc>
      </w:tr>
      <w:tr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Client-facing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0.15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Uses RAG (hallucination risk)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0.10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Uses agents (autonomy risk)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0.15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Uses tools (tool misuse risk)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0.10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Uses memory (poisoning risk)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0.05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No human-in-the-loop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0.10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Handles PII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0.10</w:t>
            </w:r>
          </w:p>
        </w:tc>
        <w:tc>
          <w:tcPr>
            <w:tcW w:type="dxa" w:w="288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 or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 count complexity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0.05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Scaled 0.0 – 1.0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</w:r>
    </w:p>
    <w:p>
      <w:pPr>
        <w:pStyle w:val="Heading2"/>
      </w:pPr>
      <w:r>
        <w:t>Rating Thresholds &amp; Committee Routing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00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Rating</w:t>
            </w:r>
          </w:p>
        </w:tc>
        <w:tc>
          <w:tcPr>
            <w:tcW w:type="dxa" w:w="864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Score</w:t>
            </w:r>
          </w:p>
        </w:tc>
        <w:tc>
          <w:tcPr>
            <w:tcW w:type="dxa" w:w="864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 Suites</w:t>
            </w:r>
          </w:p>
        </w:tc>
        <w:tc>
          <w:tcPr>
            <w:tcW w:type="dxa" w:w="100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Approvers</w:t>
            </w:r>
          </w:p>
        </w:tc>
        <w:tc>
          <w:tcPr>
            <w:tcW w:type="dxa" w:w="7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Recert</w:t>
            </w:r>
          </w:p>
        </w:tc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Committee Path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Critical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≥ 0.75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 mo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 Control → WM MRC → Enterprise RC → Board RC</w:t>
            </w:r>
          </w:p>
        </w:tc>
      </w:tr>
      <w:tr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High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≥ 0.55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 mo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 Control → WM MRC → Enterprise RC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Medium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≥ 0.35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mo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 Control → WM MRC</w:t>
            </w:r>
          </w:p>
        </w:tc>
      </w:tr>
      <w:tr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Low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≥ 0.15</w:t>
            </w:r>
          </w:p>
        </w:tc>
        <w:tc>
          <w:tcPr>
            <w:tcW w:type="dxa" w:w="86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</w:t>
            </w:r>
          </w:p>
        </w:tc>
        <w:tc>
          <w:tcPr>
            <w:tcW w:type="dxa" w:w="10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mo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 Control Analyst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Minimal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&lt; 0.15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24 mo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 Control Analyst</w:t>
            </w:r>
          </w:p>
        </w:tc>
      </w:tr>
    </w:tbl>
    <w:p>
      <w:r>
        <w:br w:type="page"/>
      </w:r>
    </w:p>
    <w:p>
      <w:pPr>
        <w:pStyle w:val="Heading1"/>
      </w:pPr>
      <w:r>
        <w:t>9. Compliance Framework Coverage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Seven frameworks enforced simultaneously through the compliance matrix:</w:t>
      </w:r>
    </w:p>
    <w:p>
      <w:pPr>
        <w:pStyle w:val="Heading3"/>
      </w:pPr>
      <w:r>
        <w:t>SR 11-7 / OCC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Model Definition: </w:t>
      </w:r>
      <w:r>
        <w:rPr>
          <w:sz w:val="20"/>
        </w:rPr>
        <w:t xml:space="preserve"> 12 ORM entities, AIBOM generation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Effective Challenge: </w:t>
      </w:r>
      <w:r>
        <w:rPr>
          <w:sz w:val="20"/>
        </w:rPr>
        <w:t xml:space="preserve"> OPA gates, multi-approver chains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Governance: </w:t>
      </w:r>
      <w:r>
        <w:rPr>
          <w:sz w:val="20"/>
        </w:rPr>
        <w:t xml:space="preserve"> Risk-tier committee paths, audit trail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Ongoing Monitoring: </w:t>
      </w:r>
      <w:r>
        <w:rPr>
          <w:sz w:val="20"/>
        </w:rPr>
        <w:t xml:space="preserve"> Canary prompts, drift detection, SLOs</w:t>
      </w:r>
    </w:p>
    <w:p>
      <w:pPr>
        <w:pStyle w:val="Heading3"/>
      </w:pPr>
      <w:r>
        <w:t>NIST AI 600-1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Governance (GV): </w:t>
      </w:r>
      <w:r>
        <w:rPr>
          <w:sz w:val="20"/>
        </w:rPr>
        <w:t xml:space="preserve"> Risk-tier committee routing, RBAC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Content Provenance (CP): </w:t>
      </w:r>
      <w:r>
        <w:rPr>
          <w:sz w:val="20"/>
        </w:rPr>
        <w:t xml:space="preserve"> SHA-256 evidence chains, WORM storage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Pre-deployment Testing (PT): </w:t>
      </w:r>
      <w:r>
        <w:rPr>
          <w:sz w:val="20"/>
        </w:rPr>
        <w:t xml:space="preserve"> 3-layer eval pipeline, 10 test types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Incident Disclosure (ID): </w:t>
      </w:r>
      <w:r>
        <w:rPr>
          <w:sz w:val="20"/>
        </w:rPr>
        <w:t xml:space="preserve"> Finding→Issue escalation, audit stream</w:t>
      </w:r>
    </w:p>
    <w:p>
      <w:pPr>
        <w:pStyle w:val="Heading3"/>
      </w:pPr>
      <w:r>
        <w:t>OWASP LLM Top 10 (2025)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LLM01 Prompt Injection: </w:t>
      </w:r>
      <w:r>
        <w:rPr>
          <w:sz w:val="20"/>
        </w:rPr>
        <w:t xml:space="preserve"> promptfoo red-team, guardrail cascade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LLM02 Insecure Output: </w:t>
      </w:r>
      <w:r>
        <w:rPr>
          <w:sz w:val="20"/>
        </w:rPr>
        <w:t xml:space="preserve"> Output sanitization, structured output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LLM06 Sensitive Disclosure: </w:t>
      </w:r>
      <w:r>
        <w:rPr>
          <w:sz w:val="20"/>
        </w:rPr>
        <w:t xml:space="preserve"> Presidio PII detection, PII eval suite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LLM07 Excessive Agency: </w:t>
      </w:r>
      <w:r>
        <w:rPr>
          <w:sz w:val="20"/>
        </w:rPr>
        <w:t xml:space="preserve"> Tool allowlists, approval gates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LLM09 Misinformation: </w:t>
      </w:r>
      <w:r>
        <w:rPr>
          <w:sz w:val="20"/>
        </w:rPr>
        <w:t xml:space="preserve"> Fact-checking layer, groundedness eval</w:t>
      </w:r>
    </w:p>
    <w:p>
      <w:pPr>
        <w:pStyle w:val="Heading3"/>
      </w:pPr>
      <w:r>
        <w:t>OWASP Agentic Top 10 (2026)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ASI01 Goal Hijack: </w:t>
      </w:r>
      <w:r>
        <w:rPr>
          <w:sz w:val="20"/>
        </w:rPr>
        <w:t xml:space="preserve"> agent_controls.rego, registered agents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ASI02 Tool Misuse: </w:t>
      </w:r>
      <w:r>
        <w:rPr>
          <w:sz w:val="20"/>
        </w:rPr>
        <w:t xml:space="preserve"> Tool allowlist enforcement (7 tools)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ASI05 Unexpected RCE: </w:t>
      </w:r>
      <w:r>
        <w:rPr>
          <w:sz w:val="20"/>
        </w:rPr>
        <w:t xml:space="preserve"> Dangerous pattern blocklist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ASI06 Memory Poisoning: </w:t>
      </w:r>
      <w:r>
        <w:rPr>
          <w:sz w:val="20"/>
        </w:rPr>
        <w:t xml:space="preserve"> Write limits (max 10), provenance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ASI08 Cascading Failures: </w:t>
      </w:r>
      <w:r>
        <w:rPr>
          <w:sz w:val="20"/>
        </w:rPr>
        <w:t xml:space="preserve"> 5 calls/turn, 3 retry max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ASI10 Rogue Agents: </w:t>
      </w:r>
      <w:r>
        <w:rPr>
          <w:sz w:val="20"/>
        </w:rPr>
        <w:t xml:space="preserve"> Kill switch, agent registry</w:t>
      </w:r>
    </w:p>
    <w:p>
      <w:pPr>
        <w:pStyle w:val="Heading3"/>
      </w:pPr>
      <w:r>
        <w:t>ISO/IEC 42001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Plan: </w:t>
      </w:r>
      <w:r>
        <w:rPr>
          <w:sz w:val="20"/>
        </w:rPr>
        <w:t xml:space="preserve"> Use-case intake, risk assessment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Do: </w:t>
      </w:r>
      <w:r>
        <w:rPr>
          <w:sz w:val="20"/>
        </w:rPr>
        <w:t xml:space="preserve"> Implementation, testing, evaluation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Check: </w:t>
      </w:r>
      <w:r>
        <w:rPr>
          <w:sz w:val="20"/>
        </w:rPr>
        <w:t xml:space="preserve"> Monitoring, audits, canaries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Act: </w:t>
      </w:r>
      <w:r>
        <w:rPr>
          <w:sz w:val="20"/>
        </w:rPr>
        <w:t xml:space="preserve"> Remediation, recertification</w:t>
      </w:r>
    </w:p>
    <w:p>
      <w:pPr>
        <w:pStyle w:val="Heading3"/>
      </w:pPr>
      <w:r>
        <w:t>MITRE ATLAS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Technique mapping: </w:t>
      </w:r>
      <w:r>
        <w:rPr>
          <w:sz w:val="20"/>
        </w:rPr>
        <w:t xml:space="preserve"> mitre_atlas_techniques on Model entity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Detection: </w:t>
      </w:r>
      <w:r>
        <w:rPr>
          <w:sz w:val="20"/>
        </w:rPr>
        <w:t xml:space="preserve"> garak vulnerability scanning</w:t>
      </w:r>
    </w:p>
    <w:p>
      <w:pPr>
        <w:pStyle w:val="Heading3"/>
      </w:pPr>
      <w:r>
        <w:t>FINRA GenAI Controls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Communications (2210): </w:t>
      </w:r>
      <w:r>
        <w:rPr>
          <w:sz w:val="20"/>
        </w:rPr>
        <w:t xml:space="preserve"> Compliance Checker model, rule engine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Suitability (2111): </w:t>
      </w:r>
      <w:r>
        <w:rPr>
          <w:sz w:val="20"/>
        </w:rPr>
        <w:t xml:space="preserve"> Client-facing flag, suitability checks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Supervision (3110/3120): </w:t>
      </w:r>
      <w:r>
        <w:rPr>
          <w:sz w:val="20"/>
        </w:rPr>
        <w:t xml:space="preserve"> HITL flags, approval workflows</w:t>
      </w:r>
    </w:p>
    <w:p>
      <w:pPr>
        <w:pStyle w:val="ListBullet"/>
        <w:spacing w:after="40"/>
        <w:ind w:left="432"/>
      </w:pPr>
      <w:r>
        <w:rPr>
          <w:rFonts w:ascii="Calibri" w:hAnsi="Calibri"/>
          <w:b/>
          <w:sz w:val="20"/>
        </w:rPr>
        <w:t xml:space="preserve">Recordkeeping: </w:t>
      </w:r>
      <w:r>
        <w:rPr>
          <w:sz w:val="20"/>
        </w:rPr>
        <w:t xml:space="preserve"> Prompt/output logging, version stamps</w:t>
      </w:r>
    </w:p>
    <w:p>
      <w:r>
        <w:br w:type="page"/>
      </w:r>
    </w:p>
    <w:p>
      <w:pPr>
        <w:pStyle w:val="Heading1"/>
      </w:pPr>
      <w:r>
        <w:t>10. Evaluation &amp; Red-Team Framework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Three-layer evaluation pipeline with 10 test types: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2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187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Tool</w:t>
            </w:r>
          </w:p>
        </w:tc>
        <w:tc>
          <w:tcPr>
            <w:tcW w:type="dxa" w:w="460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Coverage</w:t>
            </w:r>
          </w:p>
        </w:tc>
        <w:tc>
          <w:tcPr>
            <w:tcW w:type="dxa" w:w="7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1. Quality + Safety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promptfoo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test cases: quality, safety, operational controls; 3 providers (GPT-5.2, GPT-5.2-mini, Gemini 3 Pro)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~50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2. Adversarial</w:t>
            </w:r>
          </w:p>
        </w:tc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promptfoo Red Team</w:t>
            </w:r>
          </w:p>
        </w:tc>
        <w:tc>
          <w:tcPr>
            <w:tcW w:type="dxa" w:w="460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plugin categories, 7 attack strategies (basic, jailbreak, injection, multilingual, leetspeak, ROT13, base64)</w:t>
            </w:r>
          </w:p>
        </w:tc>
        <w:tc>
          <w:tcPr>
            <w:tcW w:type="dxa" w:w="7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140+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3. Security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PyRIT + garak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PyRIT: financial advisor injection scenarios; garak: 14 probes across 6 OWASP categories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~100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</w:r>
    </w:p>
    <w:p>
      <w:pPr>
        <w:pStyle w:val="Heading2"/>
      </w:pPr>
      <w:r>
        <w:t>10 Evaluation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3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576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quality_correctness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Golden prompt accuracy</w:t>
            </w:r>
          </w:p>
        </w:tc>
      </w:tr>
      <w:tr>
        <w:tc>
          <w:tcPr>
            <w:tcW w:type="dxa" w:w="43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safety_security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OWASP LLM Top 10 coverage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rag_groundedness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Faithfulness + relevance for RAG systems</w:t>
            </w:r>
          </w:p>
        </w:tc>
      </w:tr>
      <w:tr>
        <w:tc>
          <w:tcPr>
            <w:tcW w:type="dxa" w:w="43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red_team_promptfoo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Adversarial prompt injection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red_team_pyrit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Multi-turn security scenarios</w:t>
            </w:r>
          </w:p>
        </w:tc>
      </w:tr>
      <w:tr>
        <w:tc>
          <w:tcPr>
            <w:tcW w:type="dxa" w:w="43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vulnerability_garak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Automated vulnerability scanning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operational_controls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Boundary tests, citations, scope limits</w:t>
            </w:r>
          </w:p>
        </w:tc>
      </w:tr>
      <w:tr>
        <w:tc>
          <w:tcPr>
            <w:tcW w:type="dxa" w:w="43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agentic_safety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OWASP Agentic Top 10 coverage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regression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Daily regression canaries</w:t>
            </w:r>
          </w:p>
        </w:tc>
      </w:tr>
      <w:tr>
        <w:tc>
          <w:tcPr>
            <w:tcW w:type="dxa" w:w="43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canary</w:t>
            </w:r>
          </w:p>
        </w:tc>
        <w:tc>
          <w:tcPr>
            <w:tcW w:type="dxa" w:w="57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Production monitoring probes</w:t>
            </w:r>
          </w:p>
        </w:tc>
      </w:tr>
    </w:tbl>
    <w:p>
      <w:r>
        <w:br w:type="page"/>
      </w:r>
    </w:p>
    <w:p>
      <w:pPr>
        <w:pStyle w:val="Heading1"/>
      </w:pPr>
      <w:r>
        <w:t>11. Security Architecture</w:t>
      </w:r>
    </w:p>
    <w:p>
      <w:pPr>
        <w:pStyle w:val="Heading2"/>
      </w:pPr>
      <w:r>
        <w:t>Authentication &amp; Authorization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Keycloak (OIDC) with 6 roles: admin, model_risk_officer, evaluator, auditor, business_user, readonly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JWT token validation on every API request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RBAC enforced at endpoint level</w:t>
      </w:r>
    </w:p>
    <w:p>
      <w:pPr>
        <w:pStyle w:val="Heading2"/>
      </w:pPr>
      <w:r>
        <w:t>Data Protection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PostgreSQL: Alembic-managed row-level security policies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S3: Object Lock (WORM) with GOVERNANCE mode retention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KMS: All data encrypted at rest (RDS, S3, MSK, EBS)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TLS: Istio mTLS for all service-to-service communication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PII: Presidio + regex detection, redaction before logging</w:t>
      </w:r>
    </w:p>
    <w:p>
      <w:pPr>
        <w:pStyle w:val="Heading2"/>
      </w:pPr>
      <w:r>
        <w:t>Network Security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AWS WAF: Common rules, SQLi protection, IP rate limiting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VPC: Private subnets for compute, isolated database subnets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Kubernetes network policies: Namespace isolation</w:t>
      </w:r>
    </w:p>
    <w:p>
      <w:pPr>
        <w:pStyle w:val="Heading2"/>
      </w:pPr>
      <w:r>
        <w:t>CI/CD Security Scanning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Snyk: Python + Node dependency scanning (HIGH+ severity)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Trivy: Container image CVE scanning → GitHub Security tab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Bandit: Python SAST (medium+ severity)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Semgrep: Cross-language static analysis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GitHub Push Protection: Blocks committed secrets automatically</w:t>
      </w:r>
    </w:p>
    <w:p>
      <w:r>
        <w:br w:type="page"/>
      </w:r>
    </w:p>
    <w:p>
      <w:pPr>
        <w:pStyle w:val="Heading1"/>
      </w:pPr>
      <w:r>
        <w:t>12. Operational Readiness</w:t>
      </w:r>
    </w:p>
    <w:p>
      <w:pPr>
        <w:pStyle w:val="Heading2"/>
      </w:pPr>
      <w:r>
        <w:t>SLO 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SLO</w:t>
            </w:r>
          </w:p>
        </w:tc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Target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API Availability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99.95%</w:t>
            </w:r>
          </w:p>
        </w:tc>
      </w:tr>
      <w:tr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API Latency (p99)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&lt; 2 seconds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 Completion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&lt; 30 minutes</w:t>
            </w:r>
          </w:p>
        </w:tc>
      </w:tr>
      <w:tr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Evidence Integrity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100% (SHA-256 verification)</w:t>
            </w:r>
          </w:p>
        </w:tc>
      </w:tr>
    </w:tbl>
    <w:p>
      <w:pPr>
        <w:pStyle w:val="Heading2"/>
      </w:pPr>
      <w:r>
        <w:t>Helm Production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2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115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Replicas</w:t>
            </w:r>
          </w:p>
        </w:tc>
        <w:tc>
          <w:tcPr>
            <w:tcW w:type="dxa" w:w="115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HPA Range</w:t>
            </w:r>
          </w:p>
        </w:tc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Resources</w:t>
            </w:r>
          </w:p>
        </w:tc>
        <w:tc>
          <w:tcPr>
            <w:tcW w:type="dxa" w:w="2304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Other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 API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3–20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500m–2 CPU, 1–4 GB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PDB min=2, zone-aware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Frontend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2–10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200m–500m CPU, 256–512 MB</w:t>
            </w:r>
          </w:p>
        </w:tc>
        <w:tc>
          <w:tcPr>
            <w:tcW w:type="dxa" w:w="230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Temporal Worker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2–10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1–4 CPU, 2–8 GB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Vault secrets injection</w:t>
            </w:r>
          </w:p>
        </w:tc>
      </w:tr>
      <w:tr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Redis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Sentinel</w:t>
            </w:r>
          </w:p>
        </w:tc>
        <w:tc>
          <w:tcPr>
            <w:tcW w:type="dxa" w:w="115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  <w:tc>
          <w:tcPr>
            <w:tcW w:type="dxa" w:w="2304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HA sentinel mode</w:t>
            </w:r>
          </w:p>
        </w:tc>
      </w:tr>
    </w:tbl>
    <w:p>
      <w:pPr>
        <w:pStyle w:val="Heading2"/>
      </w:pPr>
      <w:r>
        <w:t>Runbooks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api_high_latency.yaml — Escalation at 2h to technology-risk-director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evidence_integrity_failure.yaml — Immediate model-risk-officer alert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disaster_recovery.yaml — RTO 4h, RPO 1h</w:t>
      </w:r>
    </w:p>
    <w:p>
      <w:r>
        <w:br w:type="page"/>
      </w:r>
    </w:p>
    <w:p>
      <w:pPr>
        <w:pStyle w:val="Heading1"/>
      </w:pPr>
      <w:r>
        <w:t>13.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720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Technology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Python 3.13, FastAPI, SQLAlchemy 2.0, Pydantic v2, Alembic, structlog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Frontend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Next.js 15, React 19, TypeScript 5.7, Tailwind CSS v4, Radix UI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Database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PostgreSQL 17, pgvector, Alembic migrations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LLM Providers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OpenAI (GPT-5.2), Anthropic (Claude Opus 4.6), Google (Gemini 3 Pro)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Workflow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Temporal (durable certification orchestration)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Policy Engine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OPA + Rego (4 policy files, fail-closed)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Evidence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MinIO (local) / S3 Object Lock (prod) — WORM compliance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Events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Redpanda (local) / MSK Kafka (prod)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Auth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Keycloak (OIDC, 6 roles)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Observability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OpenTelemetry, Prometheus, Grafana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promptfoo, PyRIT, garak, Arize Phoenix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Security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Snyk, Trivy, Bandit, Semgrep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Infrastructure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Terraform (AWS), Helm, Docker, EKS 1.31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CI/CD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GitHub Actions (4 pipelines)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Package Mgmt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uv (Python), npm (Node)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Code Quality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Ruff (lint+format), Mypy, TypeScript strict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Testing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pytest, Playwright (E2E), k6 (load)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Reporting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ReportLab (PDF certification packs)</w:t>
            </w:r>
          </w:p>
        </w:tc>
      </w:tr>
    </w:tbl>
    <w:p>
      <w:r>
        <w:br w:type="page"/>
      </w:r>
    </w:p>
    <w:p>
      <w:pPr>
        <w:pStyle w:val="Heading1"/>
      </w:pPr>
      <w:r>
        <w:t>14. Repository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Directory</w:t>
            </w:r>
          </w:p>
        </w:tc>
        <w:tc>
          <w:tcPr>
            <w:tcW w:type="dxa" w:w="504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Contents</w:t>
            </w:r>
          </w:p>
        </w:tc>
        <w:tc>
          <w:tcPr>
            <w:tcW w:type="dxa" w:w="144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Files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backend/app/api/v1/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REST endpoint modules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2,297 lines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backend/app/models/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SQLAlchemy ORM entities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1,264 lines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backend/app/schemas/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 Pydantic v2 schemas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673 lines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backend/app/services/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service modules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2,362 lines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backend/app/integrations/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external integrations (LDAP, ServiceNow, Salesforce, ClusterSeven)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—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backend/tests/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Unit, integration, E2E, load tests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1,149 lines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frontend/src/app/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 page directories + layout + globals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20 files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frontend/src/lib/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API client, types, utilities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files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models/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 GenAI model implementations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 dirs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policies/opa/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OPA/Rego policy files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437 lines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promptfoo, PyRIT, garak configs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 files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workflows/temporal/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Certification workflow + activities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870 lines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deploy/terraform/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AWS infrastructure (VPC, EKS, RDS, S3, MSK, WAF)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662 lines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deploy/helm/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Kubernetes deployment chart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268 lines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infra/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Docker Compose, Grafana, Prometheus, OTEL, Keycloak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 files</w:t>
            </w:r>
          </w:p>
        </w:tc>
      </w:tr>
      <w:tr>
        <w:tc>
          <w:tcPr>
            <w:tcW w:type="dxa" w:w="259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ops/</w:t>
            </w:r>
          </w:p>
        </w:tc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SLOs, runbooks, alerting rules</w:t>
            </w:r>
          </w:p>
        </w:tc>
        <w:tc>
          <w:tcPr>
            <w:tcW w:type="dxa" w:w="14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 files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.github/workflows/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CI/CD pipelines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395 lines</w:t>
            </w:r>
          </w:p>
        </w:tc>
      </w:tr>
    </w:tbl>
    <w:p>
      <w:r>
        <w:br w:type="page"/>
      </w:r>
    </w:p>
    <w:p>
      <w:pPr>
        <w:pStyle w:val="Heading1"/>
      </w:pPr>
      <w:r>
        <w:t>15. CI/CD Pipeline</w:t>
      </w:r>
    </w:p>
    <w:p>
      <w:pPr>
        <w:spacing w:after="160"/>
      </w:pPr>
      <w:r>
        <w:rPr>
          <w:rFonts w:ascii="Calibri" w:hAnsi="Calibri"/>
          <w:b w:val="0"/>
          <w:i w:val="0"/>
          <w:color w:val="2D2D2D"/>
          <w:sz w:val="21"/>
        </w:rPr>
        <w:t>Four GitHub Actions workflows triggered on push/PR to main: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Pipeline</w:t>
            </w:r>
          </w:p>
        </w:tc>
        <w:tc>
          <w:tcPr>
            <w:tcW w:type="dxa" w:w="720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CI (ci.yml)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Ruff lint → Ruff format → Mypy → pytest (PG17 container) → TypeScript → Next.js build → OPA check → Docker build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Security SAST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Snyk Python → Snyk Node → Trivy Backend → Trivy Frontend → Bandit → Semgrep → OPA validation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Security Scan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PyRIT adversarial scenarios → garak vulnerability probes</w:t>
            </w:r>
          </w:p>
        </w:tc>
      </w:tr>
      <w:tr>
        <w:tc>
          <w:tcPr>
            <w:tcW w:type="dxa" w:w="216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 Pipeline</w:t>
            </w:r>
          </w:p>
        </w:tc>
        <w:tc>
          <w:tcPr>
            <w:tcW w:type="dxa" w:w="720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promptfoo evaluation suite execution → results archival</w:t>
            </w:r>
          </w:p>
        </w:tc>
      </w:tr>
    </w:tbl>
    <w:p>
      <w:pPr>
        <w:pStyle w:val="Heading1"/>
      </w:pPr>
      <w:r>
        <w:t>16. Live System Demonstration</w:t>
      </w:r>
    </w:p>
    <w:p>
      <w:pPr>
        <w:spacing w:after="120"/>
      </w:pPr>
      <w:r>
        <w:rPr>
          <w:rFonts w:ascii="Calibri" w:hAnsi="Calibri"/>
          <w:b w:val="0"/>
          <w:i w:val="0"/>
          <w:color w:val="2D2D2D"/>
          <w:sz w:val="21"/>
        </w:rPr>
        <w:t>The system runs locally with two processes: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Backend: http://localhost:8000 — FastAPI with /health, /docs, /metrics, /api/v1/*</w:t>
      </w:r>
    </w:p>
    <w:p>
      <w:pPr>
        <w:pStyle w:val="ListBullet"/>
        <w:spacing w:after="40"/>
        <w:ind w:left="432"/>
      </w:pPr>
      <w:r>
        <w:rPr>
          <w:rFonts w:ascii="Calibri" w:hAnsi="Calibri"/>
          <w:sz w:val="20"/>
        </w:rPr>
        <w:t>Frontend: http://localhost:3000 — Next.js with 10 interactive pages</w:t>
      </w:r>
    </w:p>
    <w:p>
      <w:pPr>
        <w:spacing w:after="120"/>
      </w:pPr>
      <w:r>
        <w:rPr>
          <w:rFonts w:ascii="Calibri" w:hAnsi="Calibri"/>
          <w:b w:val="0"/>
          <w:i w:val="0"/>
          <w:color w:val="2D2D2D"/>
          <w:sz w:val="21"/>
        </w:rPr>
      </w:r>
    </w:p>
    <w:p>
      <w:pPr>
        <w:pStyle w:val="Heading2"/>
      </w:pPr>
      <w:r>
        <w:t>Frontend Pages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Page</w:t>
            </w:r>
          </w:p>
        </w:tc>
        <w:tc>
          <w:tcPr>
            <w:tcW w:type="dxa" w:w="1728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URL</w:t>
            </w:r>
          </w:p>
        </w:tc>
        <w:tc>
          <w:tcPr>
            <w:tcW w:type="dxa" w:w="5472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Dashboard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/dashboard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Executive KPI dashboard with live API connection indicator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Models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/models</w:t>
            </w:r>
          </w:p>
        </w:tc>
        <w:tc>
          <w:tcPr>
            <w:tcW w:type="dxa" w:w="54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 models (GPT-5.2, Opus 4.6, Gemini 3 Pro, + 4 internal)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Tools &amp; EUCs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/tools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 tools with attestation lifecycle management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GenAI Use Cases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/use-cases</w:t>
            </w:r>
          </w:p>
        </w:tc>
        <w:tc>
          <w:tcPr>
            <w:tcW w:type="dxa" w:w="54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 use cases across 5 categories with risk ratings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/evaluations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 eval runs with pass rates and status tracking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Findings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/findings</w:t>
            </w:r>
          </w:p>
        </w:tc>
        <w:tc>
          <w:tcPr>
            <w:tcW w:type="dxa" w:w="54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 findings with severity, status, and remediation tracking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Certifications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/certifications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8-section cert pack generation (JSON + PDF)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Compliance Matrix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/compliance</w:t>
            </w:r>
          </w:p>
        </w:tc>
        <w:tc>
          <w:tcPr>
            <w:tcW w:type="dxa" w:w="54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Full 7-framework control mapping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Live Model Demo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/demo</w:t>
            </w:r>
          </w:p>
        </w:tc>
        <w:tc>
          <w:tcPr>
            <w:tcW w:type="dxa" w:w="5472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Interactive 5-model demo with GPT-5.2 real-time inference</w:t>
            </w:r>
          </w:p>
        </w:tc>
      </w:tr>
      <w:tr>
        <w:tc>
          <w:tcPr>
            <w:tcW w:type="dxa" w:w="18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Settings</w:t>
            </w:r>
          </w:p>
        </w:tc>
        <w:tc>
          <w:tcPr>
            <w:tcW w:type="dxa" w:w="1728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/settings</w:t>
            </w:r>
          </w:p>
        </w:tc>
        <w:tc>
          <w:tcPr>
            <w:tcW w:type="dxa" w:w="5472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Platform configuration</w:t>
            </w:r>
          </w:p>
        </w:tc>
      </w:tr>
    </w:tbl>
    <w:p>
      <w:r>
        <w:br w:type="page"/>
      </w:r>
    </w:p>
    <w:p>
      <w:pPr>
        <w:pStyle w:val="Heading1"/>
      </w:pPr>
      <w:r>
        <w:t>17. Key Design Decisions &amp; Rationale</w:t>
      </w:r>
    </w:p>
    <w:p>
      <w:pPr>
        <w:pStyle w:val="Heading3"/>
      </w:pPr>
      <w:r>
        <w:t>Unified Platform (not separate tools)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Models, tools, and GenAI use cases share governance workflows, findings, approvals, and evidence. Separate tools create silos that regulators specifically flag in SR 11-7 examinations.</w:t>
      </w:r>
    </w:p>
    <w:p>
      <w:pPr>
        <w:pStyle w:val="Heading3"/>
      </w:pPr>
      <w:r>
        <w:t>OPA for Policy (not application code)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Policies change more frequently than code. OPA enables policy updates without redeployment. Fail-closed default ensures safety even during policy engine outages.</w:t>
      </w:r>
    </w:p>
    <w:p>
      <w:pPr>
        <w:pStyle w:val="Heading3"/>
      </w:pPr>
      <w:r>
        <w:t>SHA-256 Hash Chains for Evidence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Regulators require tamper-evident audit trails. Content-addressed storage with hash chains provides cryptographic proof that no evidence has been modified post-creation.</w:t>
      </w:r>
    </w:p>
    <w:p>
      <w:pPr>
        <w:pStyle w:val="Heading3"/>
      </w:pPr>
      <w:r>
        <w:t>Three-Layer Evaluation (promptfoo + PyRIT + garak)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No single tool covers all OWASP categories. promptfoo excels at quality/functional testing, PyRIT at multi-turn security scenarios, and garak at automated vulnerability discovery.</w:t>
      </w:r>
    </w:p>
    <w:p>
      <w:pPr>
        <w:pStyle w:val="Heading3"/>
      </w:pPr>
      <w:r>
        <w:t>Temporal for Workflow Orchestration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Certification pipelines involve long-running processes (evaluations can take 30+ minutes). Temporal provides durable execution, automatic retries, and workflow visibility.</w:t>
      </w:r>
    </w:p>
    <w:p>
      <w:pPr>
        <w:pStyle w:val="Heading3"/>
      </w:pPr>
      <w:r>
        <w:t>PostgreSQL + pgvector (not separate vector DB)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Simplifies operations by keeping vector search in the same database as relational data. pgvector handles the RAG use cases without adding another infrastructure component.</w:t>
      </w:r>
    </w:p>
    <w:p>
      <w:pPr>
        <w:pStyle w:val="Heading3"/>
      </w:pPr>
      <w:r>
        <w:t>Rule-Based Fallback for All Models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LLM APIs can fail. Every model endpoint includes a deterministic rule-based fallback that ensures the system remains functional without any API key configured.</w:t>
      </w:r>
    </w:p>
    <w:p>
      <w:pPr>
        <w:pStyle w:val="Heading3"/>
      </w:pPr>
      <w:r>
        <w:t>native_enum=False for All SQLAlchemy Enums</w:t>
      </w:r>
    </w:p>
    <w:p>
      <w:pPr>
        <w:spacing w:after="80"/>
      </w:pPr>
      <w:r>
        <w:rPr>
          <w:rFonts w:ascii="Calibri" w:hAnsi="Calibri"/>
          <w:b w:val="0"/>
          <w:i w:val="0"/>
          <w:color w:val="2D2D2D"/>
          <w:sz w:val="20"/>
        </w:rPr>
        <w:t>PostgreSQL native enums cannot be modified in-place. VARCHAR storage with Python-side validation provides schema flexibility without migration headaches.</w:t>
      </w:r>
    </w:p>
    <w:p>
      <w:r>
        <w:br w:type="page"/>
      </w:r>
    </w:p>
    <w:p>
      <w:pPr>
        <w:pStyle w:val="Heading1"/>
      </w:pPr>
      <w:r>
        <w:t>18. Quantitative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04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4320"/>
            <w:shd w:fill="0A1F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Total source files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200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Total lines of code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15,400+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Python modules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109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TypeScript/React components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SQLAlchemy domain models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Pydantic schemas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API endpoint groups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Service modules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OPA/Rego policy files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 (437 lines)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Terraform (AWS infrastructure)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662 lines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Helm chart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268 lines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CI/CD pipelines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4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GenAI model demos (live)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Compliance frameworks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Evaluation test types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Red-team attack categories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Red-team attack strategies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Frontend pages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Governed models (seed)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Governed tools (seed)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Governed use cases (seed)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8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Vendor LLMs under governance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3 (GPT-5.2, Opus 4.6, Gemini 3 Pro)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Verification tests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55 / 55 passing</w:t>
            </w:r>
          </w:p>
        </w:tc>
      </w:tr>
      <w:tr>
        <w:tc>
          <w:tcPr>
            <w:tcW w:type="dxa" w:w="504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Ruff lint</w:t>
            </w:r>
          </w:p>
        </w:tc>
        <w:tc>
          <w:tcPr>
            <w:tcW w:type="dxa" w:w="4320"/>
            <w:shd w:fill="F0F4F8" w:val="clear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72 / 72 files clean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color w:val="2D2D2D"/>
                <w:sz w:val="18"/>
              </w:rPr>
              <w:t>0 errors</w:t>
            </w:r>
          </w:p>
        </w:tc>
      </w:tr>
    </w:tbl>
    <w:p>
      <w:r>
        <w:br w:type="page"/>
      </w:r>
    </w:p>
    <w:p/>
    <w:p/>
    <w:p/>
    <w:p/>
    <w:p/>
    <w:p/>
    <w:p>
      <w:pPr>
        <w:spacing w:after="80"/>
        <w:jc w:val="center"/>
      </w:pPr>
      <w:r>
        <w:rPr>
          <w:rFonts w:ascii="Calibri" w:hAnsi="Calibri"/>
          <w:b/>
          <w:i w:val="0"/>
          <w:color w:val="0A1F44"/>
          <w:sz w:val="40"/>
        </w:rPr>
        <w:t>CONTROL TOWER</w:t>
      </w:r>
    </w:p>
    <w:p>
      <w:pPr>
        <w:spacing w:after="400"/>
        <w:jc w:val="center"/>
      </w:pPr>
      <w:r>
        <w:rPr>
          <w:rFonts w:ascii="Calibri" w:hAnsi="Calibri"/>
          <w:b w:val="0"/>
          <w:i w:val="0"/>
          <w:color w:val="00529F"/>
          <w:sz w:val="24"/>
        </w:rPr>
        <w:t>Unified Model, Tool &amp; GenAI Governance Platform</w:t>
      </w:r>
    </w:p>
    <w:p>
      <w:pPr>
        <w:spacing w:before="80" w:after="80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A5A5A"/>
          <w:sz w:val="20"/>
        </w:rPr>
        <w:t>This document accompanies the Control Tower platform repository at:</w:t>
      </w:r>
    </w:p>
    <w:p>
      <w:pPr>
        <w:spacing w:after="320"/>
        <w:jc w:val="center"/>
      </w:pPr>
      <w:r>
        <w:rPr>
          <w:rFonts w:ascii="Calibri" w:hAnsi="Calibri"/>
          <w:b/>
          <w:i w:val="0"/>
          <w:color w:val="00529F"/>
          <w:sz w:val="22"/>
        </w:rPr>
        <w:t>github.com/fansari100/model-genai-control-tower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A5A5A"/>
          <w:sz w:val="20"/>
        </w:rPr>
        <w:t>For questions or a live demonstration, contact Farooq Ansari.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A1F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A1F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1F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