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思维链支持的大语言模型的分子性质预测方法</w:t>
      </w:r>
    </w:p>
    <w:p w14:paraId="66F7189C">
      <w:pPr>
        <w:pStyle w:val="3"/>
        <w:bidi w:val="0"/>
        <w:rPr>
          <w:rFonts w:hint="default"/>
          <w:lang w:val="en-US" w:eastAsia="zh-CN"/>
        </w:rPr>
      </w:pPr>
      <w:r>
        <w:rPr>
          <w:rFonts w:hint="eastAsia"/>
          <w:lang w:val="en-US" w:eastAsia="zh-CN"/>
        </w:rPr>
        <w:t>模型设计与描述</w:t>
      </w:r>
    </w:p>
    <w:p w14:paraId="29A69ACB">
      <w:pPr>
        <w:pStyle w:val="3"/>
        <w:bidi w:val="0"/>
        <w:rPr>
          <w:rFonts w:hint="default"/>
          <w:lang w:val="en-US" w:eastAsia="zh-CN"/>
        </w:rPr>
      </w:pPr>
      <w:r>
        <w:rPr>
          <w:rFonts w:hint="eastAsia"/>
          <w:lang w:val="en-US" w:eastAsia="zh-CN"/>
        </w:rPr>
        <w:t>实验设计</w:t>
      </w:r>
    </w:p>
    <w:p w14:paraId="2FD2C56A">
      <w:pPr>
        <w:pStyle w:val="3"/>
        <w:bidi w:val="0"/>
        <w:rPr>
          <w:rFonts w:hint="default"/>
          <w:lang w:val="en-US" w:eastAsia="zh-CN"/>
        </w:rPr>
      </w:pPr>
      <w:r>
        <w:rPr>
          <w:rFonts w:hint="eastAsia"/>
          <w:lang w:val="en-US" w:eastAsia="zh-CN"/>
        </w:rPr>
        <w:t>实验即结果分析</w:t>
      </w:r>
    </w:p>
    <w:p w14:paraId="5644B9B8">
      <w:pPr>
        <w:pStyle w:val="3"/>
        <w:bidi w:val="0"/>
        <w:rPr>
          <w:rFonts w:hint="default"/>
          <w:lang w:val="en-US" w:eastAsia="zh-CN"/>
        </w:rPr>
      </w:pPr>
      <w:r>
        <w:rPr>
          <w:rFonts w:hint="eastAsia"/>
          <w:lang w:val="en-US" w:eastAsia="zh-CN"/>
        </w:rPr>
        <w:t>本章小结</w:t>
      </w: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ind w:left="210" w:leftChars="0" w:firstLineChars="0"/>
        <w:rPr>
          <w:rFonts w:hint="default"/>
          <w:lang w:val="en-US" w:eastAsia="zh-CN"/>
        </w:rPr>
      </w:pPr>
      <w:r>
        <w:rPr>
          <w:rFonts w:hint="eastAsia"/>
          <w:lang w:val="en-US" w:eastAsia="zh-CN"/>
        </w:rPr>
        <w:t>XXX框架概述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ind w:left="210" w:leftChars="0" w:firstLineChars="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eastAsia"/>
          <w:lang w:val="en-US" w:eastAsia="zh-CN"/>
        </w:rPr>
        <w:t>，该向量在预训练阶段充当了其他模态对齐的“语义锚点”。</w:t>
      </w:r>
    </w:p>
    <w:p w14:paraId="3E4A7DE5">
      <w:pPr>
        <w:pStyle w:val="4"/>
        <w:bidi w:val="0"/>
        <w:ind w:left="210" w:leftChars="0" w:firstLineChars="0"/>
        <w:rPr>
          <w:rFonts w:hint="default"/>
          <w:lang w:val="en-US" w:eastAsia="zh-CN"/>
        </w:rPr>
      </w:pPr>
      <w:r>
        <w:rPr>
          <w:rFonts w:hint="eastAsia"/>
          <w:lang w:val="en-US" w:eastAsia="zh-CN"/>
        </w:rPr>
        <w:t>指纹编码器</w:t>
      </w:r>
    </w:p>
    <w:p w14:paraId="7522D1C5">
      <w:pPr>
        <w:rPr>
          <w:rFonts w:hint="eastAsia"/>
          <w:lang w:val="en-US" w:eastAsia="zh-CN"/>
        </w:rPr>
      </w:pPr>
      <w:r>
        <w:rPr>
          <w:rFonts w:ascii="宋体" w:hAnsi="宋体" w:eastAsia="宋体" w:cs="宋体"/>
          <w:sz w:val="24"/>
          <w:szCs w:val="24"/>
        </w:rP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ascii="宋体" w:hAnsi="宋体" w:eastAsia="宋体" w:cs="宋体"/>
          <w:sz w:val="24"/>
          <w:szCs w:val="24"/>
          <w:lang w:val="en-US" w:eastAsia="zh-CN"/>
        </w:rPr>
        <w:t>所</w:t>
      </w:r>
      <w:r>
        <w:rPr>
          <w:rFonts w:ascii="宋体" w:hAnsi="宋体" w:eastAsia="宋体" w:cs="宋体"/>
          <w:sz w:val="24"/>
          <w:szCs w:val="24"/>
        </w:rP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m:rPr/>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ind w:left="210" w:leftChars="0" w:firstLineChars="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Para>
        <m:oMath>
          <m:sSub>
            <m:sSubPr>
              <m:ctrlPr>
                <w:rPr>
                  <w:rFonts w:hint="default" w:ascii="Cambria Math"/>
                </w:rPr>
              </m:ctrlPr>
            </m:sSubPr>
            <m:e>
              <m:r>
                <m:rPr/>
                <w:rPr>
                  <w:rFonts w:hint="default" w:ascii="Cambria Math"/>
                </w:rPr>
                <m:t>F</m:t>
              </m:r>
            </m:e>
            <m:sub>
              <m:r>
                <m:rPr/>
                <w:rPr>
                  <w:rFonts w:hint="default" w:ascii="Cambria Math"/>
                </w:rPr>
                <m:t>s</m:t>
              </m:r>
            </m:sub>
          </m:sSub>
        </m:oMath>
      </m:oMathPara>
      <w:r>
        <w:rPr>
          <w:rFonts w:hint="default"/>
          <w:lang w:val="en-US" w:eastAsia="zh-CN"/>
        </w:rPr>
        <w:t xml:space="preserve">，随后经由全连接层映射至与图特征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default"/>
          <w:lang w:val="en-US" w:eastAsia="zh-CN"/>
        </w:rPr>
        <w:t>等维的语义空间，为后续的跨模态对齐奠定维度基础。</w:t>
      </w:r>
    </w:p>
    <w:p w14:paraId="5B6CBE39">
      <w:pPr>
        <w:pStyle w:val="4"/>
        <w:bidi w:val="0"/>
        <w:ind w:left="210" w:leftChars="0" w:firstLineChars="0"/>
        <w:rPr>
          <w:rFonts w:hint="default"/>
          <w:lang w:val="en-US" w:eastAsia="zh-CN"/>
        </w:rPr>
      </w:pPr>
      <w:r>
        <w:rPr>
          <w:rFonts w:hint="eastAsia"/>
          <w:lang w:val="en-US" w:eastAsia="zh-CN"/>
        </w:rPr>
        <w:t>文本编码器模块</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Para>
        <m:oMath>
          <m:sSub>
            <m:sSubPr>
              <m:ctrlPr>
                <w:rPr>
                  <w:rFonts w:hint="default" w:ascii="Cambria Math"/>
                </w:rPr>
              </m:ctrlPr>
            </m:sSubPr>
            <m:e>
              <m:r>
                <m:rPr/>
                <w:rPr>
                  <w:rFonts w:hint="default" w:ascii="Cambria Math"/>
                </w:rPr>
                <m:t>F</m:t>
              </m:r>
            </m:e>
            <m:sub>
              <m:r>
                <m:rPr/>
                <w:rPr>
                  <w:rFonts w:hint="default" w:ascii="Cambria Math"/>
                </w:rPr>
                <m:t>t</m:t>
              </m:r>
            </m:sub>
          </m:sSub>
        </m:oMath>
      </m:oMathPara>
      <w:r>
        <w:rPr>
          <w:rFonts w:hint="eastAsia"/>
          <w:lang w:val="en-US" w:eastAsia="zh-CN"/>
        </w:rPr>
        <w:t>。</w:t>
      </w:r>
    </w:p>
    <w:p w14:paraId="063DB7DA">
      <w:pPr>
        <w:numPr>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ind w:left="210" w:leftChars="0" w:firstLineChars="0"/>
        <w:jc w:val="both"/>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Para>
        <m:oMath>
          <m:r>
            <m:rPr>
              <m:sty m:val="p"/>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g</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s</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f</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t</m:t>
              </m:r>
            </m:sub>
          </m:sSub>
          <m:r>
            <m:rPr>
              <m:sty m:val="p"/>
            </m:rPr>
            <w:rPr>
              <w:rFonts w:hint="default" w:ascii="Cambria Math"/>
            </w:rPr>
            <m:t>）</m:t>
          </m:r>
        </m:oMath>
      </m:oMathPara>
      <w:r>
        <w:rPr>
          <w:rFonts w:hint="default"/>
          <w:lang w:val="en-US" w:eastAsia="zh-CN"/>
        </w:rPr>
        <w:t>的重要性权重</w:t>
      </w:r>
      <m:oMathPara>
        <m:oMath>
          <m:sSub>
            <m:sSubPr>
              <m:ctrlPr>
                <w:rPr>
                  <w:rFonts w:hint="default" w:ascii="Cambria Math"/>
                </w:rPr>
              </m:ctrlPr>
            </m:sSubPr>
            <m:e>
              <m:r>
                <m:rPr/>
                <w:rPr>
                  <w:rFonts w:hint="default" w:ascii="Cambria Math"/>
                </w:rPr>
                <m:t>W</m:t>
              </m:r>
            </m:e>
            <m:sub>
              <m:r>
                <m:rPr/>
                <w:rPr>
                  <w:rFonts w:hint="default" w:ascii="Cambria Math"/>
                </w:rPr>
                <m:t>m</m:t>
              </m:r>
            </m:sub>
          </m:sSub>
        </m:oMath>
      </m:oMathPara>
      <w:r>
        <w:rPr>
          <w:rFonts w:hint="default"/>
          <w:lang w:val="en-US" w:eastAsia="zh-CN"/>
        </w:rPr>
        <w:t>。性质预测：融合后的全景分子表征被输入至由多层全连接网络构成的预测头（MLP Head），最终输出分子的理化性质或生物活性预测值</w:t>
      </w:r>
      <m:oMathPara>
        <m:oMath>
          <m:sSub>
            <m:sSubPr>
              <m:ctrlPr>
                <w:rPr>
                  <w:rFonts w:hint="default" w:ascii="Cambria Math"/>
                </w:rPr>
              </m:ctrlPr>
            </m:sSubPr>
            <m:e>
              <m:r>
                <m:rPr/>
                <w:rPr>
                  <w:rFonts w:hint="default" w:ascii="Cambria Math"/>
                </w:rPr>
                <m:t>Y</m:t>
              </m:r>
            </m:e>
            <m:sub>
              <m:r>
                <m:rPr/>
                <w:rPr>
                  <w:rFonts w:hint="default" w:ascii="Cambria Math"/>
                </w:rPr>
                <m:t>pred</m:t>
              </m:r>
            </m:sub>
          </m:sSub>
        </m:oMath>
      </m:oMathPara>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91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ind w:left="210" w:leftChars="0" w:firstLineChars="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ind w:left="210" w:leftChars="0" w:firstLineChars="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ind w:left="210" w:leftChars="0" w:firstLineChars="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Para>
        <m:oMath>
          <m:r>
            <m:rPr/>
            <w:rPr>
              <w:rFonts w:hint="default" w:ascii="Cambria Math"/>
            </w:rPr>
            <m:t>m</m:t>
          </m:r>
        </m:oMath>
      </m:oMathPara>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ind w:left="210" w:leftChars="0" w:firstLineChars="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ind w:left="210" w:leftChars="0" w:firstLineChars="0"/>
        <w:rPr>
          <w:rFonts w:hint="eastAsia"/>
          <w:lang w:val="en-US" w:eastAsia="zh-CN"/>
        </w:rPr>
      </w:pPr>
      <w:r>
        <w:rPr>
          <w:rFonts w:hint="eastAsia"/>
          <w:lang w:val="en-US" w:eastAsia="zh-CN"/>
        </w:rPr>
        <w:t>对比实验</w:t>
      </w:r>
    </w:p>
    <w:p w14:paraId="5F5E45C6">
      <w:pPr>
        <w:bidi w:val="0"/>
        <w:rPr>
          <w:rFonts w:hint="eastAsia"/>
          <w:lang w:val="en-US" w:eastAsia="zh-CN"/>
        </w:rPr>
      </w:pPr>
      <w:r>
        <w:rPr>
          <w:rFonts w:hint="eastAsia"/>
          <w:lang w:val="en-US" w:eastAsia="zh-CN"/>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7"/>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86"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86"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86"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AttentiveFP</w:t>
            </w:r>
          </w:p>
        </w:tc>
        <w:tc>
          <w:tcPr>
            <w:tcW w:w="1086"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0.863</w:t>
            </w:r>
            <w:r>
              <w:rPr>
                <w:rFonts w:hint="eastAsia"/>
                <w:color w:val="auto"/>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0.908</w:t>
            </w:r>
            <w:r>
              <w:rPr>
                <w:rFonts w:hint="eastAsia"/>
                <w:color w:val="auto"/>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0.933</w:t>
            </w:r>
            <w:r>
              <w:rPr>
                <w:rFonts w:hint="eastAsia"/>
                <w:color w:val="auto"/>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0.807</w:t>
            </w:r>
            <w:r>
              <w:rPr>
                <w:rFonts w:hint="eastAsia"/>
                <w:color w:val="auto"/>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0.637</w:t>
            </w:r>
            <w:r>
              <w:rPr>
                <w:rFonts w:hint="eastAsia"/>
                <w:color w:val="auto"/>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86"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0.802</w:t>
            </w:r>
            <w:r>
              <w:rPr>
                <w:rFonts w:hint="eastAsia"/>
                <w:color w:val="auto"/>
                <w:vertAlign w:val="subscript"/>
                <w:lang w:val="en-US" w:eastAsia="zh-CN"/>
              </w:rPr>
              <w:t>(0.008)</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0.826</w:t>
            </w:r>
            <w:r>
              <w:rPr>
                <w:rFonts w:hint="eastAsia"/>
                <w:color w:val="auto"/>
                <w:vertAlign w:val="subscript"/>
                <w:lang w:val="en-US" w:eastAsia="zh-CN"/>
              </w:rPr>
              <w:t>(0.027)</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0.750</w:t>
            </w:r>
            <w:r>
              <w:rPr>
                <w:rFonts w:hint="eastAsia"/>
                <w:color w:val="auto"/>
                <w:vertAlign w:val="subscript"/>
                <w:lang w:val="en-US" w:eastAsia="zh-CN"/>
              </w:rPr>
              <w:t>(0.127)</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0.754</w:t>
            </w:r>
            <w:r>
              <w:rPr>
                <w:rFonts w:hint="eastAsia"/>
                <w:color w:val="auto"/>
                <w:vertAlign w:val="subscript"/>
                <w:lang w:val="en-US" w:eastAsia="zh-CN"/>
              </w:rPr>
              <w:t>(0.101)</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(0.031)</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0.592</w:t>
            </w:r>
            <w:r>
              <w:rPr>
                <w:rFonts w:hint="eastAsia"/>
                <w:color w:val="auto"/>
                <w:vertAlign w:val="subscript"/>
                <w:lang w:val="en-US" w:eastAsia="zh-CN"/>
              </w:rPr>
              <w:t>(0.003)</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86"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0.810</w:t>
            </w:r>
            <w:r>
              <w:rPr>
                <w:rFonts w:hint="eastAsia"/>
                <w:color w:val="auto"/>
                <w:vertAlign w:val="subscript"/>
                <w:lang w:val="en-US" w:eastAsia="zh-CN"/>
              </w:rPr>
              <w:t>(0.044)</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0.695</w:t>
            </w:r>
            <w:r>
              <w:rPr>
                <w:rFonts w:hint="eastAsia"/>
                <w:color w:val="auto"/>
                <w:vertAlign w:val="subscript"/>
                <w:lang w:val="en-US" w:eastAsia="zh-CN"/>
              </w:rPr>
              <w:t>(0.185)</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0.762</w:t>
            </w:r>
            <w:r>
              <w:rPr>
                <w:rFonts w:hint="eastAsia"/>
                <w:color w:val="auto"/>
                <w:vertAlign w:val="subscript"/>
                <w:lang w:val="en-US" w:eastAsia="zh-CN"/>
              </w:rPr>
              <w:t>(0.013)</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0.735</w:t>
            </w:r>
            <w:r>
              <w:rPr>
                <w:rFonts w:hint="eastAsia"/>
                <w:color w:val="auto"/>
                <w:vertAlign w:val="subscript"/>
                <w:lang w:val="en-US" w:eastAsia="zh-CN"/>
              </w:rPr>
              <w:t>(0.027)</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0.653</w:t>
            </w:r>
            <w:r>
              <w:rPr>
                <w:rFonts w:hint="eastAsia"/>
                <w:color w:val="auto"/>
                <w:vertAlign w:val="subscript"/>
                <w:lang w:val="en-US" w:eastAsia="zh-CN"/>
              </w:rPr>
              <w:t>(0.005)</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(0.017)</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86"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(0.009)</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0.724</w:t>
            </w:r>
            <w:r>
              <w:rPr>
                <w:rFonts w:hint="eastAsia"/>
                <w:color w:val="auto"/>
                <w:vertAlign w:val="subscript"/>
                <w:lang w:val="en-US" w:eastAsia="zh-CN"/>
              </w:rPr>
              <w:t>(0.016)</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0.791</w:t>
            </w:r>
            <w:r>
              <w:rPr>
                <w:rFonts w:hint="eastAsia"/>
                <w:color w:val="auto"/>
                <w:vertAlign w:val="subscript"/>
                <w:lang w:val="en-US" w:eastAsia="zh-CN"/>
              </w:rPr>
              <w:t>(0.028)</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(0.005)</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0.631</w:t>
            </w:r>
            <w:r>
              <w:rPr>
                <w:rFonts w:hint="eastAsia"/>
                <w:color w:val="auto"/>
                <w:vertAlign w:val="subscript"/>
                <w:lang w:val="en-US" w:eastAsia="zh-CN"/>
              </w:rPr>
              <w:t>(0.114)</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0.639</w:t>
            </w:r>
            <w:r>
              <w:rPr>
                <w:rFonts w:hint="eastAsia"/>
                <w:color w:val="auto"/>
                <w:vertAlign w:val="subscript"/>
                <w:lang w:val="en-US" w:eastAsia="zh-CN"/>
              </w:rPr>
              <w:t>(0.012)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86"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0.815</w:t>
            </w:r>
            <w:r>
              <w:rPr>
                <w:rFonts w:hint="eastAsia"/>
                <w:color w:val="auto"/>
                <w:vertAlign w:val="subscript"/>
                <w:lang w:val="en-US" w:eastAsia="zh-CN"/>
              </w:rPr>
              <w:t>(0.043)</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0.913</w:t>
            </w:r>
            <w:r>
              <w:rPr>
                <w:rFonts w:hint="eastAsia"/>
                <w:color w:val="auto"/>
                <w:vertAlign w:val="subscript"/>
                <w:lang w:val="en-US" w:eastAsia="zh-CN"/>
              </w:rPr>
              <w:t>(0.042)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0.879</w:t>
            </w:r>
            <w:r>
              <w:rPr>
                <w:rFonts w:hint="eastAsia"/>
                <w:color w:val="auto"/>
                <w:vertAlign w:val="subscript"/>
                <w:lang w:val="en-US" w:eastAsia="zh-CN"/>
              </w:rPr>
              <w:t>(0.054)</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0.808</w:t>
            </w:r>
            <w:r>
              <w:rPr>
                <w:rFonts w:hint="eastAsia"/>
                <w:color w:val="auto"/>
                <w:vertAlign w:val="subscript"/>
                <w:lang w:val="en-US" w:eastAsia="zh-CN"/>
              </w:rPr>
              <w:t>(0.024)</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0.691</w:t>
            </w:r>
            <w:r>
              <w:rPr>
                <w:rFonts w:hint="eastAsia"/>
                <w:color w:val="auto"/>
                <w:vertAlign w:val="subscript"/>
                <w:lang w:val="en-US" w:eastAsia="zh-CN"/>
              </w:rPr>
              <w:t>(0.018)</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0.595</w:t>
            </w:r>
            <w:r>
              <w:rPr>
                <w:rFonts w:hint="eastAsia"/>
                <w:color w:val="auto"/>
                <w:vertAlign w:val="subscript"/>
                <w:lang w:val="en-US" w:eastAsia="zh-CN"/>
              </w:rPr>
              <w:t>(0.031)</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86"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0.823</w:t>
            </w:r>
            <w:r>
              <w:rPr>
                <w:rFonts w:hint="eastAsia"/>
                <w:color w:val="auto"/>
                <w:vertAlign w:val="subscript"/>
                <w:lang w:val="en-US" w:eastAsia="zh-CN"/>
              </w:rPr>
              <w:t>(0.038)</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0.919</w:t>
            </w:r>
            <w:r>
              <w:rPr>
                <w:rFonts w:hint="eastAsia"/>
                <w:color w:val="auto"/>
                <w:vertAlign w:val="subscript"/>
                <w:lang w:val="en-US" w:eastAsia="zh-CN"/>
              </w:rPr>
              <w:t>(0.048)</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0.897</w:t>
            </w:r>
            <w:r>
              <w:rPr>
                <w:rFonts w:hint="eastAsia"/>
                <w:color w:val="auto"/>
                <w:vertAlign w:val="subscript"/>
                <w:lang w:val="en-US" w:eastAsia="zh-CN"/>
              </w:rPr>
              <w:t>(0.041)</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(0.034)</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0.655</w:t>
            </w:r>
            <w:r>
              <w:rPr>
                <w:rFonts w:hint="eastAsia"/>
                <w:color w:val="auto"/>
                <w:vertAlign w:val="subscript"/>
                <w:lang w:val="en-US" w:eastAsia="zh-CN"/>
              </w:rPr>
              <w:t>(0.101)</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0.570</w:t>
            </w:r>
            <w:r>
              <w:rPr>
                <w:rFonts w:hint="eastAsia"/>
                <w:color w:val="auto"/>
                <w:vertAlign w:val="subscript"/>
                <w:lang w:val="en-US" w:eastAsia="zh-CN"/>
              </w:rPr>
              <w:t>(0.031)</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86"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color w:val="auto"/>
                <w:vertAlign w:val="subscript"/>
                <w:lang w:val="en-US" w:eastAsia="zh-CN"/>
              </w:rPr>
              <w:t>(0.006)</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color w:val="auto"/>
                <w:vertAlign w:val="subscript"/>
                <w:lang w:val="en-US" w:eastAsia="zh-CN"/>
              </w:rPr>
              <w:t>(0.002)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color w:val="auto"/>
                <w:vertAlign w:val="subscript"/>
                <w:lang w:val="en-US" w:eastAsia="zh-CN"/>
              </w:rPr>
              <w:t>(0.012)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color w:val="auto"/>
                <w:vertAlign w:val="subscript"/>
                <w:lang w:val="en-US" w:eastAsia="zh-CN"/>
              </w:rPr>
              <w:t>(0.016)</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color w:val="auto"/>
                <w:vertAlign w:val="subscript"/>
                <w:lang w:val="en-US" w:eastAsia="zh-CN"/>
              </w:rPr>
              <w:t>(0.002)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color w:val="auto"/>
                <w:vertAlign w:val="subscript"/>
                <w:lang w:val="en-US" w:eastAsia="zh-CN"/>
              </w:rPr>
              <w:t>(0.003)</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86"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(0.021)</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color w:val="auto"/>
                <w:vertAlign w:val="subscript"/>
                <w:lang w:val="en-US" w:eastAsia="zh-CN"/>
              </w:rPr>
              <w:t>(0.019)</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color w:val="auto"/>
                <w:vertAlign w:val="subscript"/>
                <w:lang w:val="en-US" w:eastAsia="zh-CN"/>
              </w:rPr>
              <w:t>(0.034)</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color w:val="auto"/>
                <w:vertAlign w:val="subscript"/>
                <w:lang w:val="en-US" w:eastAsia="zh-CN"/>
              </w:rPr>
              <w:t>(0.002)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color w:val="auto"/>
                <w:vertAlign w:val="subscript"/>
                <w:lang w:val="en-US" w:eastAsia="zh-CN"/>
              </w:rPr>
              <w:t>(0.004)</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color w:val="auto"/>
                <w:vertAlign w:val="subscript"/>
                <w:lang w:val="en-US" w:eastAsia="zh-CN"/>
              </w:rPr>
              <w:t>(0.016)</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1086"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0.751</w:t>
            </w:r>
            <w:r>
              <w:rPr>
                <w:rFonts w:hint="eastAsia"/>
                <w:color w:val="auto"/>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0.847</w:t>
            </w:r>
            <w:r>
              <w:rPr>
                <w:rFonts w:hint="eastAsia"/>
                <w:color w:val="auto"/>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0.717</w:t>
            </w:r>
            <w:r>
              <w:rPr>
                <w:rFonts w:hint="eastAsia"/>
                <w:color w:val="auto"/>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0.767</w:t>
            </w:r>
            <w:r>
              <w:rPr>
                <w:rFonts w:hint="eastAsia"/>
                <w:color w:val="auto"/>
                <w:vertAlign w:val="subscript"/>
                <w:lang w:val="en-US" w:eastAsia="zh-CN"/>
              </w:rPr>
              <w:t>(0.023</w:t>
            </w:r>
            <w:bookmarkStart w:id="0" w:name="_GoBack"/>
            <w:bookmarkEnd w:id="0"/>
            <w:r>
              <w:rPr>
                <w:rFonts w:hint="eastAsia"/>
                <w:color w:val="auto"/>
                <w:vertAlign w:val="subscript"/>
                <w:lang w:val="en-US" w:eastAsia="zh-CN"/>
              </w:rPr>
              <w:t>)</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0.679</w:t>
            </w:r>
            <w:r>
              <w:rPr>
                <w:rFonts w:hint="eastAsia"/>
                <w:color w:val="auto"/>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0.545</w:t>
            </w:r>
            <w:r>
              <w:rPr>
                <w:rFonts w:hint="eastAsia"/>
                <w:color w:val="auto"/>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1086"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0.779</w:t>
            </w:r>
            <w:r>
              <w:rPr>
                <w:rFonts w:hint="eastAsia"/>
                <w:color w:val="auto"/>
                <w:vertAlign w:val="subscript"/>
                <w:lang w:val="en-US" w:eastAsia="zh-CN"/>
              </w:rPr>
              <w:t>(0.031)</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0.912</w:t>
            </w:r>
            <w:r>
              <w:rPr>
                <w:rFonts w:hint="eastAsia"/>
                <w:color w:val="auto"/>
                <w:vertAlign w:val="subscript"/>
                <w:lang w:val="en-US" w:eastAsia="zh-CN"/>
              </w:rPr>
              <w:t>(0.004)</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0.855</w:t>
            </w:r>
            <w:r>
              <w:rPr>
                <w:rFonts w:hint="eastAsia"/>
                <w:color w:val="auto"/>
                <w:vertAlign w:val="subscript"/>
                <w:lang w:val="en-US" w:eastAsia="zh-CN"/>
              </w:rPr>
              <w:t>(0.013)</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0.761</w:t>
            </w:r>
            <w:r>
              <w:rPr>
                <w:rFonts w:hint="eastAsia"/>
                <w:color w:val="auto"/>
                <w:vertAlign w:val="subscript"/>
                <w:lang w:val="en-US" w:eastAsia="zh-CN"/>
              </w:rPr>
              <w:t>(0.130)</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0.659</w:t>
            </w:r>
            <w:r>
              <w:rPr>
                <w:rFonts w:hint="eastAsia"/>
                <w:color w:val="auto"/>
                <w:vertAlign w:val="subscript"/>
                <w:lang w:val="en-US" w:eastAsia="zh-CN"/>
              </w:rPr>
              <w:t>(0.133)</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0.662</w:t>
            </w:r>
            <w:r>
              <w:rPr>
                <w:rFonts w:hint="eastAsia"/>
                <w:color w:val="auto"/>
                <w:vertAlign w:val="subscript"/>
                <w:lang w:val="en-US" w:eastAsia="zh-CN"/>
              </w:rPr>
              <w:t>(0.009)</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1086"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0.808</w:t>
            </w:r>
            <w:r>
              <w:rPr>
                <w:rFonts w:hint="eastAsia"/>
                <w:color w:val="auto"/>
                <w:vertAlign w:val="subscript"/>
                <w:lang w:val="en-US" w:eastAsia="zh-CN"/>
              </w:rPr>
              <w:t>(0.002)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(0.019)</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0.925</w:t>
            </w:r>
            <w:r>
              <w:rPr>
                <w:rFonts w:hint="eastAsia"/>
                <w:color w:val="auto"/>
                <w:vertAlign w:val="subscript"/>
                <w:lang w:val="en-US" w:eastAsia="zh-CN"/>
              </w:rPr>
              <w:t>(0.011)</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0.769</w:t>
            </w:r>
            <w:r>
              <w:rPr>
                <w:rFonts w:hint="eastAsia"/>
                <w:color w:val="auto"/>
                <w:vertAlign w:val="subscript"/>
                <w:lang w:val="en-US" w:eastAsia="zh-CN"/>
              </w:rPr>
              <w:t>(0.005)</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0.651</w:t>
            </w:r>
            <w:r>
              <w:rPr>
                <w:rFonts w:hint="eastAsia"/>
                <w:color w:val="auto"/>
                <w:vertAlign w:val="subscript"/>
                <w:lang w:val="en-US" w:eastAsia="zh-CN"/>
              </w:rPr>
              <w:t>(0.014)</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0.610</w:t>
            </w:r>
            <w:r>
              <w:rPr>
                <w:rFonts w:hint="eastAsia"/>
                <w:color w:val="auto"/>
                <w:vertAlign w:val="subscript"/>
                <w:lang w:val="en-US" w:eastAsia="zh-CN"/>
              </w:rPr>
              <w:t>(0.008)</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1086"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0.767</w:t>
            </w:r>
            <w:r>
              <w:rPr>
                <w:rFonts w:hint="eastAsia"/>
                <w:color w:val="auto"/>
                <w:vertAlign w:val="subscript"/>
                <w:lang w:val="en-US" w:eastAsia="zh-CN"/>
              </w:rPr>
              <w:t>(0.014)</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0.705</w:t>
            </w:r>
            <w:r>
              <w:rPr>
                <w:rFonts w:hint="eastAsia"/>
                <w:color w:val="auto"/>
                <w:vertAlign w:val="subscript"/>
                <w:lang w:val="en-US" w:eastAsia="zh-CN"/>
              </w:rPr>
              <w:t>(0.020)</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0.799</w:t>
            </w:r>
            <w:r>
              <w:rPr>
                <w:rFonts w:hint="eastAsia"/>
                <w:color w:val="auto"/>
                <w:vertAlign w:val="subscript"/>
                <w:lang w:val="en-US" w:eastAsia="zh-CN"/>
              </w:rPr>
              <w:t>(0.041)</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0.756</w:t>
            </w:r>
            <w:r>
              <w:rPr>
                <w:rFonts w:hint="eastAsia"/>
                <w:color w:val="auto"/>
                <w:vertAlign w:val="subscript"/>
                <w:lang w:val="en-US" w:eastAsia="zh-CN"/>
              </w:rPr>
              <w:t>(0.003)</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0.634</w:t>
            </w:r>
            <w:r>
              <w:rPr>
                <w:rFonts w:hint="eastAsia"/>
                <w:color w:val="auto"/>
                <w:vertAlign w:val="subscript"/>
                <w:lang w:val="en-US" w:eastAsia="zh-CN"/>
              </w:rPr>
              <w:t>(0.011)</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(0.009)</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1086"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0.785</w:t>
            </w:r>
            <w:r>
              <w:rPr>
                <w:rFonts w:hint="eastAsia"/>
                <w:color w:val="auto"/>
                <w:vertAlign w:val="subscript"/>
                <w:lang w:val="en-US" w:eastAsia="zh-CN"/>
              </w:rPr>
              <w:t>(0.027)</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0.731</w:t>
            </w:r>
            <w:r>
              <w:rPr>
                <w:rFonts w:hint="eastAsia"/>
                <w:color w:val="auto"/>
                <w:vertAlign w:val="subscript"/>
                <w:lang w:val="en-US" w:eastAsia="zh-CN"/>
              </w:rPr>
              <w:t>(0.054)</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0.892</w:t>
            </w:r>
            <w:r>
              <w:rPr>
                <w:rFonts w:hint="eastAsia"/>
                <w:color w:val="auto"/>
                <w:vertAlign w:val="subscript"/>
                <w:lang w:val="en-US" w:eastAsia="zh-CN"/>
              </w:rPr>
              <w:t>(0.073)</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0.725</w:t>
            </w:r>
            <w:r>
              <w:rPr>
                <w:rFonts w:hint="eastAsia"/>
                <w:color w:val="auto"/>
                <w:vertAlign w:val="subscript"/>
                <w:lang w:val="en-US" w:eastAsia="zh-CN"/>
              </w:rPr>
              <w:t>(0.102)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0.550</w:t>
            </w:r>
            <w:r>
              <w:rPr>
                <w:rFonts w:hint="eastAsia"/>
                <w:color w:val="auto"/>
                <w:vertAlign w:val="subscript"/>
                <w:lang w:val="en-US" w:eastAsia="zh-CN"/>
              </w:rPr>
              <w:t>(0.065)</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0.598</w:t>
            </w:r>
            <w:r>
              <w:rPr>
                <w:rFonts w:hint="eastAsia"/>
                <w:color w:val="auto"/>
                <w:vertAlign w:val="subscript"/>
                <w:lang w:val="en-US" w:eastAsia="zh-CN"/>
              </w:rPr>
              <w:t>(0.056)</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86"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(0.006)</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(0.110)</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(0.082)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(0.005)</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(0.025)</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(0.015)</w:t>
            </w:r>
          </w:p>
        </w:tc>
      </w:tr>
    </w:tbl>
    <w:p w14:paraId="2D60FCBA">
      <w:pPr>
        <w:bidi w:val="0"/>
        <w:rPr>
          <w:rFonts w:hint="default"/>
          <w:lang w:val="en-US" w:eastAsia="zh-CN"/>
        </w:rPr>
      </w:pPr>
      <w:r>
        <w:rPr>
          <w:rFonts w:hint="eastAsia"/>
          <w:lang w:val="en-US" w:eastAsia="zh-CN"/>
        </w:rPr>
        <w:t>分类任务性能评估:</w:t>
      </w:r>
      <w:r>
        <w:rPr>
          <w:rFonts w:hint="default"/>
          <w:lang w:val="en-US" w:eastAsia="zh-CN"/>
        </w:rPr>
        <w:t>相较于 AttentiveFP、CMPNN 等主流基准模型，MyModel 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0.015）等涉及复杂药理毒理机制的任务中，MyModel 相比于同样采用文本对齐的 MoleculeSTM（0.925 / 0.610）实现了大幅领先。这一结果有力佐证了“知识重写流水线”的有效性：通过 LLM 剔除原始 PubChem 文本中的冗余噪声，并将 12 项关键理化性质显式注入语义空间，模型得以在特征学习阶段建立起分子结构与临床毒性间更精准的因果映射，而非仅仅依赖表层的文本共现统计。在包含数百个子任务的 Tox21（0.841）与 ToxCast（0.712）大规模数据集上，MyModel 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color w:val="auto"/>
                <w:vertAlign w:val="baseline"/>
                <w:lang w:val="en-US" w:eastAsia="zh-CN"/>
              </w:rPr>
            </w:pPr>
            <w:r>
              <w:rPr>
                <w:rFonts w:hint="eastAsia"/>
                <w:color w:val="auto"/>
                <w:vertAlign w:val="baseline"/>
                <w:lang w:val="en-US" w:eastAsia="zh-CN"/>
              </w:rPr>
              <w:t>0.877</w:t>
            </w:r>
            <w:r>
              <w:rPr>
                <w:rFonts w:hint="eastAsia"/>
                <w:color w:val="auto"/>
                <w:vertAlign w:val="subscript"/>
                <w:lang w:val="en-US" w:eastAsia="zh-CN"/>
              </w:rPr>
              <w:t>(0.060)</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2.073</w:t>
            </w:r>
            <w:r>
              <w:rPr>
                <w:rFonts w:hint="eastAsia"/>
                <w:color w:val="auto"/>
                <w:vertAlign w:val="subscript"/>
                <w:lang w:val="en-US" w:eastAsia="zh-CN"/>
              </w:rPr>
              <w:t>(0.220)</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0.721</w:t>
            </w:r>
            <w:r>
              <w:rPr>
                <w:rFonts w:hint="eastAsia"/>
                <w:color w:val="auto"/>
                <w:vertAlign w:val="subscript"/>
                <w:lang w:val="en-US" w:eastAsia="zh-CN"/>
              </w:rPr>
              <w:t>(0.030)</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0.995</w:t>
            </w:r>
            <w:r>
              <w:rPr>
                <w:rFonts w:hint="eastAsia"/>
                <w:color w:val="auto"/>
                <w:vertAlign w:val="subscript"/>
                <w:lang w:val="en-US" w:eastAsia="zh-CN"/>
              </w:rPr>
              <w:t>(0.032)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2.021</w:t>
            </w:r>
            <w:r>
              <w:rPr>
                <w:rFonts w:hint="eastAsia"/>
                <w:color w:val="auto"/>
                <w:vertAlign w:val="subscript"/>
                <w:lang w:val="en-US" w:eastAsia="zh-CN"/>
              </w:rPr>
              <w:t>(0.154)</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0.803</w:t>
            </w:r>
            <w:r>
              <w:rPr>
                <w:rFonts w:hint="eastAsia"/>
                <w:color w:val="auto"/>
                <w:vertAlign w:val="subscript"/>
                <w:lang w:val="en-US" w:eastAsia="zh-CN"/>
              </w:rPr>
              <w:t>(0.021)</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0.921</w:t>
            </w:r>
            <w:r>
              <w:rPr>
                <w:rFonts w:hint="eastAsia" w:cs="Times New Roman"/>
                <w:color w:val="auto"/>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2.026</w:t>
            </w:r>
            <w:r>
              <w:rPr>
                <w:rFonts w:hint="eastAsia" w:cs="Times New Roman"/>
                <w:color w:val="auto"/>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0.646</w:t>
            </w:r>
            <w:r>
              <w:rPr>
                <w:rFonts w:hint="eastAsia" w:cs="Times New Roman"/>
                <w:color w:val="auto"/>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1.029</w:t>
            </w:r>
            <w:r>
              <w:rPr>
                <w:rFonts w:hint="eastAsia"/>
                <w:color w:val="auto"/>
                <w:vertAlign w:val="subscript"/>
                <w:lang w:val="en-US" w:eastAsia="zh-CN"/>
              </w:rPr>
              <w:t>(0.033)</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1.893</w:t>
            </w:r>
            <w:r>
              <w:rPr>
                <w:rFonts w:hint="eastAsia"/>
                <w:color w:val="auto"/>
                <w:vertAlign w:val="subscript"/>
                <w:lang w:val="en-US" w:eastAsia="zh-CN"/>
              </w:rPr>
              <w:t>(0.063)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0.681</w:t>
            </w:r>
            <w:r>
              <w:rPr>
                <w:rFonts w:hint="eastAsia" w:cs="Times New Roman"/>
                <w:color w:val="auto"/>
                <w:kern w:val="2"/>
                <w:sz w:val="21"/>
                <w:szCs w:val="24"/>
                <w:vertAlign w:val="subscript"/>
                <w:lang w:val="en-US" w:eastAsia="zh-CN" w:bidi="ar-SA"/>
              </w:rPr>
              <w:t>(0.002)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1.167</w:t>
            </w:r>
            <w:r>
              <w:rPr>
                <w:rFonts w:hint="eastAsia"/>
                <w:color w:val="auto"/>
                <w:vertAlign w:val="subscript"/>
                <w:lang w:val="en-US" w:eastAsia="zh-CN"/>
              </w:rPr>
              <w:t>(0.430)</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2.185</w:t>
            </w:r>
            <w:r>
              <w:rPr>
                <w:rFonts w:hint="eastAsia"/>
                <w:color w:val="auto"/>
                <w:vertAlign w:val="subscript"/>
                <w:lang w:val="en-US" w:eastAsia="zh-CN"/>
              </w:rPr>
              <w:t>(0.952)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0.672</w:t>
            </w:r>
            <w:r>
              <w:rPr>
                <w:rFonts w:hint="eastAsia" w:cs="Times New Roman"/>
                <w:color w:val="auto"/>
                <w:kern w:val="2"/>
                <w:sz w:val="21"/>
                <w:szCs w:val="24"/>
                <w:vertAlign w:val="subscript"/>
                <w:lang w:val="en-US" w:eastAsia="zh-CN" w:bidi="ar-SA"/>
              </w:rPr>
              <w:t>(0.051)</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0.972</w:t>
            </w:r>
            <w:r>
              <w:rPr>
                <w:rFonts w:hint="eastAsia" w:cs="Times New Roman"/>
                <w:color w:val="auto"/>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2.170</w:t>
            </w:r>
            <w:r>
              <w:rPr>
                <w:rFonts w:hint="eastAsia" w:cs="Times New Roman"/>
                <w:color w:val="auto"/>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0.662</w:t>
            </w:r>
            <w:r>
              <w:rPr>
                <w:rFonts w:hint="eastAsia" w:cs="Times New Roman"/>
                <w:color w:val="auto"/>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1.833</w:t>
            </w:r>
            <w:r>
              <w:rPr>
                <w:rFonts w:hint="eastAsia" w:cs="Times New Roman"/>
                <w:color w:val="auto"/>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0.658</w:t>
            </w:r>
            <w:r>
              <w:rPr>
                <w:rFonts w:hint="eastAsia" w:cs="Times New Roman"/>
                <w:color w:val="auto"/>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0.885</w:t>
            </w:r>
            <w:r>
              <w:rPr>
                <w:rFonts w:hint="eastAsia"/>
                <w:color w:val="auto"/>
                <w:vertAlign w:val="subscript"/>
                <w:lang w:val="en-US" w:eastAsia="zh-CN"/>
              </w:rPr>
              <w:t>(0.051)</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1.619</w:t>
            </w:r>
            <w:r>
              <w:rPr>
                <w:rFonts w:hint="eastAsia"/>
                <w:color w:val="auto"/>
                <w:vertAlign w:val="subscript"/>
                <w:lang w:val="en-US" w:eastAsia="zh-CN"/>
              </w:rPr>
              <w:t>(0.202)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0.659</w:t>
            </w:r>
            <w:r>
              <w:rPr>
                <w:rFonts w:hint="eastAsia"/>
                <w:color w:val="auto"/>
                <w:vertAlign w:val="subscript"/>
                <w:lang w:val="en-US" w:eastAsia="zh-CN"/>
              </w:rPr>
              <w:t>(0.085)</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1.045</w:t>
            </w:r>
            <w:r>
              <w:rPr>
                <w:rFonts w:hint="eastAsia"/>
                <w:color w:val="auto"/>
                <w:vertAlign w:val="subscript"/>
                <w:lang w:val="en-US" w:eastAsia="zh-CN"/>
              </w:rPr>
              <w:t>(0.064)</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3.215</w:t>
            </w:r>
            <w:r>
              <w:rPr>
                <w:rFonts w:hint="eastAsia"/>
                <w:color w:val="auto"/>
                <w:vertAlign w:val="subscript"/>
                <w:lang w:val="en-US" w:eastAsia="zh-CN"/>
              </w:rPr>
              <w:t>(0.355)</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0.909</w:t>
            </w:r>
            <w:r>
              <w:rPr>
                <w:rFonts w:hint="eastAsia"/>
                <w:color w:val="auto"/>
                <w:vertAlign w:val="subscript"/>
                <w:lang w:val="en-US" w:eastAsia="zh-CN"/>
              </w:rPr>
              <w:t>(0.098)</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1.074</w:t>
            </w:r>
            <w:r>
              <w:rPr>
                <w:rFonts w:hint="eastAsia"/>
                <w:color w:val="auto"/>
                <w:vertAlign w:val="subscript"/>
                <w:lang w:val="en-US" w:eastAsia="zh-CN"/>
              </w:rPr>
              <w:t>(0.112)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2.688</w:t>
            </w:r>
            <w:r>
              <w:rPr>
                <w:rFonts w:hint="eastAsia"/>
                <w:color w:val="auto"/>
                <w:vertAlign w:val="subscript"/>
                <w:lang w:val="en-US" w:eastAsia="zh-CN"/>
              </w:rPr>
              <w:t>(0.251)</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(0.031)</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2130" w:type="dxa"/>
            <w:tcBorders>
              <w:top w:val="nil"/>
              <w:left w:val="nil"/>
              <w:bottom w:val="single" w:color="auto" w:sz="8"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1.124</w:t>
            </w:r>
            <w:r>
              <w:rPr>
                <w:rFonts w:hint="eastAsia"/>
                <w:color w:val="auto"/>
                <w:vertAlign w:val="subscript"/>
                <w:lang w:val="en-US" w:eastAsia="zh-CN"/>
              </w:rPr>
              <w:t>(0.251)</w:t>
            </w:r>
          </w:p>
        </w:tc>
        <w:tc>
          <w:tcPr>
            <w:tcW w:w="2131" w:type="dxa"/>
            <w:tcBorders>
              <w:top w:val="nil"/>
              <w:left w:val="nil"/>
              <w:bottom w:val="single" w:color="auto" w:sz="8"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2.124</w:t>
            </w:r>
            <w:r>
              <w:rPr>
                <w:rFonts w:hint="eastAsia"/>
                <w:color w:val="auto"/>
                <w:vertAlign w:val="subscript"/>
                <w:lang w:val="en-US" w:eastAsia="zh-CN"/>
              </w:rPr>
              <w:t>(0.429)</w:t>
            </w:r>
          </w:p>
        </w:tc>
        <w:tc>
          <w:tcPr>
            <w:tcW w:w="2131" w:type="dxa"/>
            <w:tcBorders>
              <w:top w:val="nil"/>
              <w:left w:val="nil"/>
              <w:bottom w:val="single" w:color="auto" w:sz="8"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0.902</w:t>
            </w:r>
            <w:r>
              <w:rPr>
                <w:rFonts w:hint="eastAsia"/>
                <w:color w:val="auto"/>
                <w:vertAlign w:val="subscript"/>
                <w:lang w:val="en-US" w:eastAsia="zh-CN"/>
              </w:rPr>
              <w:t>(0.047)</w:t>
            </w:r>
          </w:p>
        </w:tc>
      </w:tr>
      <w:tr w14:paraId="6C32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61AA7AB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Mymodel</w:t>
            </w:r>
          </w:p>
        </w:tc>
        <w:tc>
          <w:tcPr>
            <w:tcW w:w="2130" w:type="dxa"/>
            <w:tcBorders>
              <w:top w:val="single" w:color="auto" w:sz="8" w:space="0"/>
              <w:left w:val="nil"/>
              <w:bottom w:val="single" w:color="auto" w:sz="12" w:space="0"/>
              <w:right w:val="nil"/>
            </w:tcBorders>
            <w:shd w:val="clear" w:color="auto" w:fill="auto"/>
            <w:vAlign w:val="center"/>
          </w:tcPr>
          <w:p w14:paraId="700B2F9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0.831</w:t>
            </w:r>
            <w:r>
              <w:rPr>
                <w:rFonts w:hint="eastAsia"/>
                <w:color w:val="auto"/>
                <w:vertAlign w:val="subscript"/>
                <w:lang w:val="en-US" w:eastAsia="zh-CN"/>
              </w:rPr>
              <w:t>(0.024)</w:t>
            </w:r>
          </w:p>
        </w:tc>
        <w:tc>
          <w:tcPr>
            <w:tcW w:w="2131" w:type="dxa"/>
            <w:tcBorders>
              <w:top w:val="single" w:color="auto" w:sz="8" w:space="0"/>
              <w:left w:val="nil"/>
              <w:bottom w:val="single" w:color="auto" w:sz="12" w:space="0"/>
              <w:right w:val="nil"/>
            </w:tcBorders>
            <w:shd w:val="clear" w:color="auto" w:fill="auto"/>
            <w:vAlign w:val="center"/>
          </w:tcPr>
          <w:p w14:paraId="5F0464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1.512</w:t>
            </w:r>
            <w:r>
              <w:rPr>
                <w:rFonts w:hint="eastAsia"/>
                <w:color w:val="auto"/>
                <w:vertAlign w:val="subscript"/>
                <w:lang w:val="en-US" w:eastAsia="zh-CN"/>
              </w:rPr>
              <w:t>(0.233)</w:t>
            </w:r>
          </w:p>
        </w:tc>
        <w:tc>
          <w:tcPr>
            <w:tcW w:w="2131" w:type="dxa"/>
            <w:tcBorders>
              <w:top w:val="single" w:color="auto" w:sz="8" w:space="0"/>
              <w:left w:val="nil"/>
              <w:bottom w:val="single" w:color="auto" w:sz="12" w:space="0"/>
              <w:right w:val="nil"/>
            </w:tcBorders>
            <w:shd w:val="clear" w:color="auto" w:fill="auto"/>
            <w:vAlign w:val="center"/>
          </w:tcPr>
          <w:p w14:paraId="591F55D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0.656</w:t>
            </w:r>
            <w:r>
              <w:rPr>
                <w:rFonts w:hint="eastAsia"/>
                <w:color w:val="auto"/>
                <w:vertAlign w:val="subscript"/>
                <w:lang w:val="en-US" w:eastAsia="zh-CN"/>
              </w:rPr>
              <w:t>(0.006)</w:t>
            </w:r>
          </w:p>
        </w:tc>
      </w:tr>
    </w:tbl>
    <w:p w14:paraId="4305BD14">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ED5A928">
      <w:pPr>
        <w:bidi w:val="0"/>
        <w:rPr>
          <w:rFonts w:hint="default"/>
          <w:lang w:val="en-US" w:eastAsia="zh-CN"/>
        </w:rPr>
      </w:pPr>
      <w:r>
        <w:rPr>
          <w:rFonts w:hint="default"/>
          <w:lang w:val="en-US" w:eastAsia="zh-CN"/>
        </w:rPr>
        <w:t>表 3-Y 进一步展示了模型在 ESOL、FreeSolv 和 Lipo 三个回归任务上的均方根误差（RMSE）表现（数值越低越好）。在水溶性预测任务（ESOL）中，MyModel 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5BAED9F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综上所述，无论是面向离散的生物活性分类，还是连续的理化性质回归，MyModel 均凭借其“图中心对比学习+多模态知识增强”的复合架构，展现出了超越现有 SOTA 方法的综合性能。</w:t>
      </w:r>
      <w:r>
        <w:rPr>
          <w:rFonts w:hint="eastAsia"/>
          <w:lang w:val="en-US" w:eastAsia="zh-CN"/>
        </w:rPr>
        <w:t xml:space="preserve"> </w:t>
      </w:r>
    </w:p>
    <w:p w14:paraId="61B45477">
      <w:pPr>
        <w:pStyle w:val="4"/>
        <w:bidi w:val="0"/>
        <w:ind w:left="210" w:leftChars="0" w:firstLineChars="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w:t>
      </w:r>
      <w:r>
        <w:t>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F_GFS</w:t>
      </w:r>
      <w:r>
        <w:t>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ind w:left="210" w:leftChars="0" w:firstLineChars="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047240" cy="1638300"/>
            <wp:effectExtent l="0" t="0" r="10160" b="762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047240" cy="1638300"/>
                    </a:xfrm>
                    <a:prstGeom prst="rect">
                      <a:avLst/>
                    </a:prstGeom>
                  </pic:spPr>
                </pic:pic>
              </a:graphicData>
            </a:graphic>
          </wp:inline>
        </w:drawing>
      </w:r>
    </w:p>
    <w:p w14:paraId="2C8E9145">
      <w:pPr>
        <w:pStyle w:val="4"/>
        <w:bidi w:val="0"/>
        <w:ind w:left="210" w:leftChars="0" w:firstLineChars="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Para>
        <m:oMath>
          <m:r>
            <m:rPr/>
            <w:rPr>
              <w:rFonts w:hint="default" w:ascii="Cambria Math"/>
            </w:rPr>
            <m:t>τ</m:t>
          </m:r>
        </m:oMath>
      </m:oMathPara>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Para>
        <m:oMath>
          <m:r>
            <m:rPr/>
            <w:rPr>
              <w:rFonts w:hint="default" w:ascii="Cambria Math"/>
            </w:rPr>
            <m:t>τ</m:t>
          </m:r>
        </m:oMath>
      </m:oMathPara>
      <w:r>
        <w:rPr>
          <w:rFonts w:hint="default"/>
          <w:lang w:val="en-US" w:eastAsia="zh-CN"/>
        </w:rPr>
        <w:t xml:space="preserve">值（取值范围 $\{0.05, 0.1, 0.2, 0.5, 1.0\}$）的变化曲线。从图中可以观察到明显的“倒 U 型”趋势，具体分析如下：过小的 </w:t>
      </w:r>
      <m:oMathPara>
        <m:oMath>
          <m:r>
            <m:rPr/>
            <w:rPr>
              <w:rFonts w:hint="default" w:ascii="Cambria Math"/>
            </w:rPr>
            <m:t>τ</m:t>
          </m:r>
        </m:oMath>
      </m:oMathPara>
      <w:r>
        <w:rPr>
          <w:rFonts w:hint="default"/>
          <w:lang w:val="en-US" w:eastAsia="zh-CN"/>
        </w:rPr>
        <w:t xml:space="preserve">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w:t>
      </w:r>
      <m:oMathPara>
        <m:oMath>
          <m:r>
            <m:rPr/>
            <w:rPr>
              <w:rFonts w:hint="default" w:ascii="Cambria Math"/>
            </w:rPr>
            <m:t>τ</m:t>
          </m:r>
        </m:oMath>
      </m:oMathPara>
      <w:r>
        <w:rPr>
          <w:rFonts w:hint="default"/>
          <w:lang w:val="en-US" w:eastAsia="zh-CN"/>
        </w:rPr>
        <w:t xml:space="preserve"> (0.5 - 1.0)：随着温度系数增大，分布趋于平滑，模型对不同负样本的区分能力减弱。当 </w:t>
      </w:r>
      <m:oMathPara>
        <m:oMath>
          <m:r>
            <m:rPr/>
            <w:rPr>
              <w:rFonts w:hint="default" w:ascii="Cambria Math"/>
            </w:rPr>
            <m:t>τ=1.0</m:t>
          </m:r>
        </m:oMath>
      </m:oMathPara>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Para>
        <m:oMath>
          <m:r>
            <m:rPr/>
            <w:rPr>
              <w:rFonts w:hint="default" w:ascii="Cambria Math"/>
            </w:rPr>
            <m:t>τ</m:t>
          </m:r>
        </m:oMath>
      </m:oMathPara>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Para>
        <m:oMath>
          <m:r>
            <m:rPr/>
            <w:rPr>
              <w:rFonts w:hint="default" w:ascii="Cambria Math"/>
            </w:rPr>
            <m:t>τ</m:t>
          </m:r>
        </m:oMath>
      </m:oMathPara>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7E5371A9"/>
    <w:multiLevelType w:val="multilevel"/>
    <w:tmpl w:val="7E5371A9"/>
    <w:lvl w:ilvl="0" w:tentative="0">
      <w:start w:val="1"/>
      <w:numFmt w:val="decimal"/>
      <w:pStyle w:val="2"/>
      <w:isLgl/>
      <w:suff w:val="space"/>
      <w:lvlText w:val="%1"/>
      <w:lvlJc w:val="left"/>
      <w:pPr>
        <w:tabs>
          <w:tab w:val="left" w:pos="420"/>
        </w:tabs>
        <w:ind w:left="0" w:leftChars="0" w:firstLine="0" w:firstLineChars="0"/>
      </w:pPr>
      <w:rPr>
        <w:rFonts w:hint="default"/>
      </w:rPr>
    </w:lvl>
    <w:lvl w:ilvl="1" w:tentative="0">
      <w:start w:val="1"/>
      <w:numFmt w:val="decimal"/>
      <w:pStyle w:val="3"/>
      <w:isLgl/>
      <w:suff w:val="space"/>
      <w:lvlText w:val="%1.%2"/>
      <w:lvlJc w:val="left"/>
      <w:pPr>
        <w:tabs>
          <w:tab w:val="left" w:pos="420"/>
        </w:tabs>
        <w:ind w:left="0" w:leftChars="0" w:firstLine="0" w:firstLineChars="0"/>
      </w:pPr>
      <w:rPr>
        <w:rFonts w:hint="default"/>
      </w:rPr>
    </w:lvl>
    <w:lvl w:ilvl="2" w:tentative="0">
      <w:start w:val="1"/>
      <w:numFmt w:val="decimal"/>
      <w:pStyle w:val="4"/>
      <w:isLgl/>
      <w:suff w:val="space"/>
      <w:lvlText w:val="%1.%2.%3"/>
      <w:lvlJc w:val="left"/>
      <w:pPr>
        <w:tabs>
          <w:tab w:val="left" w:pos="0"/>
        </w:tabs>
        <w:ind w:left="0" w:leftChars="0" w:firstLine="0" w:firstLineChars="0"/>
      </w:pPr>
      <w:rPr>
        <w:rFonts w:hint="default"/>
      </w:rPr>
    </w:lvl>
    <w:lvl w:ilvl="3" w:tentative="0">
      <w:start w:val="1"/>
      <w:numFmt w:val="decimal"/>
      <w:pStyle w:val="5"/>
      <w:isLgl/>
      <w:lvlText w:val="%1.%2.%3.%4"/>
      <w:lvlJc w:val="left"/>
      <w:pPr>
        <w:tabs>
          <w:tab w:val="left" w:pos="0"/>
        </w:tabs>
        <w:ind w:left="0" w:leftChars="0" w:firstLine="0" w:firstLineChars="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3AE3AF3"/>
    <w:rsid w:val="0433224A"/>
    <w:rsid w:val="05A849B2"/>
    <w:rsid w:val="064F49ED"/>
    <w:rsid w:val="06510766"/>
    <w:rsid w:val="06B62CBE"/>
    <w:rsid w:val="06E11AE9"/>
    <w:rsid w:val="071E0F8F"/>
    <w:rsid w:val="07754928"/>
    <w:rsid w:val="08155C5D"/>
    <w:rsid w:val="08805332"/>
    <w:rsid w:val="08CE2541"/>
    <w:rsid w:val="0935611C"/>
    <w:rsid w:val="093D1475"/>
    <w:rsid w:val="0A0B19C3"/>
    <w:rsid w:val="0ABF0394"/>
    <w:rsid w:val="0B04049C"/>
    <w:rsid w:val="0B6B22C9"/>
    <w:rsid w:val="0BD64449"/>
    <w:rsid w:val="0BFF569C"/>
    <w:rsid w:val="0C965756"/>
    <w:rsid w:val="0CDC2ACA"/>
    <w:rsid w:val="0D9773A6"/>
    <w:rsid w:val="0E6A3D66"/>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44B713C"/>
    <w:rsid w:val="14667AD2"/>
    <w:rsid w:val="14681A9C"/>
    <w:rsid w:val="146944C2"/>
    <w:rsid w:val="14E37374"/>
    <w:rsid w:val="150C0679"/>
    <w:rsid w:val="15CF1017"/>
    <w:rsid w:val="1666772B"/>
    <w:rsid w:val="16721235"/>
    <w:rsid w:val="16EE3830"/>
    <w:rsid w:val="17887D5F"/>
    <w:rsid w:val="17F65611"/>
    <w:rsid w:val="191915B7"/>
    <w:rsid w:val="1A9B7C43"/>
    <w:rsid w:val="1B593EEC"/>
    <w:rsid w:val="1BCA6B98"/>
    <w:rsid w:val="1BDB2F6A"/>
    <w:rsid w:val="1C884062"/>
    <w:rsid w:val="1D37025D"/>
    <w:rsid w:val="1D8B05A9"/>
    <w:rsid w:val="1F3F2EA1"/>
    <w:rsid w:val="1F5E18DF"/>
    <w:rsid w:val="1F7F074A"/>
    <w:rsid w:val="1FCF02AE"/>
    <w:rsid w:val="1FE673DA"/>
    <w:rsid w:val="20DB53A4"/>
    <w:rsid w:val="20F01385"/>
    <w:rsid w:val="21423675"/>
    <w:rsid w:val="214E0CB3"/>
    <w:rsid w:val="220A5F40"/>
    <w:rsid w:val="222A07C5"/>
    <w:rsid w:val="22F9340A"/>
    <w:rsid w:val="23E876FD"/>
    <w:rsid w:val="25641E0C"/>
    <w:rsid w:val="257A162F"/>
    <w:rsid w:val="25853B30"/>
    <w:rsid w:val="264D3A61"/>
    <w:rsid w:val="26FB67A0"/>
    <w:rsid w:val="27866B9F"/>
    <w:rsid w:val="27B32BD6"/>
    <w:rsid w:val="27E71EA9"/>
    <w:rsid w:val="27F60D15"/>
    <w:rsid w:val="289E73E3"/>
    <w:rsid w:val="28EA6ACC"/>
    <w:rsid w:val="292A511A"/>
    <w:rsid w:val="29DF5F05"/>
    <w:rsid w:val="29FA6504"/>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B40257B"/>
    <w:rsid w:val="3B7566C9"/>
    <w:rsid w:val="3BA7755B"/>
    <w:rsid w:val="3BDD426E"/>
    <w:rsid w:val="3D143CBF"/>
    <w:rsid w:val="3D2B25F8"/>
    <w:rsid w:val="3D6119C4"/>
    <w:rsid w:val="3DA94408"/>
    <w:rsid w:val="3E047E0A"/>
    <w:rsid w:val="3E4800C5"/>
    <w:rsid w:val="3F0F0BE2"/>
    <w:rsid w:val="3F12422F"/>
    <w:rsid w:val="3F32042D"/>
    <w:rsid w:val="3FC65745"/>
    <w:rsid w:val="40BB2DD0"/>
    <w:rsid w:val="40E90FBF"/>
    <w:rsid w:val="41F12821"/>
    <w:rsid w:val="42694565"/>
    <w:rsid w:val="427B20EB"/>
    <w:rsid w:val="431F0E8B"/>
    <w:rsid w:val="436D237B"/>
    <w:rsid w:val="44044A8E"/>
    <w:rsid w:val="440C3157"/>
    <w:rsid w:val="44444E8A"/>
    <w:rsid w:val="44E80FE1"/>
    <w:rsid w:val="455A06DD"/>
    <w:rsid w:val="45837C34"/>
    <w:rsid w:val="45B352DC"/>
    <w:rsid w:val="45CB21F7"/>
    <w:rsid w:val="45CF4C28"/>
    <w:rsid w:val="482F17FF"/>
    <w:rsid w:val="48A77906"/>
    <w:rsid w:val="490E6F34"/>
    <w:rsid w:val="49217DF9"/>
    <w:rsid w:val="4941408E"/>
    <w:rsid w:val="494D47E1"/>
    <w:rsid w:val="4AB34B18"/>
    <w:rsid w:val="4B8204BE"/>
    <w:rsid w:val="4C4507B6"/>
    <w:rsid w:val="4D551EB6"/>
    <w:rsid w:val="4D8B14D9"/>
    <w:rsid w:val="4DB33B09"/>
    <w:rsid w:val="4EBB21ED"/>
    <w:rsid w:val="4F1813ED"/>
    <w:rsid w:val="4F576D80"/>
    <w:rsid w:val="4FA30A16"/>
    <w:rsid w:val="525C3CE7"/>
    <w:rsid w:val="528E3D51"/>
    <w:rsid w:val="530E3233"/>
    <w:rsid w:val="53D55AFF"/>
    <w:rsid w:val="546B0211"/>
    <w:rsid w:val="55844E99"/>
    <w:rsid w:val="55B44A7B"/>
    <w:rsid w:val="560E70A6"/>
    <w:rsid w:val="572D5C52"/>
    <w:rsid w:val="583B7EFB"/>
    <w:rsid w:val="58B061F7"/>
    <w:rsid w:val="58BA1CEE"/>
    <w:rsid w:val="58C16652"/>
    <w:rsid w:val="59576FB6"/>
    <w:rsid w:val="5A3B2CC9"/>
    <w:rsid w:val="5B305D11"/>
    <w:rsid w:val="5B4F0B23"/>
    <w:rsid w:val="5B4F731A"/>
    <w:rsid w:val="5B993B5A"/>
    <w:rsid w:val="5BF907F8"/>
    <w:rsid w:val="5C983B6D"/>
    <w:rsid w:val="5D814602"/>
    <w:rsid w:val="5D9A3915"/>
    <w:rsid w:val="5EA7453C"/>
    <w:rsid w:val="5F573763"/>
    <w:rsid w:val="5F773F0E"/>
    <w:rsid w:val="5FC01AAC"/>
    <w:rsid w:val="6045400C"/>
    <w:rsid w:val="60D1764E"/>
    <w:rsid w:val="61D513C0"/>
    <w:rsid w:val="621C33F7"/>
    <w:rsid w:val="621E4B15"/>
    <w:rsid w:val="634E31D8"/>
    <w:rsid w:val="637C5F97"/>
    <w:rsid w:val="639332E1"/>
    <w:rsid w:val="64F102BF"/>
    <w:rsid w:val="65711400"/>
    <w:rsid w:val="666902A6"/>
    <w:rsid w:val="68464DC5"/>
    <w:rsid w:val="68E36170"/>
    <w:rsid w:val="692A78CC"/>
    <w:rsid w:val="69502941"/>
    <w:rsid w:val="69D81A4D"/>
    <w:rsid w:val="69F97043"/>
    <w:rsid w:val="6A2373A8"/>
    <w:rsid w:val="6A627569"/>
    <w:rsid w:val="6AAF6C52"/>
    <w:rsid w:val="6C661592"/>
    <w:rsid w:val="6CCA3A1C"/>
    <w:rsid w:val="6CE81FA7"/>
    <w:rsid w:val="6D1F1741"/>
    <w:rsid w:val="6D8A5754"/>
    <w:rsid w:val="6E577D47"/>
    <w:rsid w:val="6F170AB2"/>
    <w:rsid w:val="6F745D74"/>
    <w:rsid w:val="6F9562E9"/>
    <w:rsid w:val="6FD1766A"/>
    <w:rsid w:val="6FE27182"/>
    <w:rsid w:val="70756248"/>
    <w:rsid w:val="709B2013"/>
    <w:rsid w:val="70AF4C91"/>
    <w:rsid w:val="71267542"/>
    <w:rsid w:val="71706A0F"/>
    <w:rsid w:val="723D2D95"/>
    <w:rsid w:val="7248226E"/>
    <w:rsid w:val="72783DCD"/>
    <w:rsid w:val="72EC6569"/>
    <w:rsid w:val="752E2E69"/>
    <w:rsid w:val="75A803EA"/>
    <w:rsid w:val="76E2215D"/>
    <w:rsid w:val="771B020D"/>
    <w:rsid w:val="77435AB2"/>
    <w:rsid w:val="78407BB7"/>
    <w:rsid w:val="78533470"/>
    <w:rsid w:val="78BE62B2"/>
    <w:rsid w:val="79921C19"/>
    <w:rsid w:val="79A47B9E"/>
    <w:rsid w:val="7A023EF6"/>
    <w:rsid w:val="7A220727"/>
    <w:rsid w:val="7AFD1314"/>
    <w:rsid w:val="7B1F572E"/>
    <w:rsid w:val="7B95154C"/>
    <w:rsid w:val="7BAE5340"/>
    <w:rsid w:val="7BC23531"/>
    <w:rsid w:val="7CEF576A"/>
    <w:rsid w:val="7DD722F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0" w:firstLine="0"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0" w:firstLine="0" w:firstLineChars="0"/>
      <w:jc w:val="left"/>
      <w:outlineLvl w:val="1"/>
    </w:pPr>
    <w:rPr>
      <w:rFonts w:ascii="Times New Roman" w:hAnsi="Times New Roman" w:eastAsia="宋体" w:cs="Times New Roman"/>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Times New Roman" w:hAnsi="Times New Roman" w:eastAsia="宋体" w:cs="Times New Roman"/>
      <w:b/>
      <w:kern w:val="0"/>
      <w:sz w:val="24"/>
      <w:szCs w:val="24"/>
      <w:lang w:bidi="ar"/>
    </w:rPr>
  </w:style>
  <w:style w:type="paragraph" w:styleId="5">
    <w:name w:val="heading 4"/>
    <w:basedOn w:val="1"/>
    <w:next w:val="1"/>
    <w:autoRedefine/>
    <w:semiHidden/>
    <w:unhideWhenUsed/>
    <w:qFormat/>
    <w:uiPriority w:val="0"/>
    <w:pPr>
      <w:numPr>
        <w:ilvl w:val="3"/>
        <w:numId w:val="1"/>
      </w:numPr>
      <w:spacing w:before="0" w:beforeAutospacing="1" w:after="0" w:afterAutospacing="1"/>
      <w:ind w:firstLine="0" w:firstLineChars="0"/>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Times New Roman" w:hAnsi="Times New Roman" w:eastAsia="宋体" w:cs="Times New Roman"/>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5062</Words>
  <Characters>6024</Characters>
  <Lines>0</Lines>
  <Paragraphs>0</Paragraphs>
  <TotalTime>7</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2026-02-08T17:01:37Z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