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XXX框架概述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bookmarkStart w:id="0" w:name="_GoBack"/>
      <w:bookmarkEnd w:id="0"/>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73040" cy="2834005"/>
            <wp:effectExtent l="0" t="0" r="0" b="63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5273040" cy="2834005"/>
                    </a:xfrm>
                    <a:prstGeom prst="rect">
                      <a:avLst/>
                    </a:prstGeom>
                  </pic:spPr>
                </pic:pic>
              </a:graphicData>
            </a:graphic>
          </wp:inline>
        </w:drawing>
      </w:r>
    </w:p>
    <w:p w14:paraId="40A79D98">
      <w:pPr>
        <w:pStyle w:val="4"/>
        <w:bidi w:val="0"/>
        <w:rPr>
          <w:rFonts w:hint="eastAsia"/>
          <w:lang w:val="en-US" w:eastAsia="zh-CN"/>
        </w:rPr>
      </w:pPr>
      <w:r>
        <w:rPr>
          <w:rFonts w:hint="eastAsia"/>
          <w:lang w:val="en-US" w:eastAsia="zh-CN"/>
        </w:rPr>
        <w:t>序列编码模块</w:t>
      </w:r>
    </w:p>
    <w:p w14:paraId="1EF88E97">
      <w:pPr>
        <w:rPr>
          <w:rFonts w:hint="eastAsia"/>
          <w:lang w:val="en-US" w:eastAsia="zh-CN"/>
        </w:rPr>
      </w:pPr>
      <w:r>
        <w:rPr>
          <w:rFonts w:hint="eastAsia"/>
          <w:lang w:val="en-US" w:eastAsia="zh-CN"/>
        </w:rPr>
        <w:t>考虑到 SMILES 字符串在描述分子结构时具有显著的序列性与层次化特征，本文采用基于 RoBERTa 架构的 Transformer 作为序列模态的特征提取器 。相比于传统的循环神经网络（RNN），该编码器能够通过全局自注意力机制有效捕获分子内的长程拓扑关联。* 输入处理：模型首先将原始 SMILES 字符串通过分词器（Tokenizer）转化为离散的 Token 序列，并在头部添加全局表征标记 [CLS] 。长程依赖建模：如图 3-X 所示，通过多头自注意力层（Multi-head Self-Attention），模型能够跳过线性的序列距离，直接计算分子的支链或环状闭合点之间的关联。例如，在处理含有多个环结构的分子时，编码器能够精准捕捉到成环原子的空间语义一致性。</w:t>
      </w:r>
    </w:p>
    <w:p w14:paraId="16D71D59">
      <w:pPr>
        <w:ind w:left="0" w:leftChars="0" w:firstLine="0" w:firstLineChars="0"/>
        <w:rPr>
          <w:rFonts w:hint="eastAsia"/>
          <w:lang w:val="en-US" w:eastAsia="zh-CN"/>
        </w:rPr>
      </w:pPr>
      <w:r>
        <w:rPr>
          <w:rFonts w:hint="eastAsia"/>
          <w:lang w:val="en-US" w:eastAsia="zh-CN"/>
        </w:rPr>
        <w:t xml:space="preserve">特征映射：最后一层 Transformer 输出的 [CLS] 隐藏层向量被提取作为分子的序列全局表示 $F_s$。该向量随后通过一个全连接投影层，映射至与分子图特征 $F_g$ 相同的维度，以备后续的跨模态对齐 </w:t>
      </w:r>
    </w:p>
    <w:p w14:paraId="3E4A7DE5">
      <w:pPr>
        <w:pStyle w:val="4"/>
        <w:bidi w:val="0"/>
        <w:rPr>
          <w:rFonts w:hint="default"/>
          <w:lang w:val="en-US" w:eastAsia="zh-CN"/>
        </w:rPr>
      </w:pPr>
      <w:r>
        <w:rPr>
          <w:rFonts w:hint="eastAsia"/>
          <w:lang w:val="en-US" w:eastAsia="zh-CN"/>
        </w:rPr>
        <w:t>指纹编码器模块</w:t>
      </w:r>
    </w:p>
    <w:p w14:paraId="62CF9E7F">
      <w:pPr>
        <w:pStyle w:val="4"/>
        <w:bidi w:val="0"/>
        <w:rPr>
          <w:rFonts w:hint="default"/>
          <w:lang w:val="en-US" w:eastAsia="zh-CN"/>
        </w:rPr>
      </w:pPr>
      <w:r>
        <w:rPr>
          <w:rFonts w:hint="eastAsia"/>
          <w:lang w:val="en-US" w:eastAsia="zh-CN"/>
        </w:rPr>
        <w:t>图编码器模块</w:t>
      </w:r>
    </w:p>
    <w:p w14:paraId="5B6CBE39">
      <w:pPr>
        <w:pStyle w:val="4"/>
        <w:bidi w:val="0"/>
        <w:rPr>
          <w:rFonts w:hint="default"/>
          <w:lang w:val="en-US" w:eastAsia="zh-CN"/>
        </w:rPr>
      </w:pPr>
      <w:r>
        <w:rPr>
          <w:rFonts w:hint="eastAsia"/>
          <w:lang w:val="en-US" w:eastAsia="zh-CN"/>
        </w:rPr>
        <w:t>文本编码器模块</w:t>
      </w:r>
    </w:p>
    <w:p w14:paraId="2CB3DBC5">
      <w:pPr>
        <w:pStyle w:val="4"/>
        <w:bidi w:val="0"/>
        <w:rPr>
          <w:rFonts w:hint="default"/>
          <w:lang w:val="en-US" w:eastAsia="zh-CN"/>
        </w:rPr>
      </w:pPr>
      <w:r>
        <w:rPr>
          <w:rFonts w:hint="eastAsia"/>
          <w:lang w:val="en-US" w:eastAsia="zh-CN"/>
        </w:rPr>
        <w:t>融合与预测模块</w:t>
      </w:r>
    </w:p>
    <w:p w14:paraId="2047E93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对于每一个预训练的分子，其在不同模态下的原始输入可表示为：</w:t>
      </w:r>
    </w:p>
    <w:p w14:paraId="43A12828">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pageBreakBefore w:val="0"/>
        <w:widowControl/>
        <w:suppressLineNumbers w:val="0"/>
        <w:kinsoku/>
        <w:wordWrap/>
        <w:overflowPunct/>
        <w:topLinePunct w:val="0"/>
        <w:autoSpaceDE/>
        <w:autoSpaceDN/>
        <w:bidi w:val="0"/>
        <w:adjustRightInd/>
        <w:spacing w:beforeAutospacing="0" w:afterAutospacing="0" w:line="360" w:lineRule="auto"/>
        <w:jc w:val="left"/>
        <w:textAlignment w:val="auto"/>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pageBreakBefore w:val="0"/>
        <w:widowControl/>
        <w:suppressLineNumbers w:val="0"/>
        <w:kinsoku/>
        <w:wordWrap/>
        <w:overflowPunct/>
        <w:topLinePunct w:val="0"/>
        <w:autoSpaceDE/>
        <w:autoSpaceDN/>
        <w:bidi w:val="0"/>
        <w:adjustRightInd/>
        <w:spacing w:beforeAutospacing="0" w:afterAutospacing="0" w:line="360" w:lineRule="auto"/>
        <w:textAlignment w:val="auto"/>
      </w:pPr>
      <w:r>
        <w:t>由于不同模态的特征维度和表示空间存在显著差异，模型进一步通过投影层将各模态表示映射至统一的嵌入空间，为后续融合操作提供基础。</w:t>
      </w:r>
    </w:p>
    <w:p w14:paraId="430A1E6C">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3.2.3 同一空间映射</w:t>
      </w:r>
    </w:p>
    <w:p w14:paraId="5E7E9799">
      <w:pPr>
        <w:pageBreakBefore w:val="0"/>
        <w:kinsoku/>
        <w:wordWrap/>
        <w:overflowPunct/>
        <w:topLinePunct w:val="0"/>
        <w:autoSpaceDE/>
        <w:autoSpaceDN/>
        <w:bidi w:val="0"/>
        <w:adjustRightInd/>
        <w:spacing w:beforeAutospacing="0" w:afterAutospacing="0" w:line="360" w:lineRule="auto"/>
        <w:textAlignment w:val="auto"/>
      </w:pPr>
      <w:r>
        <w:t>为消除不同模态之间在表示维度和分布上的差异，模型在每个模态编码器之后引入投影层，将各模态输出映射到统一维度的嵌入空间：</w:t>
      </w:r>
    </w:p>
    <w:p w14:paraId="3528CF06">
      <w:pPr>
        <w:pageBreakBefore w:val="0"/>
        <w:kinsoku/>
        <w:wordWrap/>
        <w:overflowPunct/>
        <w:topLinePunct w:val="0"/>
        <w:autoSpaceDE/>
        <w:autoSpaceDN/>
        <w:bidi w:val="0"/>
        <w:adjustRightInd/>
        <w:spacing w:beforeAutospacing="0" w:afterAutospacing="0" w:line="360" w:lineRule="auto"/>
        <w:textAlignment w:val="auto"/>
      </w:pPr>
      <w:r>
        <w:rPr>
          <w:rFonts w:ascii="宋体" w:hAnsi="宋体" w:eastAsia="宋体" w:cs="宋体"/>
          <w:sz w:val="24"/>
          <w:szCs w:val="24"/>
        </w:rPr>
        <w:t>Zm=gm(Hm),Zm∈Rd</w:t>
      </w:r>
    </w:p>
    <w:p w14:paraId="146A5E80">
      <w:pPr>
        <w:pageBreakBefore w:val="0"/>
        <w:kinsoku/>
        <w:wordWrap/>
        <w:overflowPunct/>
        <w:topLinePunct w:val="0"/>
        <w:autoSpaceDE/>
        <w:autoSpaceDN/>
        <w:bidi w:val="0"/>
        <w:adjustRightInd/>
        <w:spacing w:beforeAutospacing="0" w:afterAutospacing="0" w:line="360" w:lineRule="auto"/>
        <w:textAlignment w:val="auto"/>
      </w:pPr>
      <w:r>
        <w:t>其中，ddd 表示统一的嵌入维度。</w:t>
      </w:r>
    </w:p>
    <w:p w14:paraId="1AC15636">
      <w:pPr>
        <w:pageBreakBefore w:val="0"/>
        <w:kinsoku/>
        <w:wordWrap/>
        <w:overflowPunct/>
        <w:topLinePunct w:val="0"/>
        <w:autoSpaceDE/>
        <w:autoSpaceDN/>
        <w:bidi w:val="0"/>
        <w:adjustRightInd/>
        <w:spacing w:beforeAutospacing="0" w:afterAutospacing="0" w:line="360" w:lineRule="auto"/>
        <w:textAlignment w:val="auto"/>
      </w:pPr>
      <w:r>
        <w:t>通过该映射操作，不同模态的分子表示能够在同一语义空间中进行比较与融合。</w:t>
      </w:r>
    </w:p>
    <w:p w14:paraId="3F0806E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pPr>
      <w:r>
        <w:t>3.2.4 多模态注意力融合机制</w:t>
      </w:r>
    </w:p>
    <w:p w14:paraId="0D67477D">
      <w:pPr>
        <w:pageBreakBefore w:val="0"/>
        <w:kinsoku/>
        <w:wordWrap/>
        <w:overflowPunct/>
        <w:topLinePunct w:val="0"/>
        <w:autoSpaceDE/>
        <w:autoSpaceDN/>
        <w:bidi w:val="0"/>
        <w:adjustRightInd/>
        <w:spacing w:beforeAutospacing="0" w:afterAutospacing="0" w:line="360" w:lineRule="auto"/>
        <w:textAlignment w:val="auto"/>
      </w:pPr>
      <w:r>
        <w:t>不同模态在描述分子性质时的重要性并非固定不变，而是会随分子类型和任务需求发生变化。为此，本研究引入注意力机制对多模态表示进行自适应融合。</w:t>
      </w:r>
    </w:p>
    <w:p w14:paraId="3E5FBF44">
      <w:pPr>
        <w:pageBreakBefore w:val="0"/>
        <w:kinsoku/>
        <w:wordWrap/>
        <w:overflowPunct/>
        <w:topLinePunct w:val="0"/>
        <w:autoSpaceDE/>
        <w:autoSpaceDN/>
        <w:bidi w:val="0"/>
        <w:adjustRightInd/>
        <w:spacing w:beforeAutospacing="0" w:afterAutospacing="0" w:line="360" w:lineRule="auto"/>
        <w:textAlignment w:val="auto"/>
      </w:pPr>
      <w:r>
        <w:t>具体而言，模型首先对各模态嵌入计算注意力权重：</w:t>
      </w:r>
    </w:p>
    <w:p w14:paraId="04B6C6B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αm=softmax(WZm)</w:t>
      </w:r>
    </w:p>
    <w:p w14:paraId="6861EE33">
      <w:pPr>
        <w:pageBreakBefore w:val="0"/>
        <w:kinsoku/>
        <w:wordWrap/>
        <w:overflowPunct/>
        <w:topLinePunct w:val="0"/>
        <w:autoSpaceDE/>
        <w:autoSpaceDN/>
        <w:bidi w:val="0"/>
        <w:adjustRightInd/>
        <w:spacing w:beforeAutospacing="0" w:afterAutospacing="0" w:line="360" w:lineRule="auto"/>
        <w:textAlignment w:val="auto"/>
      </w:pPr>
      <w:r>
        <w:t>其中，</w:t>
      </w:r>
      <w:r>
        <w:rPr>
          <w:rFonts w:ascii="宋体" w:hAnsi="宋体" w:eastAsia="宋体" w:cs="宋体"/>
          <w:sz w:val="24"/>
          <w:szCs w:val="24"/>
        </w:rPr>
        <w:t>αm\alpha^{m}αm 表示第 mmm 个模态的注意力权重。</w:t>
      </w:r>
    </w:p>
    <w:p w14:paraId="4589ED79">
      <w:pPr>
        <w:pageBreakBefore w:val="0"/>
        <w:kinsoku/>
        <w:wordWrap/>
        <w:overflowPunct/>
        <w:topLinePunct w:val="0"/>
        <w:autoSpaceDE/>
        <w:autoSpaceDN/>
        <w:bidi w:val="0"/>
        <w:adjustRightInd/>
        <w:spacing w:beforeAutospacing="0" w:afterAutospacing="0" w:line="360" w:lineRule="auto"/>
        <w:textAlignment w:val="auto"/>
      </w:pPr>
      <w:r>
        <w:t>最终的分子表示通过加权求和获得：</w:t>
      </w:r>
    </w:p>
    <w:p w14:paraId="0C7CC3D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Z=m∑​αmZm</w:t>
      </w:r>
    </w:p>
    <w:p w14:paraId="40F9121D">
      <w:pPr>
        <w:pageBreakBefore w:val="0"/>
        <w:kinsoku/>
        <w:wordWrap/>
        <w:overflowPunct/>
        <w:topLinePunct w:val="0"/>
        <w:autoSpaceDE/>
        <w:autoSpaceDN/>
        <w:bidi w:val="0"/>
        <w:adjustRightInd/>
        <w:spacing w:beforeAutospacing="0" w:afterAutospacing="0" w:line="360" w:lineRule="auto"/>
        <w:textAlignment w:val="auto"/>
      </w:pPr>
      <w:r>
        <w:t>该融合方式使模型能够根据具体分子样本，动态调整不同模态的贡献，从而提升表示的表达能力与灵活性。</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35B73FF2">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3D4A730">
      <w:pPr>
        <w:widowControl w:val="0"/>
        <w:bidi w:val="0"/>
        <w:spacing w:line="360" w:lineRule="auto"/>
        <w:jc w:val="both"/>
        <w:rPr>
          <w:rFonts w:hint="eastAsia"/>
          <w:kern w:val="2"/>
          <w:sz w:val="21"/>
          <w:szCs w:val="24"/>
          <w:lang w:val="en-US" w:eastAsia="zh-CN" w:bidi="ar-SA"/>
        </w:rPr>
      </w:pP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Para>
        <m:oMath>
          <m:sSub>
            <m:sSubPr>
              <m:ctrlPr>
                <w:rPr>
                  <w:rFonts w:hint="default" w:ascii="Cambria Math"/>
                </w:rPr>
              </m:ctrlPr>
            </m:sSubPr>
            <m:e>
              <m:r>
                <m:rPr/>
                <w:rPr>
                  <w:rFonts w:hint="default" w:ascii="Cambria Math"/>
                </w:rPr>
                <m:t>z</m:t>
              </m:r>
            </m:e>
            <m:sub>
              <m:r>
                <m:rPr/>
                <w:rPr>
                  <w:rFonts w:hint="default" w:ascii="Cambria Math"/>
                </w:rPr>
                <m:t>i</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j</m:t>
              </m:r>
            </m:sub>
          </m:sSub>
        </m:oMath>
      </m:oMathPara>
      <w:r>
        <w:rPr>
          <w:rFonts w:hint="eastAsia"/>
          <w:lang w:val="en-US" w:eastAsia="zh-CN"/>
        </w:rPr>
        <w:t>为归一化后的特征向量，</w:t>
      </w:r>
      <m:oMathPara>
        <m:oMath>
          <m:r>
            <m:rPr/>
            <w:rPr>
              <w:rFonts w:hint="default" w:ascii="Cambria Math"/>
            </w:rPr>
            <m:t>sim(⋅,⋅)</m:t>
          </m:r>
        </m:oMath>
      </m:oMathPara>
      <w:r>
        <w:rPr>
          <w:rFonts w:hint="eastAsia"/>
          <w:lang w:val="en-US" w:eastAsia="zh-CN"/>
        </w:rPr>
        <w:t>表示余弦相似度，</w:t>
      </w:r>
      <m:oMathPara>
        <m:oMath>
          <m:r>
            <m:rPr/>
            <w:rPr>
              <w:rFonts w:hint="default" w:ascii="Cambria Math"/>
            </w:rPr>
            <m:t>τ</m:t>
          </m:r>
        </m:oMath>
      </m:oMathPara>
      <w:r>
        <w:rPr>
          <w:rFonts w:hint="eastAsia"/>
          <w:lang w:val="en-US" w:eastAsia="zh-CN"/>
        </w:rPr>
        <w:t>为温度系数，</w:t>
      </w:r>
      <m:oMathPara>
        <m:oMath>
          <m:r>
            <m:rPr/>
            <w:rPr>
              <w:rFonts w:hint="default" w:ascii="Cambria Math"/>
            </w:rPr>
            <m:t>B</m:t>
          </m:r>
        </m:oMath>
      </m:oMathPara>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Para>
        <m:oMath>
          <m:r>
            <m:rPr/>
            <w:rPr>
              <w:rFonts w:hint="default" w:ascii="Cambria Math"/>
            </w:rPr>
            <m:t>i</m:t>
          </m:r>
        </m:oMath>
      </m:oMathPara>
      <w:r>
        <w:rPr>
          <w:rFonts w:hint="eastAsia"/>
          <w:lang w:val="en-US" w:eastAsia="zh-CN"/>
        </w:rPr>
        <w:t>个分子样本在模态</w:t>
      </w:r>
      <m:oMathPara>
        <m:oMath>
          <m:r>
            <m:rPr/>
            <w:rPr>
              <w:rFonts w:hint="default" w:ascii="Cambria Math"/>
            </w:rPr>
            <m:t>m∈{S,F,T}</m:t>
          </m:r>
        </m:oMath>
      </m:oMathPara>
      <w:r>
        <w:rPr>
          <w:rFonts w:hint="eastAsia"/>
          <w:lang w:val="en-US" w:eastAsia="zh-CN"/>
        </w:rPr>
        <w:t>下的表示为</w:t>
      </w:r>
      <m:oMathPara>
        <m:oMath>
          <m:sSubSup>
            <m:sSubSupPr>
              <m:ctrlPr>
                <w:rPr>
                  <w:rFonts w:hint="default" w:ascii="Cambria Math"/>
                </w:rPr>
              </m:ctrlPr>
            </m:sSubSupPr>
            <m:e>
              <m:r>
                <m:rPr/>
                <w:rPr>
                  <w:rFonts w:hint="default" w:ascii="Cambria Math"/>
                </w:rPr>
                <m:t>z</m:t>
              </m:r>
            </m:e>
            <m:sub>
              <m:r>
                <m:rPr/>
                <w:rPr>
                  <w:rFonts w:hint="default" w:ascii="Cambria Math"/>
                </w:rPr>
                <m:t>i</m:t>
              </m:r>
            </m:sub>
            <m:sup>
              <m:r>
                <m:rPr/>
                <w:rPr>
                  <w:rFonts w:hint="default" w:ascii="Cambria Math"/>
                </w:rPr>
                <m:t>(m)</m:t>
              </m:r>
            </m:sup>
          </m:sSubSup>
        </m:oMath>
      </m:oMathPara>
      <w:r>
        <w:rPr>
          <w:rFonts w:hint="eastAsia"/>
          <w:lang w:val="en-US" w:eastAsia="zh-CN"/>
        </w:rPr>
        <w:t>，Graph模态表示为</w:t>
      </w:r>
      <m:oMathPara>
        <m:oMath>
          <m:sSubSup>
            <m:sSubSupPr>
              <m:ctrlPr>
                <w:rPr>
                  <w:rFonts w:hint="default" w:ascii="Cambria Math"/>
                </w:rPr>
              </m:ctrlPr>
            </m:sSubSupPr>
            <m:e>
              <m:r>
                <m:rPr/>
                <w:rPr>
                  <w:rFonts w:hint="default" w:ascii="Cambria Math"/>
                </w:rPr>
                <m:t>z</m:t>
              </m:r>
            </m:e>
            <m:sub>
              <m:r>
                <m:rPr/>
                <w:rPr>
                  <w:rFonts w:hint="default" w:ascii="Cambria Math"/>
                </w:rPr>
                <m:t>i</m:t>
              </m:r>
            </m:sub>
            <m:sup>
              <m:r>
                <m:rPr/>
                <w:rPr>
                  <w:rFonts w:hint="default" w:ascii="Cambria Math"/>
                </w:rPr>
                <m:t>(G)</m:t>
              </m:r>
            </m:sup>
          </m:sSubSup>
        </m:oMath>
      </m:oMathPara>
      <w:r>
        <w:rPr>
          <w:rFonts w:hint="eastAsia"/>
          <w:lang w:val="en-US" w:eastAsia="zh-CN"/>
        </w:rPr>
        <w:t>。为了确保对齐的对称性，本文定义双向对比损失</w:t>
      </w:r>
      <m:oMathPara>
        <m:oMath>
          <m:sSub>
            <m:sSubPr>
              <m:ctrlPr>
                <w:rPr>
                  <w:rFonts w:hint="default" w:ascii="Cambria Math"/>
                </w:rPr>
              </m:ctrlPr>
            </m:sSubPr>
            <m:e>
              <m:r>
                <m:rPr>
                  <m:scr m:val="script"/>
                </m:rPr>
                <w:rPr>
                  <w:rFonts w:hint="default" w:ascii="Cambria Math"/>
                </w:rPr>
                <m:t>ℒ</m:t>
              </m:r>
            </m:e>
            <m:sub>
              <m:r>
                <m:rPr/>
                <w:rPr>
                  <w:rFonts w:hint="default" w:ascii="Cambria Math"/>
                </w:rPr>
                <m:t>G,m</m:t>
              </m:r>
            </m:sub>
          </m:sSub>
        </m:oMath>
      </m:oMathPara>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4944D731">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3824D8F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Para>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m:oMathPara>
      <w:r>
        <w:rPr>
          <w:rFonts w:hint="eastAsia"/>
          <w:lang w:val="en-US" w:eastAsia="zh-CN"/>
        </w:rPr>
        <w:t>时，由于各模态的信息熵与噪声水平存在显著差异，采用静态等权重加权（如</w:t>
      </w:r>
      <m:oMathPara>
        <m:oMath>
          <m:r>
            <m:rPr/>
            <w:rPr>
              <w:rFonts w:hint="default" w:ascii="Cambria Math"/>
            </w:rPr>
            <m:t>1:1:1</m:t>
          </m:r>
        </m:oMath>
      </m:oMathPara>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Para>
        <m:oMath>
          <m:sSub>
            <m:sSubPr>
              <m:ctrlPr>
                <w:rPr>
                  <w:rFonts w:hint="default" w:ascii="Cambria Math"/>
                </w:rPr>
              </m:ctrlPr>
            </m:sSubPr>
            <m:e>
              <m:r>
                <m:rPr/>
                <w:rPr>
                  <w:rFonts w:hint="default" w:ascii="Cambria Math"/>
                </w:rPr>
                <m:t>σ</m:t>
              </m:r>
            </m:e>
            <m:sub>
              <m:r>
                <m:rPr/>
                <w:rPr>
                  <w:rFonts w:hint="default" w:ascii="Cambria Math"/>
                </w:rPr>
                <m:t>m</m:t>
              </m:r>
            </m:sub>
          </m:sSub>
        </m:oMath>
      </m:oMathPara>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Para>
        <m:oMath>
          <m:f>
            <m:fPr>
              <m:ctrlPr>
                <w:rPr>
                  <w:rFonts w:hint="default" w:ascii="Cambria Math" w:hAnsi="Cambria Math"/>
                </w:rPr>
              </m:ctrlPr>
            </m:fPr>
            <m:num>
              <m:r>
                <m:rPr>
                  <m:sty m:val="p"/>
                </m:rPr>
                <w:rPr>
                  <w:rFonts w:hint="default" w:ascii="Times New Roman" w:hAnsi="Times New Roman"/>
                </w:rPr>
                <m:t>1</m:t>
              </m: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e>
                <m:sub>
                  <m:r>
                    <m:rPr>
                      <m:sty m:val="p"/>
                    </m:rPr>
                    <w:rPr>
                      <w:rFonts w:hint="default" w:ascii="Times New Roman" w:hAnsi="Times New Roman"/>
                    </w:rPr>
                    <m:t>m</m:t>
                  </m:r>
                </m:sub>
                <m:sup>
                  <m:r>
                    <m:rPr>
                      <m:sty m:val="p"/>
                    </m:rPr>
                    <w:rPr>
                      <w:rFonts w:hint="default" w:ascii="Times New Roman" w:hAnsi="Times New Roman"/>
                    </w:rPr>
                    <m:t>2</m:t>
                  </m:r>
                </m:sup>
              </m:sSubSup>
              <m:ctrlPr>
                <w:rPr>
                  <w:rFonts w:hint="default" w:ascii="Cambria Math" w:hAnsi="Cambria Math"/>
                </w:rPr>
              </m:ctrlPr>
            </m:den>
          </m:f>
        </m:oMath>
      </m:oMathPara>
      <w:r>
        <w:rPr>
          <w:rFonts w:hint="eastAsia"/>
          <w:lang w:val="en-US" w:eastAsia="zh-CN"/>
        </w:rPr>
        <w:t>项充当动态权重。当某一模态对齐任务表现出较高的不确定性或存在较大噪声时，模型会自动增大</w:t>
      </w:r>
      <m:oMathPara>
        <m:oMath>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oMath>
      </m:oMathPara>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Para>
        <m:oMath>
          <m:func>
            <m:funcPr>
              <m:ctrlPr>
                <w:rPr>
                  <w:rFonts w:hint="default" w:ascii="Cambria Math" w:hAnsi="Cambria Math"/>
                </w:rPr>
              </m:ctrlPr>
            </m:funcPr>
            <m:fName>
              <m:r>
                <m:rPr>
                  <m:sty m:val="p"/>
                </m:rPr>
                <w:rPr>
                  <w:rFonts w:hint="default" w:ascii="Times New Roman" w:hAnsi="Times New Roman"/>
                </w:rPr>
                <m:t>log</m:t>
              </m:r>
            </m:fName>
            <m:e>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ctrlPr>
                <w:rPr>
                  <w:rFonts w:hint="default" w:ascii="Cambria Math" w:hAnsi="Cambria Math"/>
                </w:rPr>
              </m:ctrlPr>
            </m:e>
          </m:func>
        </m:oMath>
      </m:oMathPara>
      <w:r>
        <w:rPr>
          <w:rFonts w:hint="eastAsia"/>
          <w:lang w:val="en-US" w:eastAsia="zh-CN"/>
        </w:rPr>
        <w:t>项作为正则化因子，防止</w:t>
      </w:r>
      <m:oMathPara>
        <m:oMath>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oMath>
      </m:oMathPara>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44"/>
        <w:gridCol w:w="1021"/>
        <w:gridCol w:w="886"/>
        <w:gridCol w:w="1062"/>
        <w:gridCol w:w="883"/>
        <w:gridCol w:w="1073"/>
        <w:gridCol w:w="969"/>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0.941</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0.852</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0.673</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C2C2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上图和下图分别展示了我们的模型在分类任务和回归任务上的性能表现。实验结果表明</w:t>
      </w: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1.02</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C73AB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default"/>
                <w:color w:val="E54C5E" w:themeColor="accent6"/>
                <w:lang w:val="en-US" w:eastAsia="zh-CN"/>
                <w14:textFill>
                  <w14:solidFill>
                    <w14:schemeClr w14:val="accent6"/>
                  </w14:solidFill>
                </w14:textFill>
              </w:rPr>
              <w:t>SMILES-BERT</w:t>
            </w:r>
          </w:p>
        </w:tc>
        <w:tc>
          <w:tcPr>
            <w:tcW w:w="2130" w:type="dxa"/>
            <w:tcBorders>
              <w:top w:val="nil"/>
              <w:left w:val="nil"/>
              <w:bottom w:val="nil"/>
              <w:right w:val="nil"/>
            </w:tcBorders>
            <w:shd w:val="clear" w:color="auto" w:fill="auto"/>
            <w:vAlign w:val="center"/>
          </w:tcPr>
          <w:p w14:paraId="5886C4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5D75DB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AD3D3E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GROVER-base</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596969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GROVER-large</w:t>
            </w:r>
          </w:p>
        </w:tc>
        <w:tc>
          <w:tcPr>
            <w:tcW w:w="2130" w:type="dxa"/>
            <w:tcBorders>
              <w:top w:val="nil"/>
              <w:left w:val="nil"/>
              <w:bottom w:val="nil"/>
              <w:right w:val="nil"/>
            </w:tcBorders>
            <w:shd w:val="clear" w:color="auto" w:fill="auto"/>
            <w:vAlign w:val="center"/>
          </w:tcPr>
          <w:p w14:paraId="58A03CB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A21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2A4AF4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ascii="宋体" w:hAnsi="宋体" w:eastAsia="宋体" w:cs="宋体"/>
          <w:sz w:val="21"/>
          <w:szCs w:val="21"/>
        </w:rPr>
      </w:pPr>
      <w:r>
        <w:rPr>
          <w:rFonts w:ascii="宋体" w:hAnsi="宋体" w:eastAsia="宋体" w:cs="宋体"/>
          <w:sz w:val="21"/>
          <w:szCs w:val="21"/>
        </w:rP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5230495" cy="2108835"/>
            <wp:effectExtent l="0" t="0" r="1206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9"/>
                    <a:stretch>
                      <a:fillRect/>
                    </a:stretch>
                  </pic:blipFill>
                  <pic:spPr>
                    <a:xfrm>
                      <a:off x="0" y="0"/>
                      <a:ext cx="5230495" cy="2108835"/>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5240655" cy="3114675"/>
            <wp:effectExtent l="0" t="0" r="1905" b="952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tretch>
                      <a:fillRect/>
                    </a:stretch>
                  </pic:blipFill>
                  <pic:spPr>
                    <a:xfrm>
                      <a:off x="0" y="0"/>
                      <a:ext cx="5240655" cy="311467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448FBC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654040" cy="2684780"/>
            <wp:effectExtent l="0" t="0" r="0" b="12700"/>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11"/>
                    <a:stretch>
                      <a:fillRect/>
                    </a:stretch>
                  </pic:blipFill>
                  <pic:spPr>
                    <a:xfrm>
                      <a:off x="0" y="0"/>
                      <a:ext cx="5654040" cy="268478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基于思维树的药物分子性质预测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Cambria Math">
    <w:panose1 w:val="02040503050406030204"/>
    <w:charset w:val="00"/>
    <w:family w:val="auto"/>
    <w:pitch w:val="default"/>
    <w:sig w:usb0="E00006FF" w:usb1="420024FF" w:usb2="02000000" w:usb3="00000000" w:csb0="2000019F" w:csb1="00000000"/>
  </w:font>
  <w:font w:name="MS Mincho">
    <w:altName w:val="Euphorigenic"/>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433224A"/>
    <w:rsid w:val="05A849B2"/>
    <w:rsid w:val="064F49ED"/>
    <w:rsid w:val="06510766"/>
    <w:rsid w:val="06E11AE9"/>
    <w:rsid w:val="071E0F8F"/>
    <w:rsid w:val="08155C5D"/>
    <w:rsid w:val="08805332"/>
    <w:rsid w:val="08CE2541"/>
    <w:rsid w:val="0BD64449"/>
    <w:rsid w:val="0BFF569C"/>
    <w:rsid w:val="0C965756"/>
    <w:rsid w:val="0ED168E7"/>
    <w:rsid w:val="0F503503"/>
    <w:rsid w:val="0F7C2CF7"/>
    <w:rsid w:val="10D475A4"/>
    <w:rsid w:val="118A0FD0"/>
    <w:rsid w:val="11CC3396"/>
    <w:rsid w:val="120548F1"/>
    <w:rsid w:val="1212349F"/>
    <w:rsid w:val="13741F37"/>
    <w:rsid w:val="13BE388E"/>
    <w:rsid w:val="14E37374"/>
    <w:rsid w:val="15CF1017"/>
    <w:rsid w:val="1666772B"/>
    <w:rsid w:val="16721235"/>
    <w:rsid w:val="16EE3830"/>
    <w:rsid w:val="1B593EEC"/>
    <w:rsid w:val="1C884062"/>
    <w:rsid w:val="1D37025D"/>
    <w:rsid w:val="1F3F2EA1"/>
    <w:rsid w:val="1F5E18DF"/>
    <w:rsid w:val="1FCF02AE"/>
    <w:rsid w:val="20F01385"/>
    <w:rsid w:val="21423675"/>
    <w:rsid w:val="214E0CB3"/>
    <w:rsid w:val="220A5F40"/>
    <w:rsid w:val="222A07C5"/>
    <w:rsid w:val="22F9340A"/>
    <w:rsid w:val="23E876FD"/>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F45CF7"/>
    <w:rsid w:val="2E0F77BA"/>
    <w:rsid w:val="2F917CA1"/>
    <w:rsid w:val="2FBA3380"/>
    <w:rsid w:val="2FBC06DB"/>
    <w:rsid w:val="2FFE2E5D"/>
    <w:rsid w:val="30586A11"/>
    <w:rsid w:val="32220E91"/>
    <w:rsid w:val="34B61F58"/>
    <w:rsid w:val="34CE2DFE"/>
    <w:rsid w:val="3575596F"/>
    <w:rsid w:val="35EA1EB9"/>
    <w:rsid w:val="361433DA"/>
    <w:rsid w:val="36794FEB"/>
    <w:rsid w:val="36A75037"/>
    <w:rsid w:val="37841E99"/>
    <w:rsid w:val="38F17A02"/>
    <w:rsid w:val="39025256"/>
    <w:rsid w:val="39551D3F"/>
    <w:rsid w:val="3963760F"/>
    <w:rsid w:val="39B30BBC"/>
    <w:rsid w:val="3B7566C9"/>
    <w:rsid w:val="3BA7755B"/>
    <w:rsid w:val="3BDD426E"/>
    <w:rsid w:val="3D143CBF"/>
    <w:rsid w:val="3D2B25F8"/>
    <w:rsid w:val="3D6119C4"/>
    <w:rsid w:val="3DA94408"/>
    <w:rsid w:val="3E047E0A"/>
    <w:rsid w:val="3E4800C5"/>
    <w:rsid w:val="3F0F0BE2"/>
    <w:rsid w:val="40BB2DD0"/>
    <w:rsid w:val="40E90FBF"/>
    <w:rsid w:val="41F12821"/>
    <w:rsid w:val="42694565"/>
    <w:rsid w:val="427B20EB"/>
    <w:rsid w:val="431F0E8B"/>
    <w:rsid w:val="436D237B"/>
    <w:rsid w:val="44444E8A"/>
    <w:rsid w:val="44E80FE1"/>
    <w:rsid w:val="45837C34"/>
    <w:rsid w:val="45B352DC"/>
    <w:rsid w:val="45CB21F7"/>
    <w:rsid w:val="45CF4C28"/>
    <w:rsid w:val="482F17FF"/>
    <w:rsid w:val="48A77906"/>
    <w:rsid w:val="490E6F34"/>
    <w:rsid w:val="49217DF9"/>
    <w:rsid w:val="4941408E"/>
    <w:rsid w:val="494D47E1"/>
    <w:rsid w:val="4C4507B6"/>
    <w:rsid w:val="4D8B14D9"/>
    <w:rsid w:val="4DB33B09"/>
    <w:rsid w:val="4F1813ED"/>
    <w:rsid w:val="4FA30A16"/>
    <w:rsid w:val="525C3CE7"/>
    <w:rsid w:val="528E3D51"/>
    <w:rsid w:val="53D55AFF"/>
    <w:rsid w:val="55B44A7B"/>
    <w:rsid w:val="560E70A6"/>
    <w:rsid w:val="5B305D11"/>
    <w:rsid w:val="5B4F0B23"/>
    <w:rsid w:val="5B4F731A"/>
    <w:rsid w:val="5D9A3915"/>
    <w:rsid w:val="5EA7453C"/>
    <w:rsid w:val="5F573763"/>
    <w:rsid w:val="5FC01AAC"/>
    <w:rsid w:val="61D513C0"/>
    <w:rsid w:val="621C33F7"/>
    <w:rsid w:val="621E4B15"/>
    <w:rsid w:val="637C5F97"/>
    <w:rsid w:val="666902A6"/>
    <w:rsid w:val="68464DC5"/>
    <w:rsid w:val="69D81A4D"/>
    <w:rsid w:val="69F97043"/>
    <w:rsid w:val="6A2373A8"/>
    <w:rsid w:val="6A627569"/>
    <w:rsid w:val="6CCA3A1C"/>
    <w:rsid w:val="6E577D47"/>
    <w:rsid w:val="6F170AB2"/>
    <w:rsid w:val="6F9562E9"/>
    <w:rsid w:val="70756248"/>
    <w:rsid w:val="709B2013"/>
    <w:rsid w:val="70AF4C91"/>
    <w:rsid w:val="71267542"/>
    <w:rsid w:val="71706A0F"/>
    <w:rsid w:val="723D2D95"/>
    <w:rsid w:val="7248226E"/>
    <w:rsid w:val="72783DCD"/>
    <w:rsid w:val="75A803EA"/>
    <w:rsid w:val="771B020D"/>
    <w:rsid w:val="77435AB2"/>
    <w:rsid w:val="78407BB7"/>
    <w:rsid w:val="79A47B9E"/>
    <w:rsid w:val="7A220727"/>
    <w:rsid w:val="7AFD1314"/>
    <w:rsid w:val="7B1F572E"/>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50" w:hanging="85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2857</Words>
  <Characters>3283</Characters>
  <Lines>0</Lines>
  <Paragraphs>0</Paragraphs>
  <TotalTime>481</TotalTime>
  <ScaleCrop>false</ScaleCrop>
  <LinksUpToDate>false</LinksUpToDate>
  <CharactersWithSpaces>3299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2026-02-04T14:17:31Z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