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B3CDD47">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eastAsia"/>
          <w:lang w:val="en-US" w:eastAsia="zh-CN"/>
        </w:rPr>
      </w:pPr>
      <w:r>
        <w:rPr>
          <w:rFonts w:hint="eastAsia"/>
          <w:lang w:val="en-US" w:eastAsia="zh-CN"/>
        </w:rPr>
        <w:t>基于知识增强以图为中心的分子性质预测方法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40A55EF4">
      <w:pPr>
        <w:bidi w:val="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16D0604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3.2.1 多模态总体框架</w:t>
      </w:r>
    </w:p>
    <w:p w14:paraId="2047E93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对于每一个预训练的分子，其在不同模态下的原始输入可表示为：</w:t>
      </w:r>
    </w:p>
    <w:p w14:paraId="43A12828">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pageBreakBefore w:val="0"/>
        <w:widowControl/>
        <w:suppressLineNumbers w:val="0"/>
        <w:kinsoku/>
        <w:wordWrap/>
        <w:overflowPunct/>
        <w:topLinePunct w:val="0"/>
        <w:autoSpaceDE/>
        <w:autoSpaceDN/>
        <w:bidi w:val="0"/>
        <w:adjustRightInd/>
        <w:spacing w:beforeAutospacing="0" w:afterAutospacing="0" w:line="360" w:lineRule="auto"/>
        <w:jc w:val="left"/>
        <w:textAlignment w:val="auto"/>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pageBreakBefore w:val="0"/>
        <w:widowControl/>
        <w:suppressLineNumbers w:val="0"/>
        <w:kinsoku/>
        <w:wordWrap/>
        <w:overflowPunct/>
        <w:topLinePunct w:val="0"/>
        <w:autoSpaceDE/>
        <w:autoSpaceDN/>
        <w:bidi w:val="0"/>
        <w:adjustRightInd/>
        <w:spacing w:beforeAutospacing="0" w:afterAutospacing="0" w:line="360" w:lineRule="auto"/>
        <w:textAlignment w:val="auto"/>
      </w:pPr>
      <w:r>
        <w:t>由于不同模态的特征维度和表示空间存在显著差异，模型进一步通过投影层将各模态表示映射至统一的嵌入空间，为后续融合操作提供基础。</w:t>
      </w:r>
    </w:p>
    <w:p w14:paraId="430A1E6C">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3.2.3 同一空间映射</w:t>
      </w:r>
    </w:p>
    <w:p w14:paraId="5E7E9799">
      <w:pPr>
        <w:pageBreakBefore w:val="0"/>
        <w:kinsoku/>
        <w:wordWrap/>
        <w:overflowPunct/>
        <w:topLinePunct w:val="0"/>
        <w:autoSpaceDE/>
        <w:autoSpaceDN/>
        <w:bidi w:val="0"/>
        <w:adjustRightInd/>
        <w:spacing w:beforeAutospacing="0" w:afterAutospacing="0" w:line="360" w:lineRule="auto"/>
        <w:textAlignment w:val="auto"/>
      </w:pPr>
      <w:r>
        <w:t>为消除不同模态之间在表示维度和分布上的差异，模型在每个模态编码器之后引入投影层，将各模态输出映射到统一维度的嵌入空间：</w:t>
      </w:r>
    </w:p>
    <w:p w14:paraId="3528CF06">
      <w:pPr>
        <w:pageBreakBefore w:val="0"/>
        <w:kinsoku/>
        <w:wordWrap/>
        <w:overflowPunct/>
        <w:topLinePunct w:val="0"/>
        <w:autoSpaceDE/>
        <w:autoSpaceDN/>
        <w:bidi w:val="0"/>
        <w:adjustRightInd/>
        <w:spacing w:beforeAutospacing="0" w:afterAutospacing="0" w:line="360" w:lineRule="auto"/>
        <w:textAlignment w:val="auto"/>
      </w:pPr>
      <w:r>
        <w:rPr>
          <w:rFonts w:ascii="宋体" w:hAnsi="宋体" w:eastAsia="宋体" w:cs="宋体"/>
          <w:sz w:val="24"/>
          <w:szCs w:val="24"/>
        </w:rPr>
        <w:t>Zm=gm(Hm),Zm∈Rd</w:t>
      </w:r>
    </w:p>
    <w:p w14:paraId="146A5E80">
      <w:pPr>
        <w:pageBreakBefore w:val="0"/>
        <w:kinsoku/>
        <w:wordWrap/>
        <w:overflowPunct/>
        <w:topLinePunct w:val="0"/>
        <w:autoSpaceDE/>
        <w:autoSpaceDN/>
        <w:bidi w:val="0"/>
        <w:adjustRightInd/>
        <w:spacing w:beforeAutospacing="0" w:afterAutospacing="0" w:line="360" w:lineRule="auto"/>
        <w:textAlignment w:val="auto"/>
      </w:pPr>
      <w:r>
        <w:t>其中，ddd 表示统一的嵌入维度。</w:t>
      </w:r>
    </w:p>
    <w:p w14:paraId="1AC15636">
      <w:pPr>
        <w:pageBreakBefore w:val="0"/>
        <w:kinsoku/>
        <w:wordWrap/>
        <w:overflowPunct/>
        <w:topLinePunct w:val="0"/>
        <w:autoSpaceDE/>
        <w:autoSpaceDN/>
        <w:bidi w:val="0"/>
        <w:adjustRightInd/>
        <w:spacing w:beforeAutospacing="0" w:afterAutospacing="0" w:line="360" w:lineRule="auto"/>
        <w:textAlignment w:val="auto"/>
      </w:pPr>
      <w:r>
        <w:t>通过该映射操作，不同模态的分子表示能够在同一语义空间中进行比较与融合。</w:t>
      </w:r>
    </w:p>
    <w:p w14:paraId="3F0806E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pPr>
      <w:r>
        <w:t>3.2.4 多模态注意力融合机制</w:t>
      </w:r>
    </w:p>
    <w:p w14:paraId="0D67477D">
      <w:pPr>
        <w:pageBreakBefore w:val="0"/>
        <w:kinsoku/>
        <w:wordWrap/>
        <w:overflowPunct/>
        <w:topLinePunct w:val="0"/>
        <w:autoSpaceDE/>
        <w:autoSpaceDN/>
        <w:bidi w:val="0"/>
        <w:adjustRightInd/>
        <w:spacing w:beforeAutospacing="0" w:afterAutospacing="0" w:line="360" w:lineRule="auto"/>
        <w:textAlignment w:val="auto"/>
      </w:pPr>
      <w:r>
        <w:t>不同模态在描述分子性质时的重要性并非固定不变，而是会随分子类型和任务需求发生变化。为此，本研究引入注意力机制对多模态表示进行自适应融合。</w:t>
      </w:r>
    </w:p>
    <w:p w14:paraId="3E5FBF44">
      <w:pPr>
        <w:pageBreakBefore w:val="0"/>
        <w:kinsoku/>
        <w:wordWrap/>
        <w:overflowPunct/>
        <w:topLinePunct w:val="0"/>
        <w:autoSpaceDE/>
        <w:autoSpaceDN/>
        <w:bidi w:val="0"/>
        <w:adjustRightInd/>
        <w:spacing w:beforeAutospacing="0" w:afterAutospacing="0" w:line="360" w:lineRule="auto"/>
        <w:textAlignment w:val="auto"/>
      </w:pPr>
      <w:r>
        <w:t>具体而言，模型首先对各模态嵌入计算注意力权重：</w:t>
      </w:r>
    </w:p>
    <w:p w14:paraId="04B6C6B0">
      <w:pPr>
        <w:pageBreakBefore w:val="0"/>
        <w:kinsoku/>
        <w:wordWrap/>
        <w:overflowPunct/>
        <w:topLinePunct w:val="0"/>
        <w:autoSpaceDE/>
        <w:autoSpaceDN/>
        <w:bidi w:val="0"/>
        <w:adjustRightInd/>
        <w:spacing w:beforeAutospacing="0" w:afterAutospacing="0" w:line="360" w:lineRule="auto"/>
        <w:textAlignment w:val="auto"/>
        <w:rPr>
          <w:rFonts w:ascii="宋体" w:hAnsi="宋体" w:eastAsia="宋体" w:cs="宋体"/>
          <w:sz w:val="24"/>
          <w:szCs w:val="24"/>
        </w:rPr>
      </w:pPr>
      <w:r>
        <w:rPr>
          <w:rFonts w:ascii="宋体" w:hAnsi="宋体" w:eastAsia="宋体" w:cs="宋体"/>
          <w:sz w:val="24"/>
          <w:szCs w:val="24"/>
        </w:rPr>
        <w:t>αm=softmax(WZm)</w:t>
      </w:r>
    </w:p>
    <w:p w14:paraId="6861EE33">
      <w:pPr>
        <w:pageBreakBefore w:val="0"/>
        <w:kinsoku/>
        <w:wordWrap/>
        <w:overflowPunct/>
        <w:topLinePunct w:val="0"/>
        <w:autoSpaceDE/>
        <w:autoSpaceDN/>
        <w:bidi w:val="0"/>
        <w:adjustRightInd/>
        <w:spacing w:beforeAutospacing="0" w:afterAutospacing="0" w:line="360" w:lineRule="auto"/>
        <w:textAlignment w:val="auto"/>
      </w:pPr>
      <w:r>
        <w:t>其中，</w:t>
      </w:r>
      <w:r>
        <w:rPr>
          <w:rFonts w:ascii="宋体" w:hAnsi="宋体" w:eastAsia="宋体" w:cs="宋体"/>
          <w:sz w:val="24"/>
          <w:szCs w:val="24"/>
        </w:rPr>
        <w:t>αm\alpha^{m}αm 表示第 mmm 个模态的注意力权重。</w:t>
      </w:r>
    </w:p>
    <w:p w14:paraId="4589ED79">
      <w:pPr>
        <w:pageBreakBefore w:val="0"/>
        <w:kinsoku/>
        <w:wordWrap/>
        <w:overflowPunct/>
        <w:topLinePunct w:val="0"/>
        <w:autoSpaceDE/>
        <w:autoSpaceDN/>
        <w:bidi w:val="0"/>
        <w:adjustRightInd/>
        <w:spacing w:beforeAutospacing="0" w:afterAutospacing="0" w:line="360" w:lineRule="auto"/>
        <w:textAlignment w:val="auto"/>
      </w:pPr>
      <w:r>
        <w:t>最终的分子表示通过加权求和获得：</w:t>
      </w:r>
    </w:p>
    <w:p w14:paraId="0C7CC3D0">
      <w:pPr>
        <w:pageBreakBefore w:val="0"/>
        <w:kinsoku/>
        <w:wordWrap/>
        <w:overflowPunct/>
        <w:topLinePunct w:val="0"/>
        <w:autoSpaceDE/>
        <w:autoSpaceDN/>
        <w:bidi w:val="0"/>
        <w:adjustRightInd/>
        <w:spacing w:beforeAutospacing="0" w:afterAutospacing="0" w:line="360" w:lineRule="auto"/>
        <w:textAlignment w:val="auto"/>
        <w:rPr>
          <w:rFonts w:ascii="宋体" w:hAnsi="宋体" w:eastAsia="宋体" w:cs="宋体"/>
          <w:sz w:val="24"/>
          <w:szCs w:val="24"/>
        </w:rPr>
      </w:pPr>
      <w:r>
        <w:rPr>
          <w:rFonts w:ascii="宋体" w:hAnsi="宋体" w:eastAsia="宋体" w:cs="宋体"/>
          <w:sz w:val="24"/>
          <w:szCs w:val="24"/>
        </w:rPr>
        <w:t>Z=m∑​αmZm</w:t>
      </w:r>
    </w:p>
    <w:p w14:paraId="40F9121D">
      <w:pPr>
        <w:pageBreakBefore w:val="0"/>
        <w:kinsoku/>
        <w:wordWrap/>
        <w:overflowPunct/>
        <w:topLinePunct w:val="0"/>
        <w:autoSpaceDE/>
        <w:autoSpaceDN/>
        <w:bidi w:val="0"/>
        <w:adjustRightInd/>
        <w:spacing w:beforeAutospacing="0" w:afterAutospacing="0" w:line="360" w:lineRule="auto"/>
        <w:textAlignment w:val="auto"/>
      </w:pPr>
      <w:r>
        <w:t>该融合方式使模型能够根据具体分子样本，动态调整不同模态的贡献，从而提升表示的表达能力与灵活性。</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70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0000FF"/>
          <w:lang w:val="en-US" w:eastAsia="zh-CN"/>
        </w:rPr>
      </w:pPr>
      <w:r>
        <w:rPr>
          <w:rFonts w:hint="default"/>
          <w:color w:val="0000FF"/>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0000FF"/>
          <w:lang w:val="en-US" w:eastAsia="zh-CN"/>
        </w:rPr>
        <w:t>文本对</w:t>
      </w:r>
      <w:r>
        <w:rPr>
          <w:rFonts w:hint="default"/>
          <w:color w:val="0000FF"/>
          <w:lang w:val="en-US" w:eastAsia="zh-CN"/>
        </w:rPr>
        <w:t>数据集，用于多模态预训练。具体构建流程如下：</w:t>
      </w:r>
    </w:p>
    <w:p w14:paraId="45EFDFC6">
      <w:pPr>
        <w:bidi w:val="0"/>
        <w:rPr>
          <w:rFonts w:hint="default"/>
          <w:color w:val="0000FF"/>
          <w:lang w:val="en-US" w:eastAsia="zh-CN"/>
        </w:rPr>
      </w:pPr>
      <w:r>
        <w:rPr>
          <w:rFonts w:hint="default"/>
          <w:color w:val="0000FF"/>
          <w:lang w:val="en-US" w:eastAsia="zh-CN"/>
        </w:rPr>
        <w:t>1.分子结构获取与标准化</w:t>
      </w:r>
      <w:r>
        <w:rPr>
          <w:rFonts w:hint="eastAsia"/>
          <w:color w:val="0000FF"/>
          <w:lang w:val="en-US" w:eastAsia="zh-CN"/>
        </w:rPr>
        <w:t>：</w:t>
      </w:r>
      <w:r>
        <w:rPr>
          <w:rFonts w:hint="default"/>
          <w:color w:val="0000FF"/>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0000FF"/>
          <w:lang w:val="en-US" w:eastAsia="zh-CN"/>
        </w:rPr>
        <w:t>等</w:t>
      </w:r>
      <w:r>
        <w:rPr>
          <w:rFonts w:hint="default"/>
          <w:color w:val="0000FF"/>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0000FF"/>
          <w:lang w:val="en-US" w:eastAsia="zh-CN"/>
        </w:rPr>
      </w:pPr>
      <w:r>
        <w:rPr>
          <w:rFonts w:hint="default"/>
          <w:color w:val="0000FF"/>
          <w:lang w:val="en-US" w:eastAsia="zh-CN"/>
        </w:rPr>
        <w:t>2.基于API的专家知识检索</w:t>
      </w:r>
      <w:r>
        <w:rPr>
          <w:rFonts w:hint="eastAsia"/>
          <w:color w:val="0000FF"/>
          <w:lang w:val="en-US" w:eastAsia="zh-CN"/>
        </w:rPr>
        <w:t>：</w:t>
      </w:r>
      <w:r>
        <w:rPr>
          <w:rFonts w:hint="default"/>
          <w:color w:val="0000FF"/>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0000FF"/>
          <w:lang w:val="en-US" w:eastAsia="zh-CN"/>
        </w:rPr>
      </w:pPr>
      <w:r>
        <w:rPr>
          <w:rFonts w:hint="default"/>
          <w:color w:val="0000FF"/>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0000FF"/>
          <w:lang w:val="en-US" w:eastAsia="zh-CN"/>
        </w:rPr>
      </w:pPr>
      <w:r>
        <w:rPr>
          <w:rFonts w:hint="default"/>
          <w:color w:val="0000FF"/>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0000FF"/>
          <w:lang w:val="en-US" w:eastAsia="zh-CN"/>
        </w:rPr>
      </w:pPr>
      <w:r>
        <w:rPr>
          <w:rFonts w:hint="default"/>
          <w:color w:val="0000FF"/>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0000FF"/>
          <w:lang w:val="en-US" w:eastAsia="zh-CN"/>
        </w:rPr>
        <w:t>上述“长尾分布”现象证明，仅依赖原始检索文本难以构建高质量的对齐空间，必须</w:t>
      </w:r>
      <w:r>
        <w:rPr>
          <w:rFonts w:hint="eastAsia"/>
          <w:color w:val="0000FF"/>
          <w:lang w:val="en-US" w:eastAsia="zh-CN"/>
        </w:rPr>
        <w:t>进一步</w:t>
      </w:r>
      <w:r>
        <w:rPr>
          <w:rFonts w:hint="default"/>
          <w:color w:val="0000FF"/>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left w:w="108"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c>
          <w:tcPr>
            <w:tcW w:w="1944" w:type="dxa"/>
            <w:tcBorders>
              <w:bottom w:val="single" w:color="auto" w:sz="8" w:space="0"/>
            </w:tcBorders>
          </w:tcPr>
          <w:p w14:paraId="00BAFC72">
            <w:pPr>
              <w:bidi w:val="0"/>
              <w:ind w:left="0" w:leftChars="0" w:firstLine="0" w:firstLineChars="0"/>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tcPr>
          <w:p w14:paraId="798380FD">
            <w:pPr>
              <w:bidi w:val="0"/>
              <w:ind w:left="0" w:leftChars="0" w:firstLine="0" w:firstLineChars="0"/>
              <w:rPr>
                <w:rFonts w:hint="default"/>
                <w:vertAlign w:val="baseline"/>
                <w:lang w:val="en-US" w:eastAsia="zh-CN"/>
              </w:rPr>
            </w:pPr>
            <w:r>
              <w:rPr>
                <w:rFonts w:hint="eastAsia"/>
                <w:vertAlign w:val="baseline"/>
                <w:lang w:val="en-US" w:eastAsia="zh-CN"/>
              </w:rPr>
              <w:t>英文名称</w:t>
            </w:r>
          </w:p>
        </w:tc>
        <w:tc>
          <w:tcPr>
            <w:tcW w:w="4338" w:type="dxa"/>
            <w:tcBorders>
              <w:bottom w:val="single" w:color="auto" w:sz="8" w:space="0"/>
            </w:tcBorders>
          </w:tcPr>
          <w:p w14:paraId="7BCD5B6B">
            <w:pPr>
              <w:bidi w:val="0"/>
              <w:ind w:left="0" w:leftChars="0" w:firstLine="0" w:firstLineChars="0"/>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op w:val="single" w:color="auto" w:sz="8" w:space="0"/>
              <w:tl2br w:val="nil"/>
              <w:tr2bl w:val="nil"/>
            </w:tcBorders>
          </w:tcPr>
          <w:p w14:paraId="4BA9659E">
            <w:pPr>
              <w:bidi w:val="0"/>
              <w:ind w:left="0" w:leftChars="0" w:firstLine="0" w:firstLineChars="0"/>
              <w:jc w:val="both"/>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tcPr>
          <w:p w14:paraId="08F0A0EF">
            <w:pPr>
              <w:bidi w:val="0"/>
              <w:ind w:left="0" w:leftChars="0" w:firstLine="0" w:firstLineChars="0"/>
              <w:rPr>
                <w:rFonts w:hint="default"/>
                <w:vertAlign w:val="baseline"/>
                <w:lang w:val="en-US" w:eastAsia="zh-CN"/>
              </w:rPr>
            </w:pPr>
            <w:r>
              <w:rPr>
                <w:rFonts w:ascii="宋体" w:hAnsi="宋体" w:eastAsia="宋体" w:cs="宋体"/>
                <w:sz w:val="24"/>
                <w:szCs w:val="24"/>
              </w:rPr>
              <w:t>MolWt</w:t>
            </w:r>
          </w:p>
        </w:tc>
        <w:tc>
          <w:tcPr>
            <w:tcW w:w="4338" w:type="dxa"/>
            <w:tcBorders>
              <w:top w:val="single" w:color="auto" w:sz="8" w:space="0"/>
              <w:tl2br w:val="nil"/>
              <w:tr2bl w:val="nil"/>
            </w:tcBorders>
          </w:tcPr>
          <w:p w14:paraId="15ED8FAE">
            <w:pPr>
              <w:bidi w:val="0"/>
              <w:ind w:left="0" w:leftChars="0" w:firstLine="0" w:firstLineChars="0"/>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tcPr>
          <w:p w14:paraId="798C9209">
            <w:pPr>
              <w:bidi w:val="0"/>
              <w:ind w:left="0" w:leftChars="0" w:firstLine="0" w:firstLineChars="0"/>
              <w:jc w:val="both"/>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tcPr>
          <w:p w14:paraId="42BBC4B3">
            <w:pPr>
              <w:bidi w:val="0"/>
              <w:ind w:left="0" w:leftChars="0" w:firstLine="0" w:firstLineChars="0"/>
              <w:rPr>
                <w:rFonts w:hint="default"/>
                <w:vertAlign w:val="baseline"/>
                <w:lang w:val="en-US" w:eastAsia="zh-CN"/>
              </w:rPr>
            </w:pPr>
            <w:r>
              <w:rPr>
                <w:rFonts w:ascii="宋体" w:hAnsi="宋体" w:eastAsia="宋体" w:cs="宋体"/>
                <w:sz w:val="24"/>
                <w:szCs w:val="24"/>
              </w:rPr>
              <w:t>ExactMolWt</w:t>
            </w:r>
          </w:p>
        </w:tc>
        <w:tc>
          <w:tcPr>
            <w:tcW w:w="4338" w:type="dxa"/>
            <w:tcBorders>
              <w:tl2br w:val="nil"/>
              <w:tr2bl w:val="nil"/>
            </w:tcBorders>
          </w:tcPr>
          <w:p w14:paraId="7D6C1CC7">
            <w:pPr>
              <w:bidi w:val="0"/>
              <w:ind w:left="0" w:leftChars="0" w:firstLine="0" w:firstLineChars="0"/>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tcPr>
          <w:p w14:paraId="3D6076B2">
            <w:pPr>
              <w:bidi w:val="0"/>
              <w:ind w:left="0" w:leftChars="0" w:firstLine="0" w:firstLineChars="0"/>
              <w:jc w:val="both"/>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tcPr>
          <w:p w14:paraId="659AA0E7">
            <w:pPr>
              <w:bidi w:val="0"/>
              <w:ind w:left="0" w:leftChars="0" w:firstLine="0" w:firstLineChars="0"/>
              <w:rPr>
                <w:rFonts w:hint="default"/>
                <w:vertAlign w:val="baseline"/>
                <w:lang w:val="en-US" w:eastAsia="zh-CN"/>
              </w:rPr>
            </w:pPr>
            <w:r>
              <w:rPr>
                <w:rFonts w:ascii="宋体" w:hAnsi="宋体" w:eastAsia="宋体" w:cs="宋体"/>
                <w:sz w:val="24"/>
                <w:szCs w:val="24"/>
              </w:rPr>
              <w:t>LogP</w:t>
            </w:r>
          </w:p>
        </w:tc>
        <w:tc>
          <w:tcPr>
            <w:tcW w:w="4338" w:type="dxa"/>
            <w:tcBorders>
              <w:tl2br w:val="nil"/>
              <w:tr2bl w:val="nil"/>
            </w:tcBorders>
          </w:tcPr>
          <w:p w14:paraId="39056255">
            <w:pPr>
              <w:bidi w:val="0"/>
              <w:ind w:left="0" w:leftChars="0" w:firstLine="0" w:firstLineChars="0"/>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tcPr>
          <w:p w14:paraId="2E6F9D3E">
            <w:pPr>
              <w:bidi w:val="0"/>
              <w:ind w:left="0" w:leftChars="0" w:firstLine="0" w:firstLineChars="0"/>
              <w:jc w:val="both"/>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tcPr>
          <w:p w14:paraId="25A4D3D4">
            <w:pPr>
              <w:bidi w:val="0"/>
              <w:ind w:left="0" w:leftChars="0" w:firstLine="0" w:firstLineChars="0"/>
              <w:rPr>
                <w:rFonts w:hint="default"/>
                <w:vertAlign w:val="baseline"/>
                <w:lang w:val="en-US" w:eastAsia="zh-CN"/>
              </w:rPr>
            </w:pPr>
            <w:r>
              <w:rPr>
                <w:rFonts w:ascii="宋体" w:hAnsi="宋体" w:eastAsia="宋体" w:cs="宋体"/>
                <w:sz w:val="24"/>
                <w:szCs w:val="24"/>
              </w:rPr>
              <w:t>TPSA</w:t>
            </w:r>
          </w:p>
        </w:tc>
        <w:tc>
          <w:tcPr>
            <w:tcW w:w="4338" w:type="dxa"/>
            <w:tcBorders>
              <w:tl2br w:val="nil"/>
              <w:tr2bl w:val="nil"/>
            </w:tcBorders>
          </w:tcPr>
          <w:p w14:paraId="5A717EDB">
            <w:pPr>
              <w:bidi w:val="0"/>
              <w:ind w:left="0" w:leftChars="0" w:firstLine="0" w:firstLineChars="0"/>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tcPr>
          <w:p w14:paraId="5514BD9C">
            <w:pPr>
              <w:bidi w:val="0"/>
              <w:ind w:left="0" w:leftChars="0" w:firstLine="0" w:firstLineChars="0"/>
              <w:jc w:val="both"/>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tcPr>
          <w:p w14:paraId="596ABCA7">
            <w:pPr>
              <w:bidi w:val="0"/>
              <w:ind w:left="0" w:leftChars="0" w:firstLine="0" w:firstLineChars="0"/>
              <w:rPr>
                <w:rFonts w:hint="default"/>
                <w:vertAlign w:val="baseline"/>
                <w:lang w:val="en-US" w:eastAsia="zh-CN"/>
              </w:rPr>
            </w:pPr>
            <w:r>
              <w:rPr>
                <w:rFonts w:ascii="宋体" w:hAnsi="宋体" w:eastAsia="宋体" w:cs="宋体"/>
                <w:sz w:val="24"/>
                <w:szCs w:val="24"/>
              </w:rPr>
              <w:t>Heavy_Atoms</w:t>
            </w:r>
          </w:p>
        </w:tc>
        <w:tc>
          <w:tcPr>
            <w:tcW w:w="4338" w:type="dxa"/>
            <w:tcBorders>
              <w:tl2br w:val="nil"/>
              <w:tr2bl w:val="nil"/>
            </w:tcBorders>
          </w:tcPr>
          <w:p w14:paraId="3AA91C73">
            <w:pPr>
              <w:bidi w:val="0"/>
              <w:ind w:left="0" w:leftChars="0" w:firstLine="0" w:firstLineChars="0"/>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tcPr>
          <w:p w14:paraId="376BCC43">
            <w:pPr>
              <w:bidi w:val="0"/>
              <w:ind w:left="0" w:leftChars="0" w:firstLine="0" w:firstLineChars="0"/>
              <w:jc w:val="both"/>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tcPr>
          <w:p w14:paraId="78F05C00">
            <w:pPr>
              <w:bidi w:val="0"/>
              <w:ind w:left="0" w:leftChars="0" w:firstLine="0" w:firstLineChars="0"/>
              <w:rPr>
                <w:rFonts w:hint="default"/>
                <w:vertAlign w:val="baseline"/>
                <w:lang w:val="en-US" w:eastAsia="zh-CN"/>
              </w:rPr>
            </w:pPr>
            <w:r>
              <w:rPr>
                <w:rFonts w:ascii="宋体" w:hAnsi="宋体" w:eastAsia="宋体" w:cs="宋体"/>
                <w:sz w:val="24"/>
                <w:szCs w:val="24"/>
              </w:rPr>
              <w:t>H_Bond_Donors</w:t>
            </w:r>
          </w:p>
        </w:tc>
        <w:tc>
          <w:tcPr>
            <w:tcW w:w="4338" w:type="dxa"/>
            <w:tcBorders>
              <w:tl2br w:val="nil"/>
              <w:tr2bl w:val="nil"/>
            </w:tcBorders>
          </w:tcPr>
          <w:p w14:paraId="01A1DBCD">
            <w:pPr>
              <w:bidi w:val="0"/>
              <w:ind w:left="0" w:leftChars="0" w:firstLine="0" w:firstLineChars="0"/>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tcPr>
          <w:p w14:paraId="75DB5207">
            <w:pPr>
              <w:bidi w:val="0"/>
              <w:ind w:left="0" w:leftChars="0" w:firstLine="0" w:firstLineChars="0"/>
              <w:jc w:val="both"/>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tcPr>
          <w:p w14:paraId="0FB40D1F">
            <w:pPr>
              <w:bidi w:val="0"/>
              <w:ind w:left="0" w:leftChars="0" w:firstLine="0" w:firstLineChars="0"/>
              <w:rPr>
                <w:rFonts w:hint="default"/>
                <w:vertAlign w:val="baseline"/>
                <w:lang w:val="en-US" w:eastAsia="zh-CN"/>
              </w:rPr>
            </w:pPr>
            <w:r>
              <w:rPr>
                <w:rFonts w:ascii="宋体" w:hAnsi="宋体" w:eastAsia="宋体" w:cs="宋体"/>
                <w:sz w:val="24"/>
                <w:szCs w:val="24"/>
              </w:rPr>
              <w:t>H_Bond_Acceptors</w:t>
            </w:r>
          </w:p>
        </w:tc>
        <w:tc>
          <w:tcPr>
            <w:tcW w:w="4338" w:type="dxa"/>
            <w:tcBorders>
              <w:tl2br w:val="nil"/>
              <w:tr2bl w:val="nil"/>
            </w:tcBorders>
          </w:tcPr>
          <w:p w14:paraId="24CBCDAE">
            <w:pPr>
              <w:bidi w:val="0"/>
              <w:ind w:left="0" w:leftChars="0" w:firstLine="0" w:firstLineChars="0"/>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tcPr>
          <w:p w14:paraId="6695EAC8">
            <w:pPr>
              <w:bidi w:val="0"/>
              <w:ind w:left="0" w:leftChars="0" w:firstLine="0" w:firstLineChars="0"/>
              <w:jc w:val="both"/>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tcPr>
          <w:p w14:paraId="5901DD9C">
            <w:pPr>
              <w:bidi w:val="0"/>
              <w:ind w:left="0" w:leftChars="0" w:firstLine="0" w:firstLineChars="0"/>
              <w:rPr>
                <w:rFonts w:hint="default"/>
                <w:vertAlign w:val="baseline"/>
                <w:lang w:val="en-US" w:eastAsia="zh-CN"/>
              </w:rPr>
            </w:pPr>
            <w:r>
              <w:rPr>
                <w:rFonts w:ascii="宋体" w:hAnsi="宋体" w:eastAsia="宋体" w:cs="宋体"/>
                <w:sz w:val="24"/>
                <w:szCs w:val="24"/>
              </w:rPr>
              <w:t>Rotatable_Bonds</w:t>
            </w:r>
          </w:p>
        </w:tc>
        <w:tc>
          <w:tcPr>
            <w:tcW w:w="4338" w:type="dxa"/>
            <w:tcBorders>
              <w:tl2br w:val="nil"/>
              <w:tr2bl w:val="nil"/>
            </w:tcBorders>
          </w:tcPr>
          <w:p w14:paraId="3C288A64">
            <w:pPr>
              <w:bidi w:val="0"/>
              <w:ind w:left="0" w:leftChars="0" w:firstLine="0" w:firstLineChars="0"/>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tcPr>
          <w:p w14:paraId="2E6D3DF0">
            <w:pPr>
              <w:bidi w:val="0"/>
              <w:ind w:left="0" w:leftChars="0" w:firstLine="0" w:firstLineChars="0"/>
              <w:jc w:val="both"/>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tcPr>
          <w:p w14:paraId="03553238">
            <w:pPr>
              <w:bidi w:val="0"/>
              <w:ind w:left="0" w:leftChars="0" w:firstLine="0" w:firstLineChars="0"/>
              <w:rPr>
                <w:rFonts w:hint="default"/>
                <w:vertAlign w:val="baseline"/>
                <w:lang w:val="en-US" w:eastAsia="zh-CN"/>
              </w:rPr>
            </w:pPr>
            <w:r>
              <w:rPr>
                <w:rFonts w:ascii="宋体" w:hAnsi="宋体" w:eastAsia="宋体" w:cs="宋体"/>
                <w:sz w:val="24"/>
                <w:szCs w:val="24"/>
              </w:rPr>
              <w:t>Ring_Count</w:t>
            </w:r>
          </w:p>
        </w:tc>
        <w:tc>
          <w:tcPr>
            <w:tcW w:w="4338" w:type="dxa"/>
            <w:tcBorders>
              <w:tl2br w:val="nil"/>
              <w:tr2bl w:val="nil"/>
            </w:tcBorders>
          </w:tcPr>
          <w:p w14:paraId="7FBE89C0">
            <w:pPr>
              <w:bidi w:val="0"/>
              <w:ind w:left="0" w:leftChars="0" w:firstLine="0" w:firstLineChars="0"/>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tcPr>
          <w:p w14:paraId="58C32670">
            <w:pPr>
              <w:bidi w:val="0"/>
              <w:ind w:left="0" w:leftChars="0" w:firstLine="0" w:firstLineChars="0"/>
              <w:jc w:val="both"/>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tcPr>
          <w:p w14:paraId="182368FE">
            <w:pPr>
              <w:bidi w:val="0"/>
              <w:ind w:left="0" w:leftChars="0" w:firstLine="0" w:firstLineChars="0"/>
              <w:jc w:val="both"/>
              <w:rPr>
                <w:rFonts w:hint="default"/>
                <w:vertAlign w:val="baseline"/>
                <w:lang w:val="en-US" w:eastAsia="zh-CN"/>
              </w:rPr>
            </w:pPr>
            <w:r>
              <w:rPr>
                <w:rFonts w:ascii="宋体" w:hAnsi="宋体" w:eastAsia="宋体" w:cs="宋体"/>
                <w:sz w:val="24"/>
                <w:szCs w:val="24"/>
              </w:rPr>
              <w:t>Aromatic_Rings</w:t>
            </w:r>
          </w:p>
        </w:tc>
        <w:tc>
          <w:tcPr>
            <w:tcW w:w="4338" w:type="dxa"/>
            <w:tcBorders>
              <w:tl2br w:val="nil"/>
              <w:tr2bl w:val="nil"/>
            </w:tcBorders>
          </w:tcPr>
          <w:p w14:paraId="0A3EB135">
            <w:pPr>
              <w:keepNext w:val="0"/>
              <w:keepLines w:val="0"/>
              <w:widowControl/>
              <w:suppressLineNumbers w:val="0"/>
              <w:ind w:left="0" w:leftChars="0" w:firstLine="0" w:firstLineChars="0"/>
              <w:jc w:val="left"/>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tcPr>
          <w:p w14:paraId="59D12073">
            <w:pPr>
              <w:bidi w:val="0"/>
              <w:ind w:left="0" w:leftChars="0" w:firstLine="0" w:firstLineChars="0"/>
              <w:jc w:val="both"/>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tcPr>
          <w:p w14:paraId="355D9839">
            <w:pPr>
              <w:bidi w:val="0"/>
              <w:ind w:left="0" w:leftChars="0" w:firstLine="0" w:firstLineChars="0"/>
              <w:rPr>
                <w:rFonts w:hint="default"/>
                <w:vertAlign w:val="baseline"/>
                <w:lang w:val="en-US" w:eastAsia="zh-CN"/>
              </w:rPr>
            </w:pPr>
            <w:r>
              <w:rPr>
                <w:rFonts w:ascii="宋体" w:hAnsi="宋体" w:eastAsia="宋体" w:cs="宋体"/>
                <w:sz w:val="24"/>
                <w:szCs w:val="24"/>
              </w:rPr>
              <w:t>Stereocenters</w:t>
            </w:r>
          </w:p>
        </w:tc>
        <w:tc>
          <w:tcPr>
            <w:tcW w:w="4338" w:type="dxa"/>
            <w:tcBorders>
              <w:tl2br w:val="nil"/>
              <w:tr2bl w:val="nil"/>
            </w:tcBorders>
          </w:tcPr>
          <w:p w14:paraId="6A38572D">
            <w:pPr>
              <w:bidi w:val="0"/>
              <w:ind w:left="0" w:leftChars="0" w:firstLine="0" w:firstLineChars="0"/>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w:t>
      </w:r>
      <w:bookmarkStart w:id="0" w:name="_GoBack"/>
      <w:bookmarkEnd w:id="0"/>
      <w:r>
        <w:rPr>
          <w:rFonts w:hint="default"/>
          <w:lang w:val="en-US" w:eastAsia="zh-CN"/>
        </w:rPr>
        <w:t>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7211F6AE">
      <w:pPr>
        <w:bidi w:val="0"/>
        <w:rPr>
          <w:rFonts w:hint="default"/>
          <w:lang w:val="en-US" w:eastAsia="zh-CN"/>
        </w:rPr>
      </w:pPr>
    </w:p>
    <w:p w14:paraId="054C94E1">
      <w:pPr>
        <w:bidi w:val="0"/>
        <w:rPr>
          <w:rFonts w:hint="default"/>
          <w:lang w:val="en-US" w:eastAsia="zh-CN"/>
        </w:rPr>
      </w:pPr>
      <w:r>
        <w:rPr>
          <w:rFonts w:hint="default"/>
          <w:lang w:val="en-US" w:eastAsia="zh-CN"/>
        </w:rPr>
        <w:t>通过上述流程，本文成功构建了一个包含约22万个高质量分子—文本对的预训练数据集，为后续的多模态对比学习提供了坚实的数据基础。</w:t>
      </w:r>
    </w:p>
    <w:p w14:paraId="03163B31">
      <w:pPr>
        <w:pStyle w:val="4"/>
        <w:bidi w:val="0"/>
        <w:rPr>
          <w:rFonts w:hint="default"/>
          <w:lang w:val="en-US" w:eastAsia="zh-CN"/>
        </w:rPr>
      </w:pPr>
      <w:r>
        <w:rPr>
          <w:rFonts w:hint="eastAsia"/>
          <w:lang w:val="en-US" w:eastAsia="zh-CN"/>
        </w:rPr>
        <w:t>下游数据集介绍</w:t>
      </w:r>
    </w:p>
    <w:p w14:paraId="40A8DD1F">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本小节介绍一下下游任务的数据集，MoleculeNet数据集，</w:t>
      </w:r>
      <w:r>
        <w:t>MoleculeNet 是由 Wu 等人在 2018 年提出的一个标准化分子机器学习基准，旨在系统性地评估不同模型在分子性质预测任务上的性能。MoleculeNet 的核心目标在于：</w:t>
      </w:r>
      <w:r>
        <w:rPr>
          <w:rFonts w:hint="eastAsia"/>
        </w:rPr>
        <w:t>为分子性质预测提供统一的数据划分、评价指标和实验协议，从而提高不同方法之间的可比性和可复现性。</w:t>
      </w:r>
      <w:r>
        <w:rPr>
          <w:rFonts w:hint="eastAsia"/>
          <w:lang w:val="en-US" w:eastAsia="zh-CN"/>
        </w:rPr>
        <w:t>本文在moleculeNet数据集上选取了多个具有代表性的分类与回归任务，用于验证所提出的多模态分子表示方法的有效性。</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44B84D2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BACE：提供了一系列人类分泌酶 1（BACE-1）抑制剂的实验数据。该数据集的任务是根据分子结构预测其对 BACE-1 的抑制能力，主要用于阿尔茨海默症的药物研发。</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BBBP：源自 ChEMBL 数据库，记录了分子穿透血脑屏障（BBB）的能力。该数据集的任务是预测小分子是否能通过被动扩散或主动转运进入中枢神经系统，是开发脑部疾病药物的关键指标。</w:t>
      </w:r>
    </w:p>
    <w:p w14:paraId="48BCB27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ClinTox：对比了 FDA 批准上市的药物与因临床毒性失败的化合物。该数据集的任务是预测分子的临床毒性风险，帮助识别那些在实验室表现良好但在人体临床阶段可能产生毒性的分子。</w:t>
      </w:r>
    </w:p>
    <w:p w14:paraId="5539BF6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Tox21：源自“21 世纪毒理学”项目，包含化合物对 12 种特定细胞通路（如核受体和应激反应通路）的毒性测量。该数据集的任务是预测化合物对人体细胞的潜在生化毒性。</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ToxCast：作为 Tox21 项目的扩展，提供了基于体外高通量筛选的大型化合物库数据。该数据集的任务是通过 600 多个实验维度，预测成千上万种化学物质在人体细胞和生物过程中的毒理学特征。</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SIDER：源自药物副作用资源数据库，整合了已上市药物的不良反应（ADR）记录。该数据集的任务是根据分子的化学结构预测其在临床应用中可能产生的各种副作用。</w:t>
      </w:r>
    </w:p>
    <w:p w14:paraId="24B708B7">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ESOL：包含一系列有机化合物在水中的溶解度数据。该数据集的任务是预测分子的溶解度，这是决定药物吸收和生物利用度的重要理化性质。</w:t>
      </w:r>
    </w:p>
    <w:p w14:paraId="5C500E9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FreeSolv：源自实验测定和分子模拟，记录了小分子在水中的自由溶解能变化。该数据集的任务是预测分子从气相转移到液相的自由能，常用于评估计算化学模型的底层物理准确性。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Lipo：专注于分子亲脂性（Lipophilicity）的数据集，通常以 $\log D_{7.4}$（生理 pH 环境下的分配系数）来衡量。该数据集的任务是预测分子在油水两相中的分配能力，反映了药物穿越细胞膜的难易程度。</w:t>
      </w:r>
    </w:p>
    <w:p w14:paraId="2D9AC9CE">
      <w:pPr>
        <w:pStyle w:val="4"/>
        <w:bidi w:val="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rPr>
          <w:rFonts w:hint="default"/>
          <w:lang w:val="en-US" w:eastAsia="zh-CN"/>
        </w:rPr>
      </w:pPr>
      <w:r>
        <w:rPr>
          <w:rFonts w:hint="eastAsia"/>
          <w:lang w:val="en-US" w:eastAsia="zh-CN"/>
        </w:rPr>
        <w:t>对比损失函数</w:t>
      </w:r>
    </w:p>
    <w:p w14:paraId="3802B21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在将分子的各个模态进行分子表示之后，本文设计了适用于多个模态对比学习的损失函数，并且为了减少无效的对比，本文通过确定主模态来进行对比函数的计算。</w:t>
      </w:r>
    </w:p>
    <w:p w14:paraId="076A959A">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对比学习通过拉近正样本对、推远负样本来学习判别性。其中，NT-Xent（Normalized Temperature-scaled Cross Entropy）损失是当前应用最广泛的对比学习目标之一。在这其中通常会使用交叉熵损失函数来作为损失函数：</w:t>
      </w:r>
    </w:p>
    <w:p w14:paraId="663D92CD">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《交叉熵损失函数》</w:t>
      </w:r>
    </w:p>
    <w:p w14:paraId="5C339A68">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其中。。。。《介绍交叉熵损失函数的》</w:t>
      </w:r>
    </w:p>
    <w:p w14:paraId="041956B5">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然而，经典 NT-Xent 损失通常建立在二视图或二模态设定之上，即每个样本仅对应一个正样本视图。例如clip，通过拉近图像和文本的距离来进行对比学习。当任务扩展至多模态的时候，例如本文中的smeiles、text、fg、graph，如果直接使用交叉熵函数，就会面临以下问题：</w:t>
      </w:r>
    </w:p>
    <w:p w14:paraId="03AC0BC7">
      <w:pPr>
        <w:pageBreakBefore w:val="0"/>
        <w:numPr>
          <w:ilvl w:val="0"/>
          <w:numId w:val="4"/>
        </w:numPr>
        <w:kinsoku/>
        <w:wordWrap/>
        <w:overflowPunct/>
        <w:topLinePunct w:val="0"/>
        <w:autoSpaceDE/>
        <w:autoSpaceDN/>
        <w:bidi w:val="0"/>
        <w:adjustRightInd/>
        <w:spacing w:beforeAutospacing="0" w:afterAutospacing="0" w:line="360" w:lineRule="auto"/>
        <w:textAlignment w:val="auto"/>
      </w:pPr>
      <w:r>
        <w:t>多正样本问题：在多模态条件下，同一分子样本在不同模态下均构成正样本对，一对一的 NT-Xent 形式无法自然建模这种多对齐关系。</w:t>
      </w:r>
    </w:p>
    <w:p w14:paraId="6600F358">
      <w:pPr>
        <w:pageBreakBefore w:val="0"/>
        <w:numPr>
          <w:ilvl w:val="0"/>
          <w:numId w:val="4"/>
        </w:numPr>
        <w:kinsoku/>
        <w:wordWrap/>
        <w:overflowPunct/>
        <w:topLinePunct w:val="0"/>
        <w:autoSpaceDE/>
        <w:autoSpaceDN/>
        <w:bidi w:val="0"/>
        <w:adjustRightInd/>
        <w:spacing w:beforeAutospacing="0" w:afterAutospacing="0" w:line="360" w:lineRule="auto"/>
        <w:ind w:left="0" w:leftChars="0" w:firstLine="420" w:firstLineChars="200"/>
        <w:textAlignment w:val="auto"/>
        <w:rPr>
          <w:rFonts w:hint="default"/>
          <w:lang w:val="en-US" w:eastAsia="zh-CN"/>
        </w:rPr>
      </w:pPr>
      <w:r>
        <w:t>训练稳定性问题：不同模态的信息密度与噪声水平存在显著差异，若对所有模态进行等权重的两两对齐，噪声较大的模态（如文本描述）可能在反向传播中产生过大的梯度，进而干扰结构表征的学习</w:t>
      </w:r>
      <w:r>
        <w:rPr>
          <w:rFonts w:hint="eastAsia"/>
          <w:lang w:eastAsia="zh-CN"/>
        </w:rPr>
        <w:t>。</w:t>
      </w:r>
    </w:p>
    <w:p w14:paraId="6C1CB089">
      <w:pPr>
        <w:pageBreakBefore w:val="0"/>
        <w:numPr>
          <w:ilvl w:val="0"/>
          <w:numId w:val="0"/>
        </w:numPr>
        <w:kinsoku/>
        <w:wordWrap/>
        <w:overflowPunct/>
        <w:topLinePunct w:val="0"/>
        <w:autoSpaceDE/>
        <w:autoSpaceDN/>
        <w:bidi w:val="0"/>
        <w:adjustRightInd/>
        <w:spacing w:beforeAutospacing="0" w:afterAutospacing="0" w:line="360" w:lineRule="auto"/>
        <w:textAlignment w:val="auto"/>
        <w:rPr>
          <w:rFonts w:hint="default" w:ascii="宋体" w:hAnsi="宋体" w:eastAsia="宋体" w:cs="宋体"/>
          <w:sz w:val="22"/>
          <w:szCs w:val="22"/>
          <w:lang w:val="en-US" w:eastAsia="zh-CN"/>
        </w:rPr>
      </w:pPr>
      <w:r>
        <w:rPr>
          <w:rFonts w:ascii="宋体" w:hAnsi="宋体" w:eastAsia="宋体" w:cs="宋体"/>
          <w:sz w:val="22"/>
          <w:szCs w:val="22"/>
        </w:rPr>
        <w:t>因此，有必要对传统 NT-Xent 损失在多模态分子表示学习场景下进行针对性的扩展与改进。</w:t>
      </w:r>
    </w:p>
    <w:p w14:paraId="2ACAADE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在分子表征学习中，分子图能够直接刻画原子–键拓扑结构，被认为是最具结构真实性和稳定性的模态表示；而指纹与 SMILES 本质上也是对分子结构的不同编码方式，与图结构高度相关。相比之下，</w:t>
      </w:r>
      <w:r>
        <w:rPr>
          <w:rFonts w:hint="default"/>
          <w:color w:val="FF0000"/>
          <w:lang w:val="en-US" w:eastAsia="zh-CN"/>
        </w:rPr>
        <w:t>文本模态（Text）往往来源于外部描述，其语义完整性和与下游性质任务的相关性存在不确定性。</w:t>
      </w:r>
    </w:p>
    <w:p w14:paraId="779887C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7D455D6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default"/>
          <w:lang w:val="en-US" w:eastAsia="zh-CN"/>
        </w:rPr>
        <w:t>基于上述考虑，本文采用以 Graph 为中心模态（graph-centered）的多模态对比学习策略：在预训练阶段，仅对 Graph 与其余三种模态（SMILES、Fingerprint、Text）进行跨模态对齐，而不对所有模态进行完全两两对齐。该设计既降低了计算复杂度，也有效减少了噪声模态对整体训练过程的干扰</w:t>
      </w:r>
      <w:r>
        <w:rPr>
          <w:rFonts w:hint="eastAsia"/>
          <w:lang w:val="en-US" w:eastAsia="zh-CN"/>
        </w:rPr>
        <w:t>。</w:t>
      </w:r>
    </w:p>
    <w:p w14:paraId="6136A447">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drawing>
          <wp:inline distT="0" distB="0" distL="114300" distR="114300">
            <wp:extent cx="5271770" cy="3046730"/>
            <wp:effectExtent l="0" t="0" r="127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271770" cy="3046730"/>
                    </a:xfrm>
                    <a:prstGeom prst="rect">
                      <a:avLst/>
                    </a:prstGeom>
                    <a:noFill/>
                    <a:ln>
                      <a:noFill/>
                    </a:ln>
                  </pic:spPr>
                </pic:pic>
              </a:graphicData>
            </a:graphic>
          </wp:inline>
        </w:drawing>
      </w:r>
    </w:p>
    <w:p w14:paraId="17EBE08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default"/>
          <w:lang w:val="en-US" w:eastAsia="zh-CN"/>
        </w:rPr>
        <w:t>综上所述，本文针对传统 NT-Xent 损失在多模态分子表示学习中仅适用于二模态设定的局限，提出了一种以 Graph 为中心的多模态对比预训练目标。通过双向 NT-Xent 跨模态对齐及加权损失设计，在保证结构主导表征学习的同时，充分融合多模态信息，为后续 MoleculeNet 下游性质预测任务提供了更稳健、更具泛化能力的分子表示</w:t>
      </w:r>
      <w:r>
        <w:rPr>
          <w:rFonts w:hint="eastAsia"/>
          <w:lang w:val="en-US" w:eastAsia="zh-CN"/>
        </w:rPr>
        <w:t>。</w:t>
      </w:r>
    </w:p>
    <w:p w14:paraId="4F115F04">
      <w:pPr>
        <w:pStyle w:val="4"/>
        <w:bidi w:val="0"/>
        <w:rPr>
          <w:rFonts w:hint="default"/>
          <w:lang w:val="en-US" w:eastAsia="zh-CN"/>
        </w:rPr>
      </w:pPr>
      <w:r>
        <w:rPr>
          <w:rFonts w:hint="eastAsia"/>
          <w:lang w:val="en-US" w:eastAsia="zh-CN"/>
        </w:rPr>
        <w:t>对比模型</w:t>
      </w:r>
    </w:p>
    <w:p w14:paraId="2CFA5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422EC42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GraphConv 是早期提出的一类图卷积网络模型，将分子表示为图结构，其中节点表示原子、边表示化学键。通过在分子图上执行卷积操作，模型能够捕捉分子内部的局部结构和全局拓扑特征，被广泛应用于分子性质预测任务中。</w:t>
      </w:r>
    </w:p>
    <w:p w14:paraId="0E291D7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Mol2Vec 是一种借鉴自然语言处理思想的分子表示方法，将分子结构拆分为若干子结构并视为“词语”，采用 Skip-gram 算法进行无监督训练，从而学习分子子结构的向量表示，最终获得分子的整体表示。</w:t>
      </w:r>
    </w:p>
    <w:p w14:paraId="7733EA5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N-Gram 方法通过将分子表示为由连续 N 个化学键组成的路径集合，从结构角度刻画分子的局部拓扑特征。该方法无需预先定义分子表示形式，具有良好的通用性和灵活性，适用于不同类型的分子建模任务。</w:t>
      </w:r>
    </w:p>
    <w:p w14:paraId="04EFD87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color w:val="E54C5E" w:themeColor="accent6"/>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SMILES-BERT 是一种基于 Transformer 架构的分子表示学习方法，将 SMILES 字符串视为文本序列输入，通过自监督预训练任务（如掩码语言模型）学习分子的上下文语义表示，进而用于分子性质预测等下游任务。</w:t>
      </w:r>
    </w:p>
    <w:p w14:paraId="2F3AFC2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MolCLR 是一种基于图神经网络的分子对比学习方法，通过构造不同的分子视图并进行对比学习，在无监督条件下学习具有判别性的分子表示。该方法在多个分子性质预测任务中表现出较强的泛化能力。</w:t>
      </w:r>
    </w:p>
    <w:p w14:paraId="7948BAC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SchNet 是一种面向量子化学建模的深度学习方法，通过连续滤波卷积直接作用于原子间的三维空间距离，从而有效建模分子的三维结构信息。该方法无需人工设计特征，能够自动学习与分子电子结构和量子相互作用相关的重要特征。</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p w14:paraId="093BE13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tbl>
      <w:tblPr>
        <w:tblStyle w:val="17"/>
        <w:tblW w:w="7738"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44"/>
        <w:gridCol w:w="1021"/>
        <w:gridCol w:w="886"/>
        <w:gridCol w:w="1062"/>
        <w:gridCol w:w="883"/>
        <w:gridCol w:w="1073"/>
        <w:gridCol w:w="969"/>
      </w:tblGrid>
      <w:tr w14:paraId="4DF927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single" w:color="000000" w:sz="12" w:space="0"/>
              <w:left w:val="nil"/>
              <w:bottom w:val="nil"/>
              <w:right w:val="nil"/>
            </w:tcBorders>
            <w:vAlign w:val="top"/>
          </w:tcPr>
          <w:p w14:paraId="57B778E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color="auto" w:fill="auto"/>
            <w:vAlign w:val="top"/>
          </w:tcPr>
          <w:p w14:paraId="347C61D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top"/>
          </w:tcPr>
          <w:p w14:paraId="2AFAEBB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top"/>
          </w:tcPr>
          <w:p w14:paraId="26249D8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top"/>
          </w:tcPr>
          <w:p w14:paraId="782C3D9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top"/>
          </w:tcPr>
          <w:p w14:paraId="472CC81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top"/>
          </w:tcPr>
          <w:p w14:paraId="1A7A0F8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SIDER</w:t>
            </w:r>
          </w:p>
        </w:tc>
      </w:tr>
      <w:tr w14:paraId="40FAA5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62A59DC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color="auto" w:fill="auto"/>
            <w:vAlign w:val="top"/>
          </w:tcPr>
          <w:p w14:paraId="192290E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top"/>
          </w:tcPr>
          <w:p w14:paraId="6D7E1F3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top"/>
          </w:tcPr>
          <w:p w14:paraId="60070ED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top"/>
          </w:tcPr>
          <w:p w14:paraId="12A2623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top"/>
          </w:tcPr>
          <w:p w14:paraId="557841B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top"/>
          </w:tcPr>
          <w:p w14:paraId="577A453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1472</w:t>
            </w:r>
          </w:p>
        </w:tc>
      </w:tr>
      <w:tr w14:paraId="22525D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right w:val="nil"/>
            </w:tcBorders>
            <w:vAlign w:val="top"/>
          </w:tcPr>
          <w:p w14:paraId="1D9E2C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color="auto" w:fill="auto"/>
            <w:vAlign w:val="top"/>
          </w:tcPr>
          <w:p w14:paraId="49B7676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top"/>
          </w:tcPr>
          <w:p w14:paraId="4AB9308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top"/>
          </w:tcPr>
          <w:p w14:paraId="5120EFC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top"/>
          </w:tcPr>
          <w:p w14:paraId="162BBD9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top"/>
          </w:tcPr>
          <w:p w14:paraId="44B438F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top"/>
          </w:tcPr>
          <w:p w14:paraId="23BA084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27</w:t>
            </w:r>
          </w:p>
        </w:tc>
      </w:tr>
      <w:tr w14:paraId="464C84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left w:val="nil"/>
              <w:bottom w:val="nil"/>
              <w:right w:val="nil"/>
            </w:tcBorders>
            <w:vAlign w:val="top"/>
          </w:tcPr>
          <w:p w14:paraId="21D35CB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AttentiveFP</w:t>
            </w:r>
          </w:p>
        </w:tc>
        <w:tc>
          <w:tcPr>
            <w:tcW w:w="1021" w:type="dxa"/>
            <w:tcBorders>
              <w:left w:val="nil"/>
              <w:bottom w:val="nil"/>
              <w:right w:val="nil"/>
            </w:tcBorders>
            <w:shd w:val="clear" w:color="auto" w:fill="auto"/>
            <w:vAlign w:val="top"/>
          </w:tcPr>
          <w:p w14:paraId="24A4CC4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p>
        </w:tc>
        <w:tc>
          <w:tcPr>
            <w:tcW w:w="886" w:type="dxa"/>
            <w:tcBorders>
              <w:left w:val="nil"/>
              <w:bottom w:val="nil"/>
              <w:right w:val="nil"/>
            </w:tcBorders>
            <w:vAlign w:val="top"/>
          </w:tcPr>
          <w:p w14:paraId="7F16403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top"/>
          </w:tcPr>
          <w:p w14:paraId="4DD81C6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top"/>
          </w:tcPr>
          <w:p w14:paraId="6C974EE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top"/>
          </w:tcPr>
          <w:p w14:paraId="6259621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top"/>
          </w:tcPr>
          <w:p w14:paraId="29D71A0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0.605</w:t>
            </w:r>
          </w:p>
        </w:tc>
      </w:tr>
      <w:tr w14:paraId="0A4519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6D308C5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color w:val="E54C5E" w:themeColor="accent6"/>
                <w:vertAlign w:val="baseline"/>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SMILES-BERT</w:t>
            </w:r>
          </w:p>
        </w:tc>
        <w:tc>
          <w:tcPr>
            <w:tcW w:w="1021" w:type="dxa"/>
            <w:tcBorders>
              <w:top w:val="nil"/>
              <w:left w:val="nil"/>
              <w:bottom w:val="nil"/>
              <w:right w:val="nil"/>
            </w:tcBorders>
            <w:shd w:val="clear" w:color="auto" w:fill="auto"/>
            <w:vAlign w:val="top"/>
          </w:tcPr>
          <w:p w14:paraId="0824F62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color w:val="E54C5E" w:themeColor="accent6"/>
                <w:kern w:val="2"/>
                <w:sz w:val="21"/>
                <w:szCs w:val="24"/>
                <w:vertAlign w:val="baseline"/>
                <w:lang w:val="en-US" w:eastAsia="zh-CN" w:bidi="ar-SA"/>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0.849</w:t>
            </w:r>
          </w:p>
        </w:tc>
        <w:tc>
          <w:tcPr>
            <w:tcW w:w="886" w:type="dxa"/>
            <w:tcBorders>
              <w:top w:val="nil"/>
              <w:left w:val="nil"/>
              <w:bottom w:val="nil"/>
              <w:right w:val="nil"/>
            </w:tcBorders>
            <w:vAlign w:val="top"/>
          </w:tcPr>
          <w:p w14:paraId="081F235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0.959</w:t>
            </w:r>
          </w:p>
        </w:tc>
        <w:tc>
          <w:tcPr>
            <w:tcW w:w="1062" w:type="dxa"/>
            <w:tcBorders>
              <w:top w:val="nil"/>
              <w:left w:val="nil"/>
              <w:bottom w:val="nil"/>
              <w:right w:val="nil"/>
            </w:tcBorders>
            <w:vAlign w:val="top"/>
          </w:tcPr>
          <w:p w14:paraId="6B89C65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0.985</w:t>
            </w:r>
          </w:p>
        </w:tc>
        <w:tc>
          <w:tcPr>
            <w:tcW w:w="883" w:type="dxa"/>
            <w:tcBorders>
              <w:top w:val="nil"/>
              <w:left w:val="nil"/>
              <w:bottom w:val="nil"/>
              <w:right w:val="nil"/>
            </w:tcBorders>
            <w:vAlign w:val="top"/>
          </w:tcPr>
          <w:p w14:paraId="3F33735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0.803</w:t>
            </w:r>
          </w:p>
        </w:tc>
        <w:tc>
          <w:tcPr>
            <w:tcW w:w="1073" w:type="dxa"/>
            <w:tcBorders>
              <w:top w:val="nil"/>
              <w:left w:val="nil"/>
              <w:bottom w:val="nil"/>
              <w:right w:val="nil"/>
            </w:tcBorders>
            <w:vAlign w:val="top"/>
          </w:tcPr>
          <w:p w14:paraId="656AAA8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0.655</w:t>
            </w:r>
          </w:p>
        </w:tc>
        <w:tc>
          <w:tcPr>
            <w:tcW w:w="969" w:type="dxa"/>
            <w:tcBorders>
              <w:top w:val="nil"/>
              <w:left w:val="nil"/>
              <w:bottom w:val="nil"/>
              <w:right w:val="nil"/>
            </w:tcBorders>
            <w:vAlign w:val="top"/>
          </w:tcPr>
          <w:p w14:paraId="495098D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0.568</w:t>
            </w:r>
          </w:p>
        </w:tc>
      </w:tr>
      <w:tr w14:paraId="688661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6D9224E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Mol2Vec</w:t>
            </w:r>
          </w:p>
        </w:tc>
        <w:tc>
          <w:tcPr>
            <w:tcW w:w="1021" w:type="dxa"/>
            <w:tcBorders>
              <w:top w:val="nil"/>
              <w:left w:val="nil"/>
              <w:bottom w:val="nil"/>
              <w:right w:val="nil"/>
            </w:tcBorders>
            <w:shd w:val="clear" w:color="auto" w:fill="auto"/>
            <w:vAlign w:val="top"/>
          </w:tcPr>
          <w:p w14:paraId="360EE12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top"/>
          </w:tcPr>
          <w:p w14:paraId="7272027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top"/>
          </w:tcPr>
          <w:p w14:paraId="73A7221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top"/>
          </w:tcPr>
          <w:p w14:paraId="7EBBB9C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top"/>
          </w:tcPr>
          <w:p w14:paraId="31BF482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top"/>
          </w:tcPr>
          <w:p w14:paraId="5B74382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0.592</w:t>
            </w:r>
          </w:p>
        </w:tc>
      </w:tr>
      <w:tr w14:paraId="2006BC7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2CCBCCE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GROVER-base</w:t>
            </w:r>
          </w:p>
        </w:tc>
        <w:tc>
          <w:tcPr>
            <w:tcW w:w="1021" w:type="dxa"/>
            <w:tcBorders>
              <w:top w:val="nil"/>
              <w:left w:val="nil"/>
              <w:bottom w:val="nil"/>
              <w:right w:val="nil"/>
            </w:tcBorders>
            <w:shd w:val="clear" w:color="auto" w:fill="auto"/>
            <w:vAlign w:val="top"/>
          </w:tcPr>
          <w:p w14:paraId="2C72762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top"/>
          </w:tcPr>
          <w:p w14:paraId="0E537DE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top"/>
          </w:tcPr>
          <w:p w14:paraId="4CBDAD3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top"/>
          </w:tcPr>
          <w:p w14:paraId="671F357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top"/>
          </w:tcPr>
          <w:p w14:paraId="7263DD4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top"/>
          </w:tcPr>
          <w:p w14:paraId="65D87D1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0.614</w:t>
            </w:r>
          </w:p>
        </w:tc>
      </w:tr>
      <w:tr w14:paraId="46F6AE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33" w:hRule="atLeast"/>
          <w:tblHeader/>
          <w:jc w:val="center"/>
        </w:trPr>
        <w:tc>
          <w:tcPr>
            <w:tcW w:w="1844" w:type="dxa"/>
            <w:tcBorders>
              <w:top w:val="nil"/>
              <w:left w:val="nil"/>
              <w:bottom w:val="nil"/>
              <w:right w:val="nil"/>
            </w:tcBorders>
            <w:vAlign w:val="top"/>
          </w:tcPr>
          <w:p w14:paraId="73555FD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GROVER-large</w:t>
            </w:r>
          </w:p>
        </w:tc>
        <w:tc>
          <w:tcPr>
            <w:tcW w:w="1021" w:type="dxa"/>
            <w:tcBorders>
              <w:top w:val="nil"/>
              <w:left w:val="nil"/>
              <w:bottom w:val="nil"/>
              <w:right w:val="nil"/>
            </w:tcBorders>
            <w:shd w:val="clear" w:color="auto" w:fill="auto"/>
            <w:vAlign w:val="top"/>
          </w:tcPr>
          <w:p w14:paraId="5F221BB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0.826</w:t>
            </w:r>
          </w:p>
        </w:tc>
        <w:tc>
          <w:tcPr>
            <w:tcW w:w="886" w:type="dxa"/>
            <w:tcBorders>
              <w:top w:val="nil"/>
              <w:left w:val="nil"/>
              <w:bottom w:val="nil"/>
              <w:right w:val="nil"/>
            </w:tcBorders>
            <w:vAlign w:val="top"/>
          </w:tcPr>
          <w:p w14:paraId="1AFA832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0.702</w:t>
            </w:r>
          </w:p>
        </w:tc>
        <w:tc>
          <w:tcPr>
            <w:tcW w:w="1062" w:type="dxa"/>
            <w:tcBorders>
              <w:top w:val="nil"/>
              <w:left w:val="nil"/>
              <w:bottom w:val="nil"/>
              <w:right w:val="nil"/>
            </w:tcBorders>
            <w:vAlign w:val="top"/>
          </w:tcPr>
          <w:p w14:paraId="5F4E543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0.743</w:t>
            </w:r>
          </w:p>
        </w:tc>
        <w:tc>
          <w:tcPr>
            <w:tcW w:w="883" w:type="dxa"/>
            <w:tcBorders>
              <w:top w:val="nil"/>
              <w:left w:val="nil"/>
              <w:bottom w:val="nil"/>
              <w:right w:val="nil"/>
            </w:tcBorders>
            <w:vAlign w:val="top"/>
          </w:tcPr>
          <w:p w14:paraId="480D002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0.654</w:t>
            </w:r>
          </w:p>
        </w:tc>
        <w:tc>
          <w:tcPr>
            <w:tcW w:w="1073" w:type="dxa"/>
            <w:tcBorders>
              <w:top w:val="nil"/>
              <w:left w:val="nil"/>
              <w:bottom w:val="nil"/>
              <w:right w:val="nil"/>
            </w:tcBorders>
            <w:vAlign w:val="top"/>
          </w:tcPr>
          <w:p w14:paraId="27327BA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0.654</w:t>
            </w:r>
          </w:p>
        </w:tc>
        <w:tc>
          <w:tcPr>
            <w:tcW w:w="969" w:type="dxa"/>
            <w:tcBorders>
              <w:top w:val="nil"/>
              <w:left w:val="nil"/>
              <w:bottom w:val="nil"/>
              <w:right w:val="nil"/>
            </w:tcBorders>
            <w:vAlign w:val="top"/>
          </w:tcPr>
          <w:p w14:paraId="4DE7432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0.648</w:t>
            </w:r>
          </w:p>
        </w:tc>
      </w:tr>
      <w:tr w14:paraId="387A88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39E2EF5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GraphMVP</w:t>
            </w:r>
          </w:p>
        </w:tc>
        <w:tc>
          <w:tcPr>
            <w:tcW w:w="1021" w:type="dxa"/>
            <w:tcBorders>
              <w:top w:val="nil"/>
              <w:left w:val="nil"/>
              <w:bottom w:val="nil"/>
              <w:right w:val="nil"/>
            </w:tcBorders>
            <w:shd w:val="clear" w:color="auto" w:fill="auto"/>
            <w:vAlign w:val="top"/>
          </w:tcPr>
          <w:p w14:paraId="012EFDE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top"/>
          </w:tcPr>
          <w:p w14:paraId="2187F74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top"/>
          </w:tcPr>
          <w:p w14:paraId="3F18F38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top"/>
          </w:tcPr>
          <w:p w14:paraId="2EB4081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top"/>
          </w:tcPr>
          <w:p w14:paraId="243B232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top"/>
          </w:tcPr>
          <w:p w14:paraId="7790ED0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0.639</w:t>
            </w:r>
          </w:p>
        </w:tc>
      </w:tr>
      <w:tr w14:paraId="770F21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3403504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MPNN</w:t>
            </w:r>
          </w:p>
        </w:tc>
        <w:tc>
          <w:tcPr>
            <w:tcW w:w="1021" w:type="dxa"/>
            <w:tcBorders>
              <w:top w:val="nil"/>
              <w:left w:val="nil"/>
              <w:bottom w:val="nil"/>
              <w:right w:val="nil"/>
            </w:tcBorders>
            <w:shd w:val="clear" w:color="auto" w:fill="auto"/>
            <w:vAlign w:val="top"/>
          </w:tcPr>
          <w:p w14:paraId="1873D03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top"/>
          </w:tcPr>
          <w:p w14:paraId="1EAF5A2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top"/>
          </w:tcPr>
          <w:p w14:paraId="59AEB4C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top"/>
          </w:tcPr>
          <w:p w14:paraId="6CD6583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top"/>
          </w:tcPr>
          <w:p w14:paraId="5AEB6C9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top"/>
          </w:tcPr>
          <w:p w14:paraId="149C080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0.595</w:t>
            </w:r>
          </w:p>
        </w:tc>
      </w:tr>
      <w:tr w14:paraId="4B4EA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6A162AA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DMPNN</w:t>
            </w:r>
          </w:p>
        </w:tc>
        <w:tc>
          <w:tcPr>
            <w:tcW w:w="1021" w:type="dxa"/>
            <w:tcBorders>
              <w:top w:val="nil"/>
              <w:left w:val="nil"/>
              <w:bottom w:val="nil"/>
              <w:right w:val="nil"/>
            </w:tcBorders>
            <w:shd w:val="clear" w:color="auto" w:fill="auto"/>
            <w:vAlign w:val="top"/>
          </w:tcPr>
          <w:p w14:paraId="5E14F2E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top"/>
          </w:tcPr>
          <w:p w14:paraId="4FD9025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top"/>
          </w:tcPr>
          <w:p w14:paraId="4750FD0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top"/>
          </w:tcPr>
          <w:p w14:paraId="3FD0EED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top"/>
          </w:tcPr>
          <w:p w14:paraId="280F86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top"/>
          </w:tcPr>
          <w:p w14:paraId="3233633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0.570</w:t>
            </w:r>
          </w:p>
        </w:tc>
      </w:tr>
      <w:tr w14:paraId="04446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5A34846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CMPNN</w:t>
            </w:r>
          </w:p>
        </w:tc>
        <w:tc>
          <w:tcPr>
            <w:tcW w:w="1021" w:type="dxa"/>
            <w:tcBorders>
              <w:top w:val="nil"/>
              <w:left w:val="nil"/>
              <w:bottom w:val="nil"/>
              <w:right w:val="nil"/>
            </w:tcBorders>
            <w:shd w:val="clear" w:color="auto" w:fill="auto"/>
            <w:vAlign w:val="top"/>
          </w:tcPr>
          <w:p w14:paraId="13B35AB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0.869</w:t>
            </w:r>
          </w:p>
        </w:tc>
        <w:tc>
          <w:tcPr>
            <w:tcW w:w="886" w:type="dxa"/>
            <w:tcBorders>
              <w:top w:val="nil"/>
              <w:left w:val="nil"/>
              <w:bottom w:val="nil"/>
              <w:right w:val="nil"/>
            </w:tcBorders>
            <w:vAlign w:val="top"/>
          </w:tcPr>
          <w:p w14:paraId="5504FF9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0.927</w:t>
            </w:r>
          </w:p>
        </w:tc>
        <w:tc>
          <w:tcPr>
            <w:tcW w:w="1062" w:type="dxa"/>
            <w:tcBorders>
              <w:top w:val="nil"/>
              <w:left w:val="nil"/>
              <w:bottom w:val="nil"/>
              <w:right w:val="nil"/>
            </w:tcBorders>
            <w:vAlign w:val="top"/>
          </w:tcPr>
          <w:p w14:paraId="1C447F9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0.901</w:t>
            </w:r>
          </w:p>
        </w:tc>
        <w:tc>
          <w:tcPr>
            <w:tcW w:w="883" w:type="dxa"/>
            <w:tcBorders>
              <w:top w:val="nil"/>
              <w:left w:val="nil"/>
              <w:bottom w:val="nil"/>
              <w:right w:val="nil"/>
            </w:tcBorders>
            <w:vAlign w:val="top"/>
          </w:tcPr>
          <w:p w14:paraId="12D8BBA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0.837</w:t>
            </w:r>
          </w:p>
        </w:tc>
        <w:tc>
          <w:tcPr>
            <w:tcW w:w="1073" w:type="dxa"/>
            <w:tcBorders>
              <w:top w:val="nil"/>
              <w:left w:val="nil"/>
              <w:bottom w:val="nil"/>
              <w:right w:val="nil"/>
            </w:tcBorders>
            <w:vAlign w:val="top"/>
          </w:tcPr>
          <w:p w14:paraId="06087AB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0.709</w:t>
            </w:r>
          </w:p>
        </w:tc>
        <w:tc>
          <w:tcPr>
            <w:tcW w:w="969" w:type="dxa"/>
            <w:tcBorders>
              <w:top w:val="nil"/>
              <w:left w:val="nil"/>
              <w:bottom w:val="nil"/>
              <w:right w:val="nil"/>
            </w:tcBorders>
            <w:vAlign w:val="top"/>
          </w:tcPr>
          <w:p w14:paraId="4918941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0.617</w:t>
            </w:r>
          </w:p>
        </w:tc>
      </w:tr>
      <w:tr w14:paraId="08AF9D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5679B48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GIN</w:t>
            </w:r>
          </w:p>
        </w:tc>
        <w:tc>
          <w:tcPr>
            <w:tcW w:w="1021" w:type="dxa"/>
            <w:tcBorders>
              <w:top w:val="nil"/>
              <w:left w:val="nil"/>
              <w:bottom w:val="nil"/>
              <w:right w:val="nil"/>
            </w:tcBorders>
            <w:shd w:val="clear" w:color="auto" w:fill="auto"/>
            <w:vAlign w:val="top"/>
          </w:tcPr>
          <w:p w14:paraId="3601303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w:t>
            </w:r>
          </w:p>
        </w:tc>
        <w:tc>
          <w:tcPr>
            <w:tcW w:w="886" w:type="dxa"/>
            <w:tcBorders>
              <w:top w:val="nil"/>
              <w:left w:val="nil"/>
              <w:bottom w:val="nil"/>
              <w:right w:val="nil"/>
            </w:tcBorders>
            <w:vAlign w:val="top"/>
          </w:tcPr>
          <w:p w14:paraId="0431128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0.894</w:t>
            </w:r>
          </w:p>
        </w:tc>
        <w:tc>
          <w:tcPr>
            <w:tcW w:w="1062" w:type="dxa"/>
            <w:tcBorders>
              <w:top w:val="nil"/>
              <w:left w:val="nil"/>
              <w:bottom w:val="nil"/>
              <w:right w:val="nil"/>
            </w:tcBorders>
            <w:vAlign w:val="top"/>
          </w:tcPr>
          <w:p w14:paraId="2779EA0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0.869</w:t>
            </w:r>
          </w:p>
        </w:tc>
        <w:tc>
          <w:tcPr>
            <w:tcW w:w="883" w:type="dxa"/>
            <w:tcBorders>
              <w:top w:val="nil"/>
              <w:left w:val="nil"/>
              <w:bottom w:val="nil"/>
              <w:right w:val="nil"/>
            </w:tcBorders>
            <w:vAlign w:val="top"/>
          </w:tcPr>
          <w:p w14:paraId="20EC12F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0.811</w:t>
            </w:r>
          </w:p>
        </w:tc>
        <w:tc>
          <w:tcPr>
            <w:tcW w:w="1073" w:type="dxa"/>
            <w:tcBorders>
              <w:top w:val="nil"/>
              <w:left w:val="nil"/>
              <w:bottom w:val="nil"/>
              <w:right w:val="nil"/>
            </w:tcBorders>
            <w:vAlign w:val="top"/>
          </w:tcPr>
          <w:p w14:paraId="598827C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0.703</w:t>
            </w:r>
          </w:p>
        </w:tc>
        <w:tc>
          <w:tcPr>
            <w:tcW w:w="969" w:type="dxa"/>
            <w:tcBorders>
              <w:top w:val="nil"/>
              <w:left w:val="nil"/>
              <w:bottom w:val="nil"/>
              <w:right w:val="nil"/>
            </w:tcBorders>
            <w:vAlign w:val="top"/>
          </w:tcPr>
          <w:p w14:paraId="639C0A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0.591</w:t>
            </w:r>
          </w:p>
        </w:tc>
      </w:tr>
      <w:tr w14:paraId="0D62C1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1358ACD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SchNet</w:t>
            </w:r>
          </w:p>
        </w:tc>
        <w:tc>
          <w:tcPr>
            <w:tcW w:w="1021" w:type="dxa"/>
            <w:tcBorders>
              <w:top w:val="nil"/>
              <w:left w:val="nil"/>
              <w:bottom w:val="nil"/>
              <w:right w:val="nil"/>
            </w:tcBorders>
            <w:shd w:val="clear" w:color="auto" w:fill="auto"/>
            <w:vAlign w:val="top"/>
          </w:tcPr>
          <w:p w14:paraId="46008FE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top"/>
          </w:tcPr>
          <w:p w14:paraId="1420F6D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top"/>
          </w:tcPr>
          <w:p w14:paraId="1FB75F7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top"/>
          </w:tcPr>
          <w:p w14:paraId="29F037C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top"/>
          </w:tcPr>
          <w:p w14:paraId="2F727ED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top"/>
          </w:tcPr>
          <w:p w14:paraId="63A026C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0.545</w:t>
            </w:r>
          </w:p>
        </w:tc>
      </w:tr>
      <w:tr w14:paraId="6469D5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3C5A76E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color="auto" w:fill="auto"/>
            <w:vAlign w:val="top"/>
          </w:tcPr>
          <w:p w14:paraId="2BCAB3F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top"/>
          </w:tcPr>
          <w:p w14:paraId="109C231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top"/>
          </w:tcPr>
          <w:p w14:paraId="168A1DE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top"/>
          </w:tcPr>
          <w:p w14:paraId="0560641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top"/>
          </w:tcPr>
          <w:p w14:paraId="294D884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w:t>
            </w:r>
          </w:p>
        </w:tc>
        <w:tc>
          <w:tcPr>
            <w:tcW w:w="969" w:type="dxa"/>
            <w:tcBorders>
              <w:top w:val="nil"/>
              <w:left w:val="nil"/>
              <w:bottom w:val="nil"/>
              <w:right w:val="nil"/>
            </w:tcBorders>
            <w:vAlign w:val="top"/>
          </w:tcPr>
          <w:p w14:paraId="2E69B92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0.662</w:t>
            </w:r>
          </w:p>
        </w:tc>
      </w:tr>
      <w:tr w14:paraId="46C24C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4693C65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color="auto" w:fill="auto"/>
            <w:vAlign w:val="top"/>
          </w:tcPr>
          <w:p w14:paraId="5229A7F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top"/>
          </w:tcPr>
          <w:p w14:paraId="5E8640E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top"/>
          </w:tcPr>
          <w:p w14:paraId="6CDBE92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top"/>
          </w:tcPr>
          <w:p w14:paraId="73BAC1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top"/>
          </w:tcPr>
          <w:p w14:paraId="57360AA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top"/>
          </w:tcPr>
          <w:p w14:paraId="059CAD1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0.610</w:t>
            </w:r>
          </w:p>
        </w:tc>
      </w:tr>
      <w:tr w14:paraId="38E21A6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7134C33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color="auto" w:fill="auto"/>
            <w:vAlign w:val="top"/>
          </w:tcPr>
          <w:p w14:paraId="4EBCA76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top"/>
          </w:tcPr>
          <w:p w14:paraId="6A0F7BF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top"/>
          </w:tcPr>
          <w:p w14:paraId="5507C32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top"/>
          </w:tcPr>
          <w:p w14:paraId="1EFAC84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top"/>
          </w:tcPr>
          <w:p w14:paraId="6AB71DB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top"/>
          </w:tcPr>
          <w:p w14:paraId="73B009E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0.605</w:t>
            </w:r>
          </w:p>
        </w:tc>
      </w:tr>
      <w:tr w14:paraId="41074D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right w:val="nil"/>
            </w:tcBorders>
            <w:vAlign w:val="top"/>
          </w:tcPr>
          <w:p w14:paraId="30369E9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color="auto" w:fill="auto"/>
            <w:vAlign w:val="top"/>
          </w:tcPr>
          <w:p w14:paraId="25CCAA1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top"/>
          </w:tcPr>
          <w:p w14:paraId="60C9EB3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top"/>
          </w:tcPr>
          <w:p w14:paraId="480E2C7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top"/>
          </w:tcPr>
          <w:p w14:paraId="34E10B3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top"/>
          </w:tcPr>
          <w:p w14:paraId="6AC1FED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top"/>
          </w:tcPr>
          <w:p w14:paraId="67F2C89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0.598</w:t>
            </w:r>
          </w:p>
        </w:tc>
      </w:tr>
      <w:tr w14:paraId="063C77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left w:val="nil"/>
              <w:bottom w:val="single" w:color="000000" w:sz="12" w:space="0"/>
              <w:right w:val="nil"/>
            </w:tcBorders>
            <w:vAlign w:val="top"/>
          </w:tcPr>
          <w:p w14:paraId="5A0BB54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color="auto" w:fill="auto"/>
            <w:vAlign w:val="top"/>
          </w:tcPr>
          <w:p w14:paraId="0528DD8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p>
        </w:tc>
        <w:tc>
          <w:tcPr>
            <w:tcW w:w="886" w:type="dxa"/>
            <w:tcBorders>
              <w:left w:val="nil"/>
              <w:bottom w:val="single" w:color="000000" w:sz="12" w:space="0"/>
              <w:right w:val="nil"/>
            </w:tcBorders>
            <w:vAlign w:val="top"/>
          </w:tcPr>
          <w:p w14:paraId="3F7582B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0.930</w:t>
            </w:r>
          </w:p>
        </w:tc>
        <w:tc>
          <w:tcPr>
            <w:tcW w:w="1062" w:type="dxa"/>
            <w:tcBorders>
              <w:left w:val="nil"/>
              <w:bottom w:val="single" w:color="000000" w:sz="12" w:space="0"/>
              <w:right w:val="nil"/>
            </w:tcBorders>
            <w:vAlign w:val="top"/>
          </w:tcPr>
          <w:p w14:paraId="0448E00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0.941</w:t>
            </w:r>
          </w:p>
        </w:tc>
        <w:tc>
          <w:tcPr>
            <w:tcW w:w="883" w:type="dxa"/>
            <w:tcBorders>
              <w:left w:val="nil"/>
              <w:bottom w:val="single" w:color="000000" w:sz="12" w:space="0"/>
              <w:right w:val="nil"/>
            </w:tcBorders>
            <w:vAlign w:val="top"/>
          </w:tcPr>
          <w:p w14:paraId="41CF007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0.852</w:t>
            </w:r>
          </w:p>
        </w:tc>
        <w:tc>
          <w:tcPr>
            <w:tcW w:w="1073" w:type="dxa"/>
            <w:tcBorders>
              <w:left w:val="nil"/>
              <w:bottom w:val="single" w:color="000000" w:sz="12" w:space="0"/>
              <w:right w:val="nil"/>
            </w:tcBorders>
            <w:vAlign w:val="top"/>
          </w:tcPr>
          <w:p w14:paraId="0651141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0.712</w:t>
            </w:r>
          </w:p>
        </w:tc>
        <w:tc>
          <w:tcPr>
            <w:tcW w:w="969" w:type="dxa"/>
            <w:tcBorders>
              <w:left w:val="nil"/>
              <w:bottom w:val="single" w:color="000000" w:sz="12" w:space="0"/>
              <w:right w:val="nil"/>
            </w:tcBorders>
            <w:vAlign w:val="top"/>
          </w:tcPr>
          <w:p w14:paraId="51AE826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0.673</w:t>
            </w:r>
          </w:p>
        </w:tc>
      </w:tr>
    </w:tbl>
    <w:p w14:paraId="0DC2C2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上图和下图分别展示了我们的模型在分类任务和回归任务上的性能表现。实验结果表明</w:t>
      </w:r>
    </w:p>
    <w:p w14:paraId="3187185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14E6509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top"/>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top"/>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top"/>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center"/>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1.02</w:t>
            </w:r>
          </w:p>
        </w:tc>
        <w:tc>
          <w:tcPr>
            <w:tcW w:w="2131" w:type="dxa"/>
            <w:tcBorders>
              <w:top w:val="single" w:color="auto" w:sz="8" w:space="0"/>
              <w:left w:val="nil"/>
              <w:bottom w:val="nil"/>
              <w:right w:val="nil"/>
            </w:tcBorders>
            <w:shd w:val="clear"/>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single" w:color="auto" w:sz="8" w:space="0"/>
              <w:left w:val="nil"/>
              <w:bottom w:val="nil"/>
              <w:right w:val="nil"/>
            </w:tcBorders>
            <w:shd w:val="clear"/>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1496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0C73AB4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default"/>
                <w:color w:val="E54C5E" w:themeColor="accent6"/>
                <w:lang w:val="en-US" w:eastAsia="zh-CN"/>
                <w14:textFill>
                  <w14:solidFill>
                    <w14:schemeClr w14:val="accent6"/>
                  </w14:solidFill>
                </w14:textFill>
              </w:rPr>
              <w:t>SMILES-BERT</w:t>
            </w:r>
          </w:p>
        </w:tc>
        <w:tc>
          <w:tcPr>
            <w:tcW w:w="2130" w:type="dxa"/>
            <w:tcBorders>
              <w:top w:val="nil"/>
              <w:left w:val="nil"/>
              <w:bottom w:val="nil"/>
              <w:right w:val="nil"/>
            </w:tcBorders>
            <w:shd w:val="clear"/>
            <w:vAlign w:val="center"/>
          </w:tcPr>
          <w:p w14:paraId="5886C4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5D75DB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AD3D3E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GROVER-base</w:t>
            </w:r>
          </w:p>
        </w:tc>
        <w:tc>
          <w:tcPr>
            <w:tcW w:w="2130" w:type="dxa"/>
            <w:tcBorders>
              <w:top w:val="nil"/>
              <w:left w:val="nil"/>
              <w:bottom w:val="nil"/>
              <w:right w:val="nil"/>
            </w:tcBorders>
            <w:shd w:val="clear"/>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557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5596969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GROVER-large</w:t>
            </w:r>
          </w:p>
        </w:tc>
        <w:tc>
          <w:tcPr>
            <w:tcW w:w="2130" w:type="dxa"/>
            <w:tcBorders>
              <w:top w:val="nil"/>
              <w:left w:val="nil"/>
              <w:bottom w:val="nil"/>
              <w:right w:val="nil"/>
            </w:tcBorders>
            <w:shd w:val="clear"/>
            <w:vAlign w:val="center"/>
          </w:tcPr>
          <w:p w14:paraId="58A03CB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A21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2A4AF4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center"/>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center"/>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rPr>
          <w:rFonts w:hint="eastAsia"/>
          <w:lang w:val="en-US" w:eastAsia="zh-CN"/>
        </w:rPr>
      </w:pPr>
      <w:r>
        <w:rPr>
          <w:rFonts w:hint="eastAsia"/>
          <w:lang w:val="en-US" w:eastAsia="zh-CN"/>
        </w:rPr>
        <w:t>消融实验</w:t>
      </w:r>
    </w:p>
    <w:p w14:paraId="45A0D2D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ascii="宋体" w:hAnsi="宋体" w:eastAsia="宋体" w:cs="宋体"/>
          <w:sz w:val="21"/>
          <w:szCs w:val="21"/>
        </w:rPr>
      </w:pPr>
      <w:r>
        <w:rPr>
          <w:rFonts w:ascii="宋体" w:hAnsi="宋体" w:eastAsia="宋体" w:cs="宋体"/>
          <w:sz w:val="21"/>
          <w:szCs w:val="21"/>
        </w:rP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5230495" cy="2108835"/>
            <wp:effectExtent l="0" t="0" r="12065" b="952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8"/>
                    <a:stretch>
                      <a:fillRect/>
                    </a:stretch>
                  </pic:blipFill>
                  <pic:spPr>
                    <a:xfrm>
                      <a:off x="0" y="0"/>
                      <a:ext cx="5230495" cy="2108835"/>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5240655" cy="3114675"/>
            <wp:effectExtent l="0" t="0" r="1905" b="952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9"/>
                    <a:stretch>
                      <a:fillRect/>
                    </a:stretch>
                  </pic:blipFill>
                  <pic:spPr>
                    <a:xfrm>
                      <a:off x="0" y="0"/>
                      <a:ext cx="5240655" cy="311467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448FBC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各个任务中各个模态的权重可视化如图所示（数据问题）</w:t>
      </w:r>
    </w:p>
    <w:p w14:paraId="2E79910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654040" cy="2684780"/>
            <wp:effectExtent l="0" t="0" r="0" b="12700"/>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10"/>
                    <a:stretch>
                      <a:fillRect/>
                    </a:stretch>
                  </pic:blipFill>
                  <pic:spPr>
                    <a:xfrm>
                      <a:off x="0" y="0"/>
                      <a:ext cx="5654040" cy="268478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基于思维树的药物分子性质预测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AD7746"/>
    <w:multiLevelType w:val="singleLevel"/>
    <w:tmpl w:val="81AD7746"/>
    <w:lvl w:ilvl="0" w:tentative="0">
      <w:start w:val="1"/>
      <w:numFmt w:val="decimal"/>
      <w:suff w:val="space"/>
      <w:lvlText w:val="%1."/>
      <w:lvlJc w:val="left"/>
    </w:lvl>
  </w:abstractNum>
  <w:abstractNum w:abstractNumId="1">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70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50B21"/>
    <w:rsid w:val="018502B5"/>
    <w:rsid w:val="05A849B2"/>
    <w:rsid w:val="064F49ED"/>
    <w:rsid w:val="06510766"/>
    <w:rsid w:val="071E0F8F"/>
    <w:rsid w:val="08155C5D"/>
    <w:rsid w:val="0BD64449"/>
    <w:rsid w:val="0C965756"/>
    <w:rsid w:val="0ED168E7"/>
    <w:rsid w:val="0F503503"/>
    <w:rsid w:val="0F7C2CF7"/>
    <w:rsid w:val="10D475A4"/>
    <w:rsid w:val="118A0FD0"/>
    <w:rsid w:val="120548F1"/>
    <w:rsid w:val="13741F37"/>
    <w:rsid w:val="13BE388E"/>
    <w:rsid w:val="14E37374"/>
    <w:rsid w:val="15CF1017"/>
    <w:rsid w:val="1666772B"/>
    <w:rsid w:val="16721235"/>
    <w:rsid w:val="16EE3830"/>
    <w:rsid w:val="1B593EEC"/>
    <w:rsid w:val="1C884062"/>
    <w:rsid w:val="1D37025D"/>
    <w:rsid w:val="1F5E18DF"/>
    <w:rsid w:val="1FCF02AE"/>
    <w:rsid w:val="20F01385"/>
    <w:rsid w:val="21423675"/>
    <w:rsid w:val="214E0CB3"/>
    <w:rsid w:val="220A5F40"/>
    <w:rsid w:val="222A07C5"/>
    <w:rsid w:val="22F9340A"/>
    <w:rsid w:val="23E876FD"/>
    <w:rsid w:val="25853B30"/>
    <w:rsid w:val="27866B9F"/>
    <w:rsid w:val="27E71EA9"/>
    <w:rsid w:val="289E73E3"/>
    <w:rsid w:val="29FA6504"/>
    <w:rsid w:val="2C536B29"/>
    <w:rsid w:val="2C5F332D"/>
    <w:rsid w:val="2C906D58"/>
    <w:rsid w:val="2CCD473A"/>
    <w:rsid w:val="2CFE5A0D"/>
    <w:rsid w:val="2DF45CF7"/>
    <w:rsid w:val="2E0F77BA"/>
    <w:rsid w:val="2FBA3380"/>
    <w:rsid w:val="2FBC06DB"/>
    <w:rsid w:val="2FFE2E5D"/>
    <w:rsid w:val="30586A11"/>
    <w:rsid w:val="32220E91"/>
    <w:rsid w:val="34B61F58"/>
    <w:rsid w:val="3575596F"/>
    <w:rsid w:val="36794FEB"/>
    <w:rsid w:val="36A75037"/>
    <w:rsid w:val="38F17A02"/>
    <w:rsid w:val="3963760F"/>
    <w:rsid w:val="39B30BBC"/>
    <w:rsid w:val="3BA7755B"/>
    <w:rsid w:val="3D2B25F8"/>
    <w:rsid w:val="3D6119C4"/>
    <w:rsid w:val="3E047E0A"/>
    <w:rsid w:val="3E4800C5"/>
    <w:rsid w:val="3F0F0BE2"/>
    <w:rsid w:val="40BB2DD0"/>
    <w:rsid w:val="41F12821"/>
    <w:rsid w:val="42694565"/>
    <w:rsid w:val="431F0E8B"/>
    <w:rsid w:val="44444E8A"/>
    <w:rsid w:val="44E80FE1"/>
    <w:rsid w:val="45CB21F7"/>
    <w:rsid w:val="482F17FF"/>
    <w:rsid w:val="48A77906"/>
    <w:rsid w:val="490E6F34"/>
    <w:rsid w:val="49217DF9"/>
    <w:rsid w:val="494D47E1"/>
    <w:rsid w:val="4C4507B6"/>
    <w:rsid w:val="4D8B14D9"/>
    <w:rsid w:val="4FA30A16"/>
    <w:rsid w:val="525C3CE7"/>
    <w:rsid w:val="528E3D51"/>
    <w:rsid w:val="55B44A7B"/>
    <w:rsid w:val="5B305D11"/>
    <w:rsid w:val="5B4F731A"/>
    <w:rsid w:val="5F573763"/>
    <w:rsid w:val="5FC01AAC"/>
    <w:rsid w:val="61D513C0"/>
    <w:rsid w:val="621C33F7"/>
    <w:rsid w:val="637C5F97"/>
    <w:rsid w:val="69F97043"/>
    <w:rsid w:val="6A2373A8"/>
    <w:rsid w:val="6CCA3A1C"/>
    <w:rsid w:val="6E577D47"/>
    <w:rsid w:val="6F170AB2"/>
    <w:rsid w:val="6F9562E9"/>
    <w:rsid w:val="70756248"/>
    <w:rsid w:val="709B2013"/>
    <w:rsid w:val="70AF4C91"/>
    <w:rsid w:val="71267542"/>
    <w:rsid w:val="723D2D95"/>
    <w:rsid w:val="7248226E"/>
    <w:rsid w:val="72783DCD"/>
    <w:rsid w:val="75A803EA"/>
    <w:rsid w:val="771B020D"/>
    <w:rsid w:val="78407BB7"/>
    <w:rsid w:val="79A47B9E"/>
    <w:rsid w:val="7A220727"/>
    <w:rsid w:val="7B1F572E"/>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0"/>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1"/>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50" w:hanging="850"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Times New Roman" w:hAnsi="Times New Roman" w:eastAsia="宋体" w:cs="Times New Roman"/>
      <w:bCs/>
      <w:color w:val="1C1F23"/>
      <w:kern w:val="44"/>
      <w:sz w:val="36"/>
      <w:szCs w:val="24"/>
    </w:rPr>
  </w:style>
  <w:style w:type="character" w:customStyle="1" w:styleId="21">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6888</Words>
  <Characters>8552</Characters>
  <Lines>0</Lines>
  <Paragraphs>0</Paragraphs>
  <TotalTime>131</TotalTime>
  <ScaleCrop>false</ScaleCrop>
  <LinksUpToDate>false</LinksUpToDate>
  <CharactersWithSpaces>8674</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2026-02-02T15:59:39Z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