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eastAsia"/>
          <w:lang w:val="en-US" w:eastAsia="zh-CN"/>
        </w:rPr>
      </w:pPr>
      <w:r>
        <w:rPr>
          <w:rFonts w:hint="eastAsia"/>
          <w:lang w:val="en-US" w:eastAsia="zh-CN"/>
        </w:rPr>
        <w:t>基于知识增强以图为中心的分子性质预测方法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3.2.1 多模态总体框架</w:t>
      </w:r>
    </w:p>
    <w:p w14:paraId="2047E93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36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36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36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36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36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36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36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36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36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36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360" w:lineRule="auto"/>
        <w:textAlignment w:val="auto"/>
      </w:pPr>
      <w:r>
        <w:t>该融合方式使模型能够根据具体分子样本，动态调整不同模态的贡献，从而提升表示的表达能力与灵活性。</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0000FF"/>
          <w:lang w:val="en-US" w:eastAsia="zh-CN"/>
        </w:rPr>
      </w:pPr>
      <w:r>
        <w:rPr>
          <w:rFonts w:hint="default"/>
          <w:color w:val="0000FF"/>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0000FF"/>
          <w:lang w:val="en-US" w:eastAsia="zh-CN"/>
        </w:rPr>
        <w:t>文本对</w:t>
      </w:r>
      <w:r>
        <w:rPr>
          <w:rFonts w:hint="default"/>
          <w:color w:val="0000FF"/>
          <w:lang w:val="en-US" w:eastAsia="zh-CN"/>
        </w:rPr>
        <w:t>数据集，用于多模态预训练。具体构建流程如下：</w:t>
      </w:r>
    </w:p>
    <w:p w14:paraId="45EFDFC6">
      <w:pPr>
        <w:bidi w:val="0"/>
        <w:rPr>
          <w:rFonts w:hint="default"/>
          <w:color w:val="0000FF"/>
          <w:lang w:val="en-US" w:eastAsia="zh-CN"/>
        </w:rPr>
      </w:pPr>
      <w:r>
        <w:rPr>
          <w:rFonts w:hint="default"/>
          <w:color w:val="0000FF"/>
          <w:lang w:val="en-US" w:eastAsia="zh-CN"/>
        </w:rPr>
        <w:t>1.分子结构获取与标准化</w:t>
      </w:r>
      <w:r>
        <w:rPr>
          <w:rFonts w:hint="eastAsia"/>
          <w:color w:val="0000FF"/>
          <w:lang w:val="en-US" w:eastAsia="zh-CN"/>
        </w:rPr>
        <w:t>：</w:t>
      </w:r>
      <w:r>
        <w:rPr>
          <w:rFonts w:hint="default"/>
          <w:color w:val="0000FF"/>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0000FF"/>
          <w:lang w:val="en-US" w:eastAsia="zh-CN"/>
        </w:rPr>
        <w:t>等</w:t>
      </w:r>
      <w:r>
        <w:rPr>
          <w:rFonts w:hint="default"/>
          <w:color w:val="0000FF"/>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0000FF"/>
          <w:lang w:val="en-US" w:eastAsia="zh-CN"/>
        </w:rPr>
      </w:pPr>
      <w:r>
        <w:rPr>
          <w:rFonts w:hint="default"/>
          <w:color w:val="0000FF"/>
          <w:lang w:val="en-US" w:eastAsia="zh-CN"/>
        </w:rPr>
        <w:t>2.基于API的专家知识检索</w:t>
      </w:r>
      <w:r>
        <w:rPr>
          <w:rFonts w:hint="eastAsia"/>
          <w:color w:val="0000FF"/>
          <w:lang w:val="en-US" w:eastAsia="zh-CN"/>
        </w:rPr>
        <w:t>：</w:t>
      </w:r>
      <w:r>
        <w:rPr>
          <w:rFonts w:hint="default"/>
          <w:color w:val="0000FF"/>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0000FF"/>
          <w:lang w:val="en-US" w:eastAsia="zh-CN"/>
        </w:rPr>
      </w:pPr>
      <w:r>
        <w:rPr>
          <w:rFonts w:hint="default"/>
          <w:color w:val="0000FF"/>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0000FF"/>
          <w:lang w:val="en-US" w:eastAsia="zh-CN"/>
        </w:rPr>
      </w:pPr>
      <w:r>
        <w:rPr>
          <w:rFonts w:hint="default"/>
          <w:color w:val="0000FF"/>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0000FF"/>
          <w:lang w:val="en-US" w:eastAsia="zh-CN"/>
        </w:rPr>
      </w:pPr>
      <w:r>
        <w:rPr>
          <w:rFonts w:hint="default"/>
          <w:color w:val="0000FF"/>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0000FF"/>
          <w:lang w:val="en-US" w:eastAsia="zh-CN"/>
        </w:rPr>
        <w:t>上述“长尾分布”现象证明，仅依赖原始检索文本难以构建高质量的对齐空间，必须</w:t>
      </w:r>
      <w:r>
        <w:rPr>
          <w:rFonts w:hint="eastAsia"/>
          <w:color w:val="0000FF"/>
          <w:lang w:val="en-US" w:eastAsia="zh-CN"/>
        </w:rPr>
        <w:t>进一步</w:t>
      </w:r>
      <w:r>
        <w:rPr>
          <w:rFonts w:hint="default"/>
          <w:color w:val="0000FF"/>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left w:w="108"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bookmarkStart w:id="0" w:name="_GoBack"/>
            <w:bookmarkEnd w:id="0"/>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vertAlign w:val="baseline"/>
                <w:lang w:val="en-US" w:eastAsia="zh-CN"/>
              </w:rPr>
            </w:pPr>
            <w:r>
              <w:rPr>
                <w:rFonts w:hint="default" w:ascii="Times New Roman" w:hAnsi="Times New Roman" w:eastAsia="宋体" w:cs="Times New Roman"/>
                <w:sz w:val="24"/>
                <w:szCs w:val="24"/>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40402310">
      <w:pPr>
        <w:widowControl w:val="0"/>
        <w:bidi w:val="0"/>
        <w:spacing w:line="360" w:lineRule="auto"/>
        <w:jc w:val="both"/>
        <w:rPr>
          <w:rFonts w:hint="default" w:ascii="Times New Roman" w:hAnsi="Times New Roman" w:eastAsia="宋体" w:cs="Times New Roman"/>
          <w:kern w:val="2"/>
          <w:sz w:val="21"/>
          <w:szCs w:val="24"/>
          <w:lang w:val="en-US" w:eastAsia="zh-CN" w:bidi="ar-SA"/>
        </w:rPr>
      </w:pPr>
      <w:r>
        <w:rPr>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0DCC8066">
      <w:pPr>
        <w:widowControl w:val="0"/>
        <w:bidi w:val="0"/>
        <w:spacing w:line="360" w:lineRule="auto"/>
        <w:jc w:val="both"/>
        <w:rPr>
          <w:rFonts w:hint="default" w:ascii="Times New Roman" w:hAnsi="Times New Roman" w:eastAsia="宋体" w:cs="Times New Roman"/>
          <w:kern w:val="2"/>
          <w:sz w:val="21"/>
          <w:szCs w:val="24"/>
          <w:lang w:val="en-US" w:eastAsia="zh-CN" w:bidi="ar-SA"/>
        </w:rPr>
      </w:pPr>
      <w:r>
        <w:rPr>
          <w:kern w:val="2"/>
          <w:sz w:val="21"/>
          <w:szCs w:val="24"/>
          <w:lang w:val="en-US" w:eastAsia="zh-CN" w:bidi="ar-SA"/>
        </w:rPr>
        <w:t>上下文注入（Context Injection）：将检索到的原始文本（Raw Text）与计算所得的理化性质列表（Property List）作为两个独立的上下文块输入，强制模型在重写时必须参考这两部分信息。</w:t>
      </w:r>
    </w:p>
    <w:p w14:paraId="489B052B">
      <w:pPr>
        <w:widowControl w:val="0"/>
        <w:bidi w:val="0"/>
        <w:spacing w:line="360" w:lineRule="auto"/>
        <w:jc w:val="both"/>
        <w:rPr>
          <w:rFonts w:hint="default" w:ascii="Times New Roman" w:hAnsi="Times New Roman" w:eastAsia="宋体" w:cs="Times New Roman"/>
          <w:kern w:val="2"/>
          <w:sz w:val="21"/>
          <w:szCs w:val="24"/>
          <w:lang w:val="en-US" w:eastAsia="zh-CN" w:bidi="ar-SA"/>
        </w:rPr>
      </w:pPr>
      <w:r>
        <w:rPr>
          <w:kern w:val="2"/>
          <w:sz w:val="21"/>
          <w:szCs w:val="24"/>
          <w:lang w:val="en-US" w:eastAsia="zh-CN" w:bidi="ar-SA"/>
        </w:rPr>
        <w:t>负面约束（Negative Constraints）：显式列出需要过滤的噪声类型（如专利号、历史轶事、商业名称），防止模型产生“幻觉”或保留冗余信息。</w:t>
      </w:r>
    </w:p>
    <w:p w14:paraId="7D5AE696">
      <w:pPr>
        <w:widowControl w:val="0"/>
        <w:bidi w:val="0"/>
        <w:spacing w:line="360" w:lineRule="auto"/>
        <w:ind w:left="0" w:leftChars="0" w:firstLine="420" w:firstLineChars="200"/>
        <w:jc w:val="both"/>
        <w:rPr>
          <w:rFonts w:hint="default" w:ascii="Times New Roman" w:hAnsi="Times New Roman" w:eastAsia="宋体" w:cs="Times New Roman"/>
          <w:kern w:val="2"/>
          <w:sz w:val="21"/>
          <w:szCs w:val="24"/>
          <w:lang w:val="en-US" w:eastAsia="zh-CN" w:bidi="ar-SA"/>
        </w:rPr>
      </w:pPr>
    </w:p>
    <w:p w14:paraId="7211F6AE">
      <w:pPr>
        <w:bidi w:val="0"/>
        <w:rPr>
          <w:rFonts w:hint="default"/>
          <w:lang w:val="en-US" w:eastAsia="zh-CN"/>
        </w:rPr>
      </w:pPr>
    </w:p>
    <w:p w14:paraId="054C94E1">
      <w:pPr>
        <w:bidi w:val="0"/>
        <w:rPr>
          <w:rFonts w:hint="default"/>
          <w:lang w:val="en-US" w:eastAsia="zh-CN"/>
        </w:rPr>
      </w:pPr>
      <w:r>
        <w:rPr>
          <w:rFonts w:hint="default"/>
          <w:lang w:val="en-US" w:eastAsia="zh-CN"/>
        </w:rPr>
        <w:t>通过上述流程，本文成功构建了一个包含约22万个高质量分子—文本对的预训练数据集，为后续的多模态对比学习提供了坚实的数据基础。</w:t>
      </w:r>
    </w:p>
    <w:p w14:paraId="5322A33A">
      <w:pPr>
        <w:bidi w:val="0"/>
        <w:rPr>
          <w:rFonts w:hint="default"/>
          <w:lang w:val="en-US" w:eastAsia="zh-CN"/>
        </w:rPr>
      </w:pPr>
    </w:p>
    <w:p w14:paraId="03163B31">
      <w:pPr>
        <w:pStyle w:val="4"/>
        <w:bidi w:val="0"/>
        <w:rPr>
          <w:rFonts w:hint="default"/>
          <w:lang w:val="en-US" w:eastAsia="zh-CN"/>
        </w:rPr>
      </w:pPr>
      <w:r>
        <w:rPr>
          <w:rFonts w:hint="eastAsia"/>
          <w:lang w:val="en-US" w:eastAsia="zh-CN"/>
        </w:rPr>
        <w:t>下游数据集介绍</w:t>
      </w:r>
    </w:p>
    <w:p w14:paraId="40A8DD1F">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44B84D2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48BCB27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5539BF6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24B708B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5C500E9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3802B21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《交叉熵损失函数》</w:t>
      </w:r>
    </w:p>
    <w:p w14:paraId="5C339A68">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其中。。。。《介绍交叉熵损失函数的》</w:t>
      </w:r>
    </w:p>
    <w:p w14:paraId="041956B5">
      <w:pPr>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pageBreakBefore w:val="0"/>
        <w:numPr>
          <w:ilvl w:val="0"/>
          <w:numId w:val="4"/>
        </w:numPr>
        <w:kinsoku/>
        <w:wordWrap/>
        <w:overflowPunct/>
        <w:topLinePunct w:val="0"/>
        <w:autoSpaceDE/>
        <w:autoSpaceDN/>
        <w:bidi w:val="0"/>
        <w:adjustRightInd/>
        <w:spacing w:beforeAutospacing="0" w:afterAutospacing="0" w:line="360" w:lineRule="auto"/>
        <w:textAlignment w:val="auto"/>
      </w:pPr>
      <w:r>
        <w:t>多正样本问题：在多模态条件下，同一分子样本在不同模态下均构成正样本对，一对一的 NT-Xent 形式无法自然建模这种多对齐关系。</w:t>
      </w:r>
    </w:p>
    <w:p w14:paraId="6600F358">
      <w:pPr>
        <w:pageBreakBefore w:val="0"/>
        <w:numPr>
          <w:ilvl w:val="0"/>
          <w:numId w:val="4"/>
        </w:numPr>
        <w:kinsoku/>
        <w:wordWrap/>
        <w:overflowPunct/>
        <w:topLinePunct w:val="0"/>
        <w:autoSpaceDE/>
        <w:autoSpaceDN/>
        <w:bidi w:val="0"/>
        <w:adjustRightInd/>
        <w:spacing w:beforeAutospacing="0" w:afterAutospacing="0" w:line="360" w:lineRule="auto"/>
        <w:ind w:left="0" w:leftChars="0" w:firstLine="420" w:firstLineChars="200"/>
        <w:textAlignment w:val="auto"/>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pageBreakBefore w:val="0"/>
        <w:numPr>
          <w:ilvl w:val="0"/>
          <w:numId w:val="0"/>
        </w:numPr>
        <w:kinsoku/>
        <w:wordWrap/>
        <w:overflowPunct/>
        <w:topLinePunct w:val="0"/>
        <w:autoSpaceDE/>
        <w:autoSpaceDN/>
        <w:bidi w:val="0"/>
        <w:adjustRightInd/>
        <w:spacing w:beforeAutospacing="0" w:afterAutospacing="0" w:line="360" w:lineRule="auto"/>
        <w:textAlignment w:val="auto"/>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7D455D6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4F115F04">
      <w:pPr>
        <w:pStyle w:val="4"/>
        <w:bidi w:val="0"/>
        <w:rPr>
          <w:rFonts w:hint="default"/>
          <w:lang w:val="en-US" w:eastAsia="zh-CN"/>
        </w:rPr>
      </w:pPr>
      <w:r>
        <w:rPr>
          <w:rFonts w:hint="eastAsia"/>
          <w:lang w:val="en-US" w:eastAsia="zh-CN"/>
        </w:rPr>
        <w:t>对比模型</w:t>
      </w:r>
    </w:p>
    <w:p w14:paraId="2CFA5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22EC42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0E291D7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7733EA5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04EFD87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 是一种基于 Transformer 架构的分子表示学习方法，将 SMILES 字符串视为文本序列输入，通过自监督预训练任务（如掩码语言模型）学习分子的上下文语义表示，进而用于分子性质预测等下游任务。</w:t>
      </w:r>
    </w:p>
    <w:p w14:paraId="2F3AFC2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7948BAC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730687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D6778A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E54C5E" w:themeColor="accent6"/>
                <w:vertAlign w:val="baseline"/>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w:t>
            </w:r>
          </w:p>
        </w:tc>
        <w:tc>
          <w:tcPr>
            <w:tcW w:w="1021" w:type="dxa"/>
            <w:tcBorders>
              <w:top w:val="nil"/>
              <w:left w:val="nil"/>
              <w:bottom w:val="nil"/>
              <w:right w:val="nil"/>
            </w:tcBorders>
            <w:shd w:val="clear" w:color="auto" w:fill="auto"/>
            <w:vAlign w:val="bottom"/>
          </w:tcPr>
          <w:p w14:paraId="371AA4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E54C5E" w:themeColor="accent6"/>
                <w:kern w:val="2"/>
                <w:sz w:val="21"/>
                <w:szCs w:val="24"/>
                <w:vertAlign w:val="baseline"/>
                <w:lang w:val="en-US" w:eastAsia="zh-CN" w:bidi="ar-SA"/>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0.849</w:t>
            </w:r>
          </w:p>
        </w:tc>
        <w:tc>
          <w:tcPr>
            <w:tcW w:w="886" w:type="dxa"/>
            <w:tcBorders>
              <w:top w:val="nil"/>
              <w:left w:val="nil"/>
              <w:bottom w:val="nil"/>
              <w:right w:val="nil"/>
            </w:tcBorders>
            <w:vAlign w:val="bottom"/>
          </w:tcPr>
          <w:p w14:paraId="3345D3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0.959</w:t>
            </w:r>
          </w:p>
        </w:tc>
        <w:tc>
          <w:tcPr>
            <w:tcW w:w="1062" w:type="dxa"/>
            <w:tcBorders>
              <w:top w:val="nil"/>
              <w:left w:val="nil"/>
              <w:bottom w:val="nil"/>
              <w:right w:val="nil"/>
            </w:tcBorders>
            <w:vAlign w:val="bottom"/>
          </w:tcPr>
          <w:p w14:paraId="45D0344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0.985</w:t>
            </w:r>
          </w:p>
        </w:tc>
        <w:tc>
          <w:tcPr>
            <w:tcW w:w="883" w:type="dxa"/>
            <w:tcBorders>
              <w:top w:val="nil"/>
              <w:left w:val="nil"/>
              <w:bottom w:val="nil"/>
              <w:right w:val="nil"/>
            </w:tcBorders>
            <w:vAlign w:val="bottom"/>
          </w:tcPr>
          <w:p w14:paraId="1A9A1D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0.803</w:t>
            </w:r>
          </w:p>
        </w:tc>
        <w:tc>
          <w:tcPr>
            <w:tcW w:w="1073" w:type="dxa"/>
            <w:tcBorders>
              <w:top w:val="nil"/>
              <w:left w:val="nil"/>
              <w:bottom w:val="nil"/>
              <w:right w:val="nil"/>
            </w:tcBorders>
            <w:vAlign w:val="bottom"/>
          </w:tcPr>
          <w:p w14:paraId="583C64C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0.655</w:t>
            </w:r>
          </w:p>
        </w:tc>
        <w:tc>
          <w:tcPr>
            <w:tcW w:w="969" w:type="dxa"/>
            <w:tcBorders>
              <w:top w:val="nil"/>
              <w:left w:val="nil"/>
              <w:bottom w:val="nil"/>
              <w:right w:val="nil"/>
            </w:tcBorders>
            <w:vAlign w:val="bottom"/>
          </w:tcPr>
          <w:p w14:paraId="2895397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E54C5E" w:themeColor="accent6"/>
                <w:vertAlign w:val="baseline"/>
                <w:lang w:val="en-US" w:eastAsia="zh-CN"/>
                <w14:textFill>
                  <w14:solidFill>
                    <w14:schemeClr w14:val="accent6"/>
                  </w14:solidFill>
                </w14:textFill>
              </w:rPr>
            </w:pPr>
            <w:r>
              <w:rPr>
                <w:rFonts w:hint="eastAsia"/>
                <w:color w:val="E54C5E" w:themeColor="accent6"/>
                <w:vertAlign w:val="baseline"/>
                <w:lang w:val="en-US" w:eastAsia="zh-CN"/>
                <w14:textFill>
                  <w14:solidFill>
                    <w14:schemeClr w14:val="accent6"/>
                  </w14:solidFill>
                </w14:textFill>
              </w:rPr>
              <w:t>0.568</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06E22B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trPr>
        <w:tc>
          <w:tcPr>
            <w:tcW w:w="1844" w:type="dxa"/>
            <w:tcBorders>
              <w:top w:val="nil"/>
              <w:left w:val="nil"/>
              <w:bottom w:val="nil"/>
              <w:right w:val="nil"/>
            </w:tcBorders>
            <w:vAlign w:val="bottom"/>
          </w:tcPr>
          <w:p w14:paraId="2F3864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1021" w:type="dxa"/>
            <w:tcBorders>
              <w:top w:val="nil"/>
              <w:left w:val="nil"/>
              <w:bottom w:val="nil"/>
              <w:right w:val="nil"/>
            </w:tcBorders>
            <w:shd w:val="clear" w:color="auto" w:fill="auto"/>
            <w:vAlign w:val="bottom"/>
          </w:tcPr>
          <w:p w14:paraId="5380A62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0.826</w:t>
            </w:r>
          </w:p>
        </w:tc>
        <w:tc>
          <w:tcPr>
            <w:tcW w:w="886" w:type="dxa"/>
            <w:tcBorders>
              <w:top w:val="nil"/>
              <w:left w:val="nil"/>
              <w:bottom w:val="nil"/>
              <w:right w:val="nil"/>
            </w:tcBorders>
            <w:vAlign w:val="bottom"/>
          </w:tcPr>
          <w:p w14:paraId="26EA61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0.702</w:t>
            </w:r>
          </w:p>
        </w:tc>
        <w:tc>
          <w:tcPr>
            <w:tcW w:w="1062" w:type="dxa"/>
            <w:tcBorders>
              <w:top w:val="nil"/>
              <w:left w:val="nil"/>
              <w:bottom w:val="nil"/>
              <w:right w:val="nil"/>
            </w:tcBorders>
            <w:vAlign w:val="bottom"/>
          </w:tcPr>
          <w:p w14:paraId="69751F7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0.743</w:t>
            </w:r>
          </w:p>
        </w:tc>
        <w:tc>
          <w:tcPr>
            <w:tcW w:w="883" w:type="dxa"/>
            <w:tcBorders>
              <w:top w:val="nil"/>
              <w:left w:val="nil"/>
              <w:bottom w:val="nil"/>
              <w:right w:val="nil"/>
            </w:tcBorders>
            <w:vAlign w:val="bottom"/>
          </w:tcPr>
          <w:p w14:paraId="0B907F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0.654</w:t>
            </w:r>
          </w:p>
        </w:tc>
        <w:tc>
          <w:tcPr>
            <w:tcW w:w="1073" w:type="dxa"/>
            <w:tcBorders>
              <w:top w:val="nil"/>
              <w:left w:val="nil"/>
              <w:bottom w:val="nil"/>
              <w:right w:val="nil"/>
            </w:tcBorders>
            <w:vAlign w:val="bottom"/>
          </w:tcPr>
          <w:p w14:paraId="5680EE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0.654</w:t>
            </w:r>
          </w:p>
        </w:tc>
        <w:tc>
          <w:tcPr>
            <w:tcW w:w="969" w:type="dxa"/>
            <w:tcBorders>
              <w:top w:val="nil"/>
              <w:left w:val="nil"/>
              <w:bottom w:val="nil"/>
              <w:right w:val="nil"/>
            </w:tcBorders>
            <w:vAlign w:val="bottom"/>
          </w:tcPr>
          <w:p w14:paraId="37AC3F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0.648</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0.941</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0.852</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0.673</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1.02</w:t>
            </w:r>
          </w:p>
        </w:tc>
        <w:tc>
          <w:tcPr>
            <w:tcW w:w="2131" w:type="dxa"/>
            <w:tcBorders>
              <w:top w:val="single" w:color="auto" w:sz="8" w:space="0"/>
              <w:left w:val="nil"/>
              <w:bottom w:val="nil"/>
              <w:right w:val="nil"/>
            </w:tcBorders>
            <w:shd w:val="clear"/>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single" w:color="auto" w:sz="8" w:space="0"/>
              <w:left w:val="nil"/>
              <w:bottom w:val="nil"/>
              <w:right w:val="nil"/>
            </w:tcBorders>
            <w:shd w:val="clear"/>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default"/>
                <w:color w:val="E54C5E" w:themeColor="accent6"/>
                <w:lang w:val="en-US" w:eastAsia="zh-CN"/>
                <w14:textFill>
                  <w14:solidFill>
                    <w14:schemeClr w14:val="accent6"/>
                  </w14:solidFill>
                </w14:textFill>
              </w:rPr>
              <w:t>SMILES-BERT</w:t>
            </w:r>
          </w:p>
        </w:tc>
        <w:tc>
          <w:tcPr>
            <w:tcW w:w="2130" w:type="dxa"/>
            <w:tcBorders>
              <w:top w:val="nil"/>
              <w:left w:val="nil"/>
              <w:bottom w:val="nil"/>
              <w:right w:val="nil"/>
            </w:tcBorders>
            <w:shd w:val="clear"/>
            <w:vAlign w:val="center"/>
          </w:tcPr>
          <w:p w14:paraId="5886C4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5D75DB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AD3D3E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2130" w:type="dxa"/>
            <w:tcBorders>
              <w:top w:val="nil"/>
              <w:left w:val="nil"/>
              <w:bottom w:val="nil"/>
              <w:right w:val="nil"/>
            </w:tcBorders>
            <w:shd w:val="clear"/>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2130" w:type="dxa"/>
            <w:tcBorders>
              <w:top w:val="nil"/>
              <w:left w:val="nil"/>
              <w:bottom w:val="nil"/>
              <w:right w:val="nil"/>
            </w:tcBorders>
            <w:shd w:val="clear"/>
            <w:vAlign w:val="center"/>
          </w:tcPr>
          <w:p w14:paraId="58A03CB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A21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2A4AF4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5230495" cy="2108835"/>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10"/>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基于思维树的药物分子性质预测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5A849B2"/>
    <w:rsid w:val="064F49ED"/>
    <w:rsid w:val="06510766"/>
    <w:rsid w:val="071E0F8F"/>
    <w:rsid w:val="08155C5D"/>
    <w:rsid w:val="08CE2541"/>
    <w:rsid w:val="0BD64449"/>
    <w:rsid w:val="0C965756"/>
    <w:rsid w:val="0ED168E7"/>
    <w:rsid w:val="0F503503"/>
    <w:rsid w:val="0F7C2CF7"/>
    <w:rsid w:val="10D475A4"/>
    <w:rsid w:val="118A0FD0"/>
    <w:rsid w:val="120548F1"/>
    <w:rsid w:val="13741F37"/>
    <w:rsid w:val="13BE388E"/>
    <w:rsid w:val="14E37374"/>
    <w:rsid w:val="15CF1017"/>
    <w:rsid w:val="1666772B"/>
    <w:rsid w:val="16721235"/>
    <w:rsid w:val="16EE3830"/>
    <w:rsid w:val="1B593EEC"/>
    <w:rsid w:val="1C884062"/>
    <w:rsid w:val="1D37025D"/>
    <w:rsid w:val="1F5E18DF"/>
    <w:rsid w:val="1FCF02AE"/>
    <w:rsid w:val="20F01385"/>
    <w:rsid w:val="21423675"/>
    <w:rsid w:val="214E0CB3"/>
    <w:rsid w:val="220A5F40"/>
    <w:rsid w:val="222A07C5"/>
    <w:rsid w:val="22F9340A"/>
    <w:rsid w:val="23E876FD"/>
    <w:rsid w:val="25853B30"/>
    <w:rsid w:val="27866B9F"/>
    <w:rsid w:val="27E71EA9"/>
    <w:rsid w:val="289E73E3"/>
    <w:rsid w:val="29FA6504"/>
    <w:rsid w:val="2C536B29"/>
    <w:rsid w:val="2C5F332D"/>
    <w:rsid w:val="2C906D58"/>
    <w:rsid w:val="2CCD473A"/>
    <w:rsid w:val="2CFE5A0D"/>
    <w:rsid w:val="2DF45CF7"/>
    <w:rsid w:val="2E0F77BA"/>
    <w:rsid w:val="2FBA3380"/>
    <w:rsid w:val="2FBC06DB"/>
    <w:rsid w:val="2FFE2E5D"/>
    <w:rsid w:val="30586A11"/>
    <w:rsid w:val="32220E91"/>
    <w:rsid w:val="34B61F58"/>
    <w:rsid w:val="3575596F"/>
    <w:rsid w:val="361433DA"/>
    <w:rsid w:val="36794FEB"/>
    <w:rsid w:val="36A75037"/>
    <w:rsid w:val="38F17A02"/>
    <w:rsid w:val="3963760F"/>
    <w:rsid w:val="39B30BBC"/>
    <w:rsid w:val="3BA7755B"/>
    <w:rsid w:val="3D2B25F8"/>
    <w:rsid w:val="3D6119C4"/>
    <w:rsid w:val="3E047E0A"/>
    <w:rsid w:val="3E4800C5"/>
    <w:rsid w:val="3F0F0BE2"/>
    <w:rsid w:val="40BB2DD0"/>
    <w:rsid w:val="41F12821"/>
    <w:rsid w:val="42694565"/>
    <w:rsid w:val="431F0E8B"/>
    <w:rsid w:val="436D237B"/>
    <w:rsid w:val="44444E8A"/>
    <w:rsid w:val="44E80FE1"/>
    <w:rsid w:val="45CB21F7"/>
    <w:rsid w:val="482F17FF"/>
    <w:rsid w:val="48A77906"/>
    <w:rsid w:val="490E6F34"/>
    <w:rsid w:val="49217DF9"/>
    <w:rsid w:val="494D47E1"/>
    <w:rsid w:val="4C4507B6"/>
    <w:rsid w:val="4D8B14D9"/>
    <w:rsid w:val="4F1813ED"/>
    <w:rsid w:val="4FA30A16"/>
    <w:rsid w:val="525C3CE7"/>
    <w:rsid w:val="528E3D51"/>
    <w:rsid w:val="55B44A7B"/>
    <w:rsid w:val="5B305D11"/>
    <w:rsid w:val="5B4F731A"/>
    <w:rsid w:val="5F573763"/>
    <w:rsid w:val="5FC01AAC"/>
    <w:rsid w:val="61D513C0"/>
    <w:rsid w:val="621C33F7"/>
    <w:rsid w:val="637C5F97"/>
    <w:rsid w:val="68464DC5"/>
    <w:rsid w:val="69F97043"/>
    <w:rsid w:val="6A2373A8"/>
    <w:rsid w:val="6CCA3A1C"/>
    <w:rsid w:val="6E577D47"/>
    <w:rsid w:val="6F170AB2"/>
    <w:rsid w:val="6F9562E9"/>
    <w:rsid w:val="70756248"/>
    <w:rsid w:val="709B2013"/>
    <w:rsid w:val="70AF4C91"/>
    <w:rsid w:val="71267542"/>
    <w:rsid w:val="723D2D95"/>
    <w:rsid w:val="7248226E"/>
    <w:rsid w:val="72783DCD"/>
    <w:rsid w:val="75A803EA"/>
    <w:rsid w:val="771B020D"/>
    <w:rsid w:val="78407BB7"/>
    <w:rsid w:val="79A47B9E"/>
    <w:rsid w:val="7A220727"/>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6888</Words>
  <Characters>8552</Characters>
  <Lines>0</Lines>
  <Paragraphs>0</Paragraphs>
  <TotalTime>36</TotalTime>
  <ScaleCrop>false</ScaleCrop>
  <LinksUpToDate>false</LinksUpToDate>
  <CharactersWithSpaces>8674</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2026-02-02T16:37:40Z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