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24B8D139">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A840ED7">
      <w:pPr>
        <w:pStyle w:val="2"/>
        <w:bidi w:val="0"/>
        <w:rPr>
          <w:rFonts w:hint="eastAsia"/>
          <w:lang w:val="en-US" w:eastAsia="zh-CN"/>
        </w:rPr>
      </w:pPr>
      <w:r>
        <w:rPr>
          <w:rFonts w:hint="eastAsia"/>
          <w:lang w:val="en-US" w:eastAsia="zh-CN"/>
        </w:rPr>
        <w:t>基于思维链增强与交叉依赖图融合的分子性质预测方法</w:t>
      </w:r>
    </w:p>
    <w:p w14:paraId="61B6AE7E">
      <w:pPr>
        <w:pStyle w:val="3"/>
        <w:bidi w:val="0"/>
        <w:rPr>
          <w:rFonts w:hint="default"/>
          <w:lang w:val="en-US" w:eastAsia="zh-CN"/>
        </w:rPr>
      </w:pPr>
      <w:r>
        <w:rPr>
          <w:rFonts w:hint="eastAsia"/>
          <w:lang w:val="en-US" w:eastAsia="zh-CN"/>
        </w:rPr>
        <w:t>模型设计与描述</w:t>
      </w:r>
    </w:p>
    <w:p w14:paraId="68DD33CA">
      <w:pPr>
        <w:pStyle w:val="4"/>
        <w:bidi w:val="0"/>
        <w:rPr>
          <w:rFonts w:hint="default"/>
          <w:lang w:val="en-US" w:eastAsia="zh-CN"/>
        </w:rPr>
      </w:pPr>
      <w:r>
        <w:rPr>
          <w:rFonts w:hint="eastAsia"/>
          <w:lang w:val="en-US" w:eastAsia="zh-CN"/>
        </w:rPr>
        <w:t>CoT-MMP架构概述</w:t>
      </w:r>
    </w:p>
    <w:p w14:paraId="54C2D49C">
      <w:pPr>
        <w:bidi w:val="0"/>
        <w:rPr>
          <w:rFonts w:hint="eastAsia"/>
          <w:lang w:val="en-US" w:eastAsia="zh-CN"/>
        </w:rPr>
      </w:pPr>
      <w:r>
        <w:rPr>
          <w:rFonts w:hint="eastAsia"/>
          <w:lang w:val="en-US" w:eastAsia="zh-CN"/>
        </w:rPr>
        <w:t>针对 ADMET（吸收、分布、代谢、排泄、毒性）分子性质预测任务中存在的结构特征与语义逻辑难以对齐的挑战，本章提出了一种全新的端到端预测框架——基于思维链增强与通信式图交互的分子性质预测模型（Chain-of-Thought enabled Communicative Message Passing framework, CoT-CMP）。该框架的核心设计理念在于“双塔互补”：一方面利用大语言模型显式的逻辑推理能力来弥补传统“黑盒”模型的不可解释性；另一方面利用改进的通信式图神经网络来捕捉分子内部深层的原子-键动态交互。</w:t>
      </w:r>
    </w:p>
    <w:p w14:paraId="462D831A">
      <w:pPr>
        <w:bidi w:val="0"/>
        <w:rPr>
          <w:rFonts w:hint="eastAsia"/>
          <w:lang w:val="en-US" w:eastAsia="zh-CN"/>
        </w:rPr>
      </w:pPr>
      <w:r>
        <w:rPr>
          <w:rFonts w:hint="eastAsia"/>
          <w:lang w:val="en-US" w:eastAsia="zh-CN"/>
        </w:rPr>
        <w:t>具体而言，采用具有针对性的下游任务直接微调策略，以适应 ADMET 数据集样本量少但领域特异性极强的特点。如图 3-1 所示，模型的整体拓扑结构由三条核心处理链路耦合而成：首先是基于思维链的大语言模型文本编码链路，该模块利用 LLaMA-3.1-8B 强大的广义知识库与逻辑推理能力，通过提示词工程将分子的 SMILES 序列转化为蕴含丰富药理规则的显式推理文本，并通过低秩自适应（LoRA）技术高效提取高维语义特征。</w:t>
      </w:r>
    </w:p>
    <w:p w14:paraId="36AF15AE">
      <w:pPr>
        <w:bidi w:val="0"/>
        <w:rPr>
          <w:rFonts w:hint="eastAsia"/>
          <w:lang w:val="en-US" w:eastAsia="zh-CN"/>
        </w:rPr>
      </w:pPr>
      <w:r>
        <w:rPr>
          <w:rFonts w:hint="eastAsia"/>
          <w:lang w:val="en-US" w:eastAsia="zh-CN"/>
        </w:rPr>
        <w:t>其次是交互式图编码链路，该模块引入了先进的 CMPNN (Communicative Message Passing Neural Network) 架构。为了突破传统图神经网络（如 MPNN）中存在的信息回流问题以及忽视化学键独立语义的局限，CMPNN 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4195FE81">
      <w:pPr>
        <w:bidi w:val="0"/>
        <w:rPr>
          <w:rFonts w:hint="eastAsia"/>
          <w:lang w:val="en-US" w:eastAsia="zh-CN"/>
        </w:rPr>
      </w:pPr>
      <w:r>
        <w:rPr>
          <w:rFonts w:hint="eastAsia"/>
          <w:lang w:val="en-US" w:eastAsia="zh-CN"/>
        </w:rPr>
        <w:t>最后是多模态交叉注意力融合链路，该模块以结构信息更为稳定的图表征作为查询锚点（Anchor），通过交叉注意力机制动态聚合文本推理特征，最终通过多层感知机实现对分子 ADMET 性质的高精度预测。这种设计不仅赋予了模型强大的预测能力，更通过思维链的生成与关键子结构的交互，显著提升了模型决策过程的可解释性。</w:t>
      </w:r>
    </w:p>
    <w:p w14:paraId="0057F760">
      <w:pPr>
        <w:pStyle w:val="4"/>
        <w:bidi w:val="0"/>
        <w:rPr>
          <w:rFonts w:hint="default"/>
          <w:lang w:val="en-US" w:eastAsia="zh-CN"/>
        </w:rPr>
      </w:pPr>
      <w:r>
        <w:rPr>
          <w:rFonts w:ascii="宋体" w:hAnsi="宋体" w:eastAsia="宋体" w:cs="宋体"/>
          <w:sz w:val="24"/>
          <w:szCs w:val="24"/>
        </w:rPr>
        <w:t>基于思维链的大模型文本编码器</w:t>
      </w:r>
    </w:p>
    <w:p w14:paraId="34A126C5">
      <w:pPr>
        <w:rPr>
          <w:rFonts w:hint="default"/>
          <w:lang w:val="en-US" w:eastAsia="zh-CN"/>
        </w:rPr>
      </w:pPr>
      <w:r>
        <w:rPr>
          <w:rFonts w:hint="default"/>
          <w:lang w:val="en-US" w:eastAsia="zh-CN"/>
        </w:rPr>
        <w:t>在药物分子性质预测中，传统的文本编码方式往往仅将 SMILES 字符串视为无语义的符号序列，难以挖掘其中隐含的构效关系逻辑。为了解决这一问题，本研究引入了思维链（Chain-of-Thought, CoT）技术，旨在模拟药物化学家在分析分子时的逐步推理过程</w:t>
      </w:r>
      <w:r>
        <w:rPr>
          <w:rFonts w:hint="eastAsia"/>
          <w:lang w:val="en-US" w:eastAsia="zh-CN"/>
        </w:rPr>
        <w:t>，以便能够让模型输出更加合理的可解释性的推理结果</w:t>
      </w:r>
      <w:r>
        <w:rPr>
          <w:rFonts w:hint="default"/>
          <w:lang w:val="en-US" w:eastAsia="zh-CN"/>
        </w:rPr>
        <w:t>。文本编码器的首要任务是构建高质量的提示词工程。我们不再直接要求模型输出预测结果，而是设计了一种包含“分子描述+任务指令+推理引导”的复合提示模板。具体来说，输入的 SMILES 序列首先被转化为自然语言描述，并结合“Let's think step by step”的引导指令输入至大语言模型中。这一过程能够激发大模型内部潜藏的化学知识，使其自发地从分子量、氢键供受体数量、旋转键数等理化性质出发，逐步推导其对特定 ADMET 性质（如血脑屏障通透性或心脏毒性）的影响，最终生成一段逻辑严密的推理文本 。</w:t>
      </w:r>
    </w:p>
    <w:p w14:paraId="3A6746EA">
      <w:pPr>
        <w:rPr>
          <w:rFonts w:hint="default"/>
          <w:lang w:val="en-US" w:eastAsia="zh-CN"/>
        </w:rPr>
      </w:pPr>
      <w:r>
        <w:rPr>
          <w:rFonts w:hint="default"/>
          <w:lang w:val="en-US" w:eastAsia="zh-CN"/>
        </w:rPr>
        <w:t>在模型选择上，本研究选用了具有 80 亿参数的 LLaMA-3.1 模型作为文本编码的主干网络。鉴于全参数微调大模型对计算资源的需求极高且容易在小样本的 ADMET 数据集上发生过拟合，</w:t>
      </w:r>
      <w:r>
        <w:rPr>
          <w:rFonts w:hint="eastAsia"/>
          <w:lang w:val="en-US" w:eastAsia="zh-CN"/>
        </w:rPr>
        <w:t>本文</w:t>
      </w:r>
      <w:r>
        <w:rPr>
          <w:rFonts w:hint="default"/>
          <w:lang w:val="en-US" w:eastAsia="zh-CN"/>
        </w:rPr>
        <w:t>采用了低秩自适应（LoRA）微调策略 。LoRA 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 LLaMA 模型的多层 Transformer 处理后，提取出最终的隐藏层状态作为分子的文本语义表征向量。这一表征不仅包含了分子的静态属性，更融合了动态的药理推理逻辑，为后续的多模态融合提供了高密度的语义信息补充。</w:t>
      </w:r>
    </w:p>
    <w:p w14:paraId="408A4960">
      <w:pPr>
        <w:pStyle w:val="4"/>
        <w:bidi w:val="0"/>
        <w:rPr>
          <w:rFonts w:hint="default"/>
          <w:lang w:val="en-US" w:eastAsia="zh-CN"/>
        </w:rPr>
      </w:pPr>
      <w:r>
        <w:rPr>
          <w:rFonts w:ascii="宋体" w:hAnsi="宋体" w:eastAsia="宋体" w:cs="宋体"/>
          <w:sz w:val="24"/>
          <w:szCs w:val="24"/>
        </w:rPr>
        <w:t>交互式消息传递图编码器</w:t>
      </w:r>
    </w:p>
    <w:p w14:paraId="526EC338">
      <w:pPr>
        <w:rPr>
          <w:rFonts w:hint="default"/>
          <w:lang w:val="en-US" w:eastAsia="zh-CN"/>
        </w:rPr>
      </w:pPr>
      <w:r>
        <w:rPr>
          <w:rFonts w:hint="default"/>
          <w:lang w:val="en-US" w:eastAsia="zh-CN"/>
        </w:rPr>
        <w:t>尽管大语言模型在宏观的药理规则推理上具有优势，但其对微观分子拓扑结构的感知能力存在天然缺陷。为了弥补这一短板并精准捕捉原子间的化学键合作用与电子效应，本研究采用了**交互式消息传递图神经网络（Communicative Message Passing Neural Network, CMPNN）**作为图编码器，以替代传统的 MPNN 模型。传统的图神经网络在处理分子图时通常采用“原子中心”的消息传递机制，这种方式在 ADMET 预测任务中往往存在两个显著弊端：一是**“信息回流”**现象，即信息在相邻节点间产生冗余的震荡传播（例如原子 A 传给 B，B 又在下一轮传回 A），导致长程依赖难以有效捕捉；二是将化学键仅作为静态的边缘属性进行简单的求和聚合，忽视了化学键作为构效关系核心实体在特征演化中的动态作用。针对上述问题，CMPNN 编码器创新性地构建了基于有向边（Directed Edge）的消息传递架构。在这一架构中，模型不再是在原子之间直接传递信息，而是在有向化学键上维护和更新隐藏状态。具体而言，对于连接原子 $u$ 和 $v$ 的化学键，模型在计算从 $u$ 流向 $v$ 的信息时，会聚合原子 $u$ 的所有邻居节点 $k$ 传来的消息，但显式地执行“忌讳（Taboo）”策略，即排除掉从目标节点 $v$ 反向传回 $u$ 的消息。这种几何路径上的阻断机制有效地切断了信息的冗余循环，使得模型能够像更深层的网络一样捕捉到分子骨架中的长程拓扑依赖，这对于识别大分子药物的远端官能团效应至关重要。更为关键的是，为了强化“原子”与“化学键”之间的语义耦合，CMPNN 在消息聚合阶段引入了一个通信核（Communicative Kernel）模块。该模块打破了传统方法中化学键特征仅作为辅助输入的惯例，强制原子特征与化学键特征在传递前进行深度的交互操作（Interaction Operation）。在每一次迭代中，原子节点的特征向量会与相连化学键的特征向量进行非线性融合，生成增强的消息向量。这种机制模拟了真实化学环境中“原子电负性改变诱导化学键极化”以及“键能变化反作用于原子局部环境”的动态物理过程。最终，经过多轮交互更新的有向边特征被映射回原子节点，并通过一个基于门控机制的读出层（Gated Readout）聚合成图级别的全局表征向量。这一向量高度浓缩了分子的拓扑连接与立体电子特征，将作为后续多模态融合过程中的“结构锚点”，引导文本模态的推理逻辑与之对齐。</w:t>
      </w:r>
    </w:p>
    <w:p w14:paraId="68748C6B">
      <w:pPr>
        <w:pStyle w:val="4"/>
        <w:bidi w:val="0"/>
        <w:rPr>
          <w:rFonts w:hint="default"/>
          <w:lang w:val="en-US" w:eastAsia="zh-CN"/>
        </w:rPr>
      </w:pPr>
      <w:r>
        <w:t>多模态交叉融合与预测模块</w:t>
      </w:r>
    </w:p>
    <w:p w14:paraId="7C91856F">
      <w:pPr>
        <w:rPr>
          <w:rFonts w:hint="default"/>
          <w:lang w:val="en-US" w:eastAsia="zh-CN"/>
        </w:rPr>
      </w:pPr>
      <w:r>
        <w:rPr>
          <w:rFonts w:hint="default"/>
          <w:lang w:val="en-US" w:eastAsia="zh-CN"/>
        </w:rPr>
        <w:t>在获取了包含显式推理逻辑的文本表征与包含深层拓扑结构的图表征后，如何将这两股异构信息进行有效融合是决定预测性能的关键。简单的特征拼接（Concatenation）往往忽略了不同模态特征之间的语义鸿沟，难以实现深度的信息交互。因此，本研究设计了一个基于交叉注意力（Cross-Attention）机制的融合模块 。在该模块中，我们选取物理意义更为明确、结构更为稳定的图表征向量作为查询向量（Query），而将包含丰富语义推理信息的文本表征向量作为键向量（Key）和值向量（Value）。</w:t>
      </w:r>
    </w:p>
    <w:p w14:paraId="36ADE4C2">
      <w:pPr>
        <w:rPr>
          <w:rFonts w:hint="default"/>
          <w:lang w:val="en-US" w:eastAsia="zh-CN"/>
        </w:rPr>
      </w:pPr>
      <w:r>
        <w:rPr>
          <w:rFonts w:hint="default"/>
          <w:lang w:val="en-US" w:eastAsia="zh-CN"/>
        </w:rP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Prediction Head）中。针对 ADMET 数据集中的不同任务类型，预测头分别输出分类任务的概率值或回归任务的实数值，从而实现端到端的分子性质预测。</w:t>
      </w:r>
    </w:p>
    <w:p w14:paraId="3573C48C">
      <w:pPr>
        <w:pStyle w:val="3"/>
        <w:bidi w:val="0"/>
        <w:rPr>
          <w:rFonts w:hint="default"/>
          <w:lang w:val="en-US" w:eastAsia="zh-CN"/>
        </w:rPr>
      </w:pPr>
      <w:r>
        <w:rPr>
          <w:rFonts w:hint="eastAsia"/>
          <w:lang w:val="en-US" w:eastAsia="zh-CN"/>
        </w:rPr>
        <w:t>实验设计</w:t>
      </w:r>
    </w:p>
    <w:p w14:paraId="1294D5C9">
      <w:pPr>
        <w:pStyle w:val="4"/>
        <w:bidi w:val="0"/>
        <w:rPr>
          <w:rFonts w:hint="default"/>
          <w:lang w:val="en-US" w:eastAsia="zh-CN"/>
        </w:rPr>
      </w:pPr>
      <w:r>
        <w:rPr>
          <w:rFonts w:hint="eastAsia"/>
          <w:lang w:val="en-US" w:eastAsia="zh-CN"/>
        </w:rPr>
        <w:t>数据集</w:t>
      </w:r>
    </w:p>
    <w:p w14:paraId="03AE0411">
      <w:pPr>
        <w:rPr>
          <w:rFonts w:hint="eastAsia"/>
          <w:lang w:val="en-US" w:eastAsia="zh-CN"/>
        </w:rPr>
      </w:pPr>
      <w:r>
        <w:rPr>
          <w:rFonts w:hint="eastAsia"/>
          <w:lang w:val="en-US" w:eastAsia="zh-CN"/>
        </w:rPr>
        <w:t>本研究中采用来自TDC平台中的ADMET Benchmark Group作为实验基准。TDC</w:t>
      </w:r>
    </w:p>
    <w:p w14:paraId="531286B1">
      <w:pPr>
        <w:ind w:left="0" w:leftChars="0" w:firstLine="0" w:firstLineChars="0"/>
        <w:rPr>
          <w:rFonts w:hint="default"/>
          <w:lang w:val="en-US" w:eastAsia="zh-CN"/>
        </w:rPr>
      </w:pPr>
      <w:r>
        <w:rPr>
          <w:rFonts w:hint="eastAsia"/>
          <w:lang w:val="en-US" w:eastAsia="zh-CN"/>
        </w:rPr>
        <w:t>是目前研发发现领域最为权威的数据集之一，其提供的ADMET数据集基准组，涵盖了药物的吸收、分布、代谢、排泄和毒性等关键指标。在本章节将会在ADNET基准组上对CoT-MMP框架进行微调。数据集的基本介绍如表XXX所示。</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7"/>
        <w:gridCol w:w="1966"/>
        <w:gridCol w:w="1080"/>
        <w:gridCol w:w="1089"/>
        <w:gridCol w:w="1122"/>
        <w:gridCol w:w="1344"/>
      </w:tblGrid>
      <w:tr w14:paraId="3B909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127" w:type="dxa"/>
            <w:tcBorders>
              <w:top w:val="single" w:color="auto" w:sz="12" w:space="0"/>
              <w:left w:val="nil"/>
              <w:bottom w:val="single" w:color="auto" w:sz="8" w:space="0"/>
              <w:right w:val="nil"/>
            </w:tcBorders>
            <w:vAlign w:val="center"/>
          </w:tcPr>
          <w:p w14:paraId="40B7564C">
            <w:pPr>
              <w:ind w:left="0" w:leftChars="0" w:firstLine="0" w:firstLineChars="0"/>
              <w:jc w:val="center"/>
              <w:rPr>
                <w:rFonts w:hint="default"/>
                <w:vertAlign w:val="baseline"/>
                <w:lang w:val="en-US" w:eastAsia="zh-CN"/>
              </w:rPr>
            </w:pPr>
            <w:r>
              <w:rPr>
                <w:rFonts w:hint="eastAsia"/>
                <w:vertAlign w:val="baseline"/>
                <w:lang w:val="en-US" w:eastAsia="zh-CN"/>
              </w:rPr>
              <w:t>任务分类</w:t>
            </w:r>
          </w:p>
        </w:tc>
        <w:tc>
          <w:tcPr>
            <w:tcW w:w="1966" w:type="dxa"/>
            <w:tcBorders>
              <w:top w:val="single" w:color="auto" w:sz="12" w:space="0"/>
              <w:left w:val="nil"/>
              <w:bottom w:val="single" w:color="auto" w:sz="8" w:space="0"/>
              <w:right w:val="nil"/>
            </w:tcBorders>
            <w:vAlign w:val="center"/>
          </w:tcPr>
          <w:p w14:paraId="11ADDD28">
            <w:pPr>
              <w:ind w:left="0" w:leftChars="0" w:firstLine="0" w:firstLineChars="0"/>
              <w:jc w:val="center"/>
              <w:rPr>
                <w:rFonts w:hint="default"/>
                <w:vertAlign w:val="baseline"/>
                <w:lang w:val="en-US" w:eastAsia="zh-CN"/>
              </w:rPr>
            </w:pPr>
            <w:r>
              <w:rPr>
                <w:rFonts w:hint="eastAsia"/>
                <w:vertAlign w:val="baseline"/>
                <w:lang w:val="en-US" w:eastAsia="zh-CN"/>
              </w:rPr>
              <w:t>数据集</w:t>
            </w:r>
          </w:p>
        </w:tc>
        <w:tc>
          <w:tcPr>
            <w:tcW w:w="1080" w:type="dxa"/>
            <w:tcBorders>
              <w:top w:val="single" w:color="auto" w:sz="12" w:space="0"/>
              <w:left w:val="nil"/>
              <w:bottom w:val="single" w:color="auto" w:sz="8" w:space="0"/>
              <w:right w:val="nil"/>
            </w:tcBorders>
            <w:vAlign w:val="center"/>
          </w:tcPr>
          <w:p w14:paraId="70D0C89D">
            <w:pPr>
              <w:ind w:left="0" w:leftChars="0" w:firstLine="0" w:firstLineChars="0"/>
              <w:jc w:val="center"/>
              <w:rPr>
                <w:rFonts w:hint="default"/>
                <w:vertAlign w:val="baseline"/>
                <w:lang w:val="en-US" w:eastAsia="zh-CN"/>
              </w:rPr>
            </w:pPr>
            <w:r>
              <w:rPr>
                <w:rFonts w:hint="eastAsia"/>
                <w:vertAlign w:val="baseline"/>
                <w:lang w:val="en-US" w:eastAsia="zh-CN"/>
              </w:rPr>
              <w:t>分子数量</w:t>
            </w:r>
          </w:p>
        </w:tc>
        <w:tc>
          <w:tcPr>
            <w:tcW w:w="1089" w:type="dxa"/>
            <w:tcBorders>
              <w:top w:val="single" w:color="auto" w:sz="12" w:space="0"/>
              <w:left w:val="nil"/>
              <w:bottom w:val="single" w:color="auto" w:sz="8" w:space="0"/>
              <w:right w:val="nil"/>
            </w:tcBorders>
            <w:vAlign w:val="center"/>
          </w:tcPr>
          <w:p w14:paraId="378C5BF8">
            <w:pPr>
              <w:ind w:left="0" w:leftChars="0" w:firstLine="0" w:firstLineChars="0"/>
              <w:jc w:val="center"/>
              <w:rPr>
                <w:rFonts w:hint="default"/>
                <w:vertAlign w:val="baseline"/>
                <w:lang w:val="en-US" w:eastAsia="zh-CN"/>
              </w:rPr>
            </w:pPr>
            <w:r>
              <w:rPr>
                <w:rFonts w:hint="eastAsia"/>
                <w:vertAlign w:val="baseline"/>
                <w:lang w:val="en-US" w:eastAsia="zh-CN"/>
              </w:rPr>
              <w:t>任务类型</w:t>
            </w:r>
          </w:p>
        </w:tc>
        <w:tc>
          <w:tcPr>
            <w:tcW w:w="1122" w:type="dxa"/>
            <w:tcBorders>
              <w:top w:val="single" w:color="auto" w:sz="12" w:space="0"/>
              <w:left w:val="nil"/>
              <w:bottom w:val="single" w:color="auto" w:sz="8" w:space="0"/>
              <w:right w:val="nil"/>
            </w:tcBorders>
            <w:vAlign w:val="center"/>
          </w:tcPr>
          <w:p w14:paraId="35D7FFD2">
            <w:pPr>
              <w:ind w:left="0" w:leftChars="0" w:firstLine="0" w:firstLineChars="0"/>
              <w:jc w:val="center"/>
              <w:rPr>
                <w:rFonts w:hint="default"/>
                <w:vertAlign w:val="baseline"/>
                <w:lang w:val="en-US" w:eastAsia="zh-CN"/>
              </w:rPr>
            </w:pPr>
            <w:r>
              <w:rPr>
                <w:rFonts w:hint="eastAsia"/>
                <w:vertAlign w:val="baseline"/>
                <w:lang w:val="en-US" w:eastAsia="zh-CN"/>
              </w:rPr>
              <w:t>评价指标</w:t>
            </w:r>
          </w:p>
        </w:tc>
        <w:tc>
          <w:tcPr>
            <w:tcW w:w="1344" w:type="dxa"/>
            <w:tcBorders>
              <w:top w:val="single" w:color="auto" w:sz="12" w:space="0"/>
              <w:left w:val="nil"/>
              <w:bottom w:val="single" w:color="auto" w:sz="8" w:space="0"/>
              <w:right w:val="nil"/>
            </w:tcBorders>
            <w:vAlign w:val="center"/>
          </w:tcPr>
          <w:p w14:paraId="7CE4F29B">
            <w:pPr>
              <w:ind w:left="0" w:leftChars="0" w:firstLine="0" w:firstLineChars="0"/>
              <w:jc w:val="center"/>
              <w:rPr>
                <w:rFonts w:hint="default"/>
                <w:vertAlign w:val="baseline"/>
                <w:lang w:val="en-US" w:eastAsia="zh-CN"/>
              </w:rPr>
            </w:pPr>
            <w:r>
              <w:rPr>
                <w:rFonts w:hint="eastAsia"/>
                <w:vertAlign w:val="baseline"/>
                <w:lang w:val="en-US" w:eastAsia="zh-CN"/>
              </w:rPr>
              <w:t>划分方式</w:t>
            </w:r>
          </w:p>
        </w:tc>
      </w:tr>
      <w:tr w14:paraId="1FA38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552CB209">
            <w:pPr>
              <w:ind w:left="0" w:leftChars="0" w:firstLine="0" w:firstLineChars="0"/>
              <w:jc w:val="center"/>
              <w:rPr>
                <w:rFonts w:hint="default"/>
                <w:vertAlign w:val="baseline"/>
                <w:lang w:val="en-US" w:eastAsia="zh-CN"/>
              </w:rPr>
            </w:pPr>
            <w:r>
              <w:rPr>
                <w:rFonts w:hint="eastAsia"/>
                <w:vertAlign w:val="baseline"/>
                <w:lang w:val="en-US" w:eastAsia="zh-CN"/>
              </w:rPr>
              <w:t>吸收</w:t>
            </w:r>
          </w:p>
        </w:tc>
        <w:tc>
          <w:tcPr>
            <w:tcW w:w="1966" w:type="dxa"/>
            <w:tcBorders>
              <w:top w:val="single" w:color="auto" w:sz="8" w:space="0"/>
              <w:left w:val="nil"/>
              <w:bottom w:val="nil"/>
              <w:right w:val="nil"/>
            </w:tcBorders>
            <w:vAlign w:val="center"/>
          </w:tcPr>
          <w:p w14:paraId="3ECB5BD5">
            <w:pPr>
              <w:ind w:left="0" w:leftChars="0" w:firstLine="0" w:firstLineChars="0"/>
              <w:jc w:val="center"/>
              <w:rPr>
                <w:rFonts w:hint="eastAsia"/>
                <w:vertAlign w:val="baseline"/>
                <w:lang w:val="en-US" w:eastAsia="zh-CN"/>
              </w:rPr>
            </w:pPr>
            <w:r>
              <w:rPr>
                <w:rFonts w:hint="eastAsia"/>
                <w:vertAlign w:val="baseline"/>
                <w:lang w:val="en-US" w:eastAsia="zh-CN"/>
              </w:rPr>
              <w:t>Caco2</w:t>
            </w:r>
          </w:p>
        </w:tc>
        <w:tc>
          <w:tcPr>
            <w:tcW w:w="1080" w:type="dxa"/>
            <w:tcBorders>
              <w:top w:val="single" w:color="auto" w:sz="8" w:space="0"/>
              <w:left w:val="nil"/>
              <w:bottom w:val="nil"/>
              <w:right w:val="nil"/>
            </w:tcBorders>
            <w:vAlign w:val="center"/>
          </w:tcPr>
          <w:p w14:paraId="10196214">
            <w:pPr>
              <w:ind w:left="0" w:leftChars="0" w:firstLine="0" w:firstLineChars="0"/>
              <w:jc w:val="center"/>
              <w:rPr>
                <w:rFonts w:hint="default"/>
                <w:vertAlign w:val="baseline"/>
                <w:lang w:val="en-US" w:eastAsia="zh-CN"/>
              </w:rPr>
            </w:pPr>
            <w:r>
              <w:rPr>
                <w:rFonts w:hint="eastAsia"/>
                <w:vertAlign w:val="baseline"/>
                <w:lang w:val="en-US" w:eastAsia="zh-CN"/>
              </w:rPr>
              <w:t>906</w:t>
            </w:r>
          </w:p>
        </w:tc>
        <w:tc>
          <w:tcPr>
            <w:tcW w:w="1089" w:type="dxa"/>
            <w:tcBorders>
              <w:top w:val="single" w:color="auto" w:sz="8" w:space="0"/>
              <w:left w:val="nil"/>
              <w:bottom w:val="nil"/>
              <w:right w:val="nil"/>
            </w:tcBorders>
            <w:vAlign w:val="center"/>
          </w:tcPr>
          <w:p w14:paraId="666205CC">
            <w:pPr>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22" w:type="dxa"/>
            <w:tcBorders>
              <w:top w:val="single" w:color="auto" w:sz="8" w:space="0"/>
              <w:left w:val="nil"/>
              <w:bottom w:val="nil"/>
              <w:right w:val="nil"/>
            </w:tcBorders>
            <w:vAlign w:val="center"/>
          </w:tcPr>
          <w:p w14:paraId="2A4A9CCE">
            <w:pPr>
              <w:ind w:left="0" w:leftChars="0" w:firstLine="0" w:firstLineChars="0"/>
              <w:jc w:val="center"/>
              <w:rPr>
                <w:rFonts w:hint="default"/>
                <w:vertAlign w:val="baseline"/>
                <w:lang w:val="en-US" w:eastAsia="zh-CN"/>
              </w:rPr>
            </w:pPr>
            <w:r>
              <w:rPr>
                <w:rFonts w:hint="default"/>
                <w:vertAlign w:val="baseline"/>
                <w:lang w:val="en-US" w:eastAsia="zh-CN"/>
              </w:rPr>
              <w:t>MAE</w:t>
            </w:r>
          </w:p>
        </w:tc>
        <w:tc>
          <w:tcPr>
            <w:tcW w:w="1344" w:type="dxa"/>
            <w:tcBorders>
              <w:top w:val="single" w:color="auto" w:sz="8" w:space="0"/>
              <w:left w:val="nil"/>
              <w:bottom w:val="nil"/>
              <w:right w:val="nil"/>
            </w:tcBorders>
            <w:vAlign w:val="center"/>
          </w:tcPr>
          <w:p w14:paraId="1BA28303">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12C46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5F49D113">
            <w:pPr>
              <w:ind w:left="0" w:leftChars="0" w:firstLine="0" w:firstLineChars="0"/>
              <w:jc w:val="center"/>
              <w:rPr>
                <w:rFonts w:hint="eastAsia"/>
                <w:vertAlign w:val="baseline"/>
                <w:lang w:val="en-US" w:eastAsia="zh-CN"/>
              </w:rPr>
            </w:pPr>
          </w:p>
        </w:tc>
        <w:tc>
          <w:tcPr>
            <w:tcW w:w="1966" w:type="dxa"/>
            <w:tcBorders>
              <w:top w:val="nil"/>
              <w:left w:val="nil"/>
              <w:bottom w:val="nil"/>
              <w:right w:val="nil"/>
            </w:tcBorders>
            <w:vAlign w:val="center"/>
          </w:tcPr>
          <w:p w14:paraId="30EE0784">
            <w:pPr>
              <w:ind w:left="0" w:leftChars="0" w:firstLine="0" w:firstLineChars="0"/>
              <w:jc w:val="center"/>
              <w:rPr>
                <w:rFonts w:hint="default"/>
                <w:vertAlign w:val="baseline"/>
                <w:lang w:val="en-US" w:eastAsia="zh-CN"/>
              </w:rPr>
            </w:pPr>
            <w:r>
              <w:rPr>
                <w:rFonts w:hint="eastAsia"/>
                <w:vertAlign w:val="baseline"/>
                <w:lang w:val="en-US" w:eastAsia="zh-CN"/>
              </w:rPr>
              <w:t>HIA</w:t>
            </w:r>
          </w:p>
        </w:tc>
        <w:tc>
          <w:tcPr>
            <w:tcW w:w="1080" w:type="dxa"/>
            <w:tcBorders>
              <w:top w:val="nil"/>
              <w:left w:val="nil"/>
              <w:bottom w:val="nil"/>
              <w:right w:val="nil"/>
            </w:tcBorders>
            <w:vAlign w:val="center"/>
          </w:tcPr>
          <w:p w14:paraId="1889D3DE">
            <w:pPr>
              <w:ind w:left="0" w:leftChars="0" w:firstLine="0" w:firstLineChars="0"/>
              <w:jc w:val="center"/>
              <w:rPr>
                <w:rFonts w:hint="default"/>
                <w:vertAlign w:val="baseline"/>
                <w:lang w:val="en-US" w:eastAsia="zh-CN"/>
              </w:rPr>
            </w:pPr>
            <w:r>
              <w:rPr>
                <w:rFonts w:hint="eastAsia"/>
                <w:vertAlign w:val="baseline"/>
                <w:lang w:val="en-US" w:eastAsia="zh-CN"/>
              </w:rPr>
              <w:t>578</w:t>
            </w:r>
          </w:p>
        </w:tc>
        <w:tc>
          <w:tcPr>
            <w:tcW w:w="1089" w:type="dxa"/>
            <w:tcBorders>
              <w:top w:val="nil"/>
              <w:left w:val="nil"/>
              <w:bottom w:val="nil"/>
              <w:right w:val="nil"/>
            </w:tcBorders>
            <w:vAlign w:val="center"/>
          </w:tcPr>
          <w:p w14:paraId="1F651A17">
            <w:pPr>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22" w:type="dxa"/>
            <w:tcBorders>
              <w:top w:val="nil"/>
              <w:left w:val="nil"/>
              <w:bottom w:val="nil"/>
              <w:right w:val="nil"/>
            </w:tcBorders>
            <w:vAlign w:val="center"/>
          </w:tcPr>
          <w:p w14:paraId="2422E10D">
            <w:pPr>
              <w:ind w:left="0" w:leftChars="0" w:firstLine="0" w:firstLineChars="0"/>
              <w:jc w:val="center"/>
              <w:rPr>
                <w:rFonts w:hint="default"/>
                <w:vertAlign w:val="baseline"/>
                <w:lang w:val="en-US" w:eastAsia="zh-CN"/>
              </w:rPr>
            </w:pPr>
            <w:r>
              <w:rPr>
                <w:rFonts w:hint="default"/>
                <w:vertAlign w:val="baseline"/>
                <w:lang w:val="en-US" w:eastAsia="zh-CN"/>
              </w:rPr>
              <w:t>AUROC</w:t>
            </w:r>
          </w:p>
        </w:tc>
        <w:tc>
          <w:tcPr>
            <w:tcW w:w="1344" w:type="dxa"/>
            <w:tcBorders>
              <w:top w:val="nil"/>
              <w:left w:val="nil"/>
              <w:bottom w:val="nil"/>
              <w:right w:val="nil"/>
            </w:tcBorders>
            <w:vAlign w:val="center"/>
          </w:tcPr>
          <w:p w14:paraId="598A2C44">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153F1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35C572B2">
            <w:pPr>
              <w:ind w:left="0" w:leftChars="0" w:firstLine="0" w:firstLineChars="0"/>
              <w:jc w:val="center"/>
              <w:rPr>
                <w:rFonts w:hint="eastAsia"/>
                <w:vertAlign w:val="baseline"/>
                <w:lang w:val="en-US" w:eastAsia="zh-CN"/>
              </w:rPr>
            </w:pPr>
          </w:p>
        </w:tc>
        <w:tc>
          <w:tcPr>
            <w:tcW w:w="1966" w:type="dxa"/>
            <w:tcBorders>
              <w:top w:val="nil"/>
              <w:left w:val="nil"/>
              <w:bottom w:val="nil"/>
              <w:right w:val="nil"/>
            </w:tcBorders>
            <w:vAlign w:val="center"/>
          </w:tcPr>
          <w:p w14:paraId="485BBD78">
            <w:pPr>
              <w:ind w:left="0" w:leftChars="0" w:firstLine="0" w:firstLineChars="0"/>
              <w:jc w:val="center"/>
              <w:rPr>
                <w:rFonts w:hint="default"/>
                <w:vertAlign w:val="baseline"/>
                <w:lang w:val="en-US" w:eastAsia="zh-CN"/>
              </w:rPr>
            </w:pPr>
            <w:r>
              <w:rPr>
                <w:rFonts w:hint="eastAsia"/>
                <w:vertAlign w:val="baseline"/>
                <w:lang w:val="en-US" w:eastAsia="zh-CN"/>
              </w:rPr>
              <w:t>Pgp</w:t>
            </w:r>
          </w:p>
        </w:tc>
        <w:tc>
          <w:tcPr>
            <w:tcW w:w="1080" w:type="dxa"/>
            <w:tcBorders>
              <w:top w:val="nil"/>
              <w:left w:val="nil"/>
              <w:bottom w:val="nil"/>
              <w:right w:val="nil"/>
            </w:tcBorders>
            <w:vAlign w:val="center"/>
          </w:tcPr>
          <w:p w14:paraId="5C34C683">
            <w:pPr>
              <w:ind w:left="0" w:leftChars="0" w:firstLine="0" w:firstLineChars="0"/>
              <w:jc w:val="center"/>
              <w:rPr>
                <w:rFonts w:hint="default"/>
                <w:vertAlign w:val="baseline"/>
                <w:lang w:val="en-US" w:eastAsia="zh-CN"/>
              </w:rPr>
            </w:pPr>
            <w:r>
              <w:rPr>
                <w:rFonts w:hint="eastAsia"/>
                <w:vertAlign w:val="baseline"/>
                <w:lang w:val="en-US" w:eastAsia="zh-CN"/>
              </w:rPr>
              <w:t>1212</w:t>
            </w:r>
          </w:p>
        </w:tc>
        <w:tc>
          <w:tcPr>
            <w:tcW w:w="1089" w:type="dxa"/>
            <w:tcBorders>
              <w:top w:val="nil"/>
              <w:left w:val="nil"/>
              <w:bottom w:val="nil"/>
              <w:right w:val="nil"/>
            </w:tcBorders>
            <w:vAlign w:val="center"/>
          </w:tcPr>
          <w:p w14:paraId="781A80EA">
            <w:pPr>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22" w:type="dxa"/>
            <w:tcBorders>
              <w:top w:val="nil"/>
              <w:left w:val="nil"/>
              <w:bottom w:val="nil"/>
              <w:right w:val="nil"/>
            </w:tcBorders>
            <w:vAlign w:val="center"/>
          </w:tcPr>
          <w:p w14:paraId="11803FDF">
            <w:pPr>
              <w:ind w:left="0" w:leftChars="0" w:firstLine="0" w:firstLineChars="0"/>
              <w:jc w:val="center"/>
              <w:rPr>
                <w:rFonts w:hint="default"/>
                <w:vertAlign w:val="baseline"/>
                <w:lang w:val="en-US" w:eastAsia="zh-CN"/>
              </w:rPr>
            </w:pPr>
            <w:r>
              <w:rPr>
                <w:rFonts w:hint="default"/>
                <w:vertAlign w:val="baseline"/>
                <w:lang w:val="en-US" w:eastAsia="zh-CN"/>
              </w:rPr>
              <w:t>AUROC</w:t>
            </w:r>
          </w:p>
        </w:tc>
        <w:tc>
          <w:tcPr>
            <w:tcW w:w="1344" w:type="dxa"/>
            <w:tcBorders>
              <w:top w:val="nil"/>
              <w:left w:val="nil"/>
              <w:bottom w:val="nil"/>
              <w:right w:val="nil"/>
            </w:tcBorders>
            <w:vAlign w:val="center"/>
          </w:tcPr>
          <w:p w14:paraId="36DAB603">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3FF54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7F67034C">
            <w:pPr>
              <w:ind w:left="0" w:leftChars="0" w:firstLine="0" w:firstLineChars="0"/>
              <w:jc w:val="center"/>
              <w:rPr>
                <w:rFonts w:hint="eastAsia"/>
                <w:vertAlign w:val="baseline"/>
                <w:lang w:val="en-US" w:eastAsia="zh-CN"/>
              </w:rPr>
            </w:pPr>
          </w:p>
        </w:tc>
        <w:tc>
          <w:tcPr>
            <w:tcW w:w="1966" w:type="dxa"/>
            <w:tcBorders>
              <w:top w:val="nil"/>
              <w:left w:val="nil"/>
              <w:bottom w:val="nil"/>
              <w:right w:val="nil"/>
            </w:tcBorders>
            <w:vAlign w:val="center"/>
          </w:tcPr>
          <w:p w14:paraId="5526A015">
            <w:pPr>
              <w:ind w:left="0" w:leftChars="0" w:firstLine="0" w:firstLineChars="0"/>
              <w:jc w:val="center"/>
              <w:rPr>
                <w:rFonts w:hint="default"/>
                <w:vertAlign w:val="baseline"/>
                <w:lang w:val="en-US" w:eastAsia="zh-CN"/>
              </w:rPr>
            </w:pPr>
            <w:r>
              <w:rPr>
                <w:rFonts w:hint="eastAsia"/>
                <w:vertAlign w:val="baseline"/>
                <w:lang w:val="en-US" w:eastAsia="zh-CN"/>
              </w:rPr>
              <w:t>Bioav</w:t>
            </w:r>
          </w:p>
        </w:tc>
        <w:tc>
          <w:tcPr>
            <w:tcW w:w="1080" w:type="dxa"/>
            <w:tcBorders>
              <w:top w:val="nil"/>
              <w:left w:val="nil"/>
              <w:bottom w:val="nil"/>
              <w:right w:val="nil"/>
            </w:tcBorders>
            <w:vAlign w:val="center"/>
          </w:tcPr>
          <w:p w14:paraId="7AB2F3CD">
            <w:pPr>
              <w:ind w:left="0" w:leftChars="0" w:firstLine="0" w:firstLineChars="0"/>
              <w:jc w:val="center"/>
              <w:rPr>
                <w:rFonts w:hint="default"/>
                <w:vertAlign w:val="baseline"/>
                <w:lang w:val="en-US" w:eastAsia="zh-CN"/>
              </w:rPr>
            </w:pPr>
            <w:r>
              <w:rPr>
                <w:rFonts w:hint="eastAsia"/>
                <w:vertAlign w:val="baseline"/>
                <w:lang w:val="en-US" w:eastAsia="zh-CN"/>
              </w:rPr>
              <w:t>640</w:t>
            </w:r>
          </w:p>
        </w:tc>
        <w:tc>
          <w:tcPr>
            <w:tcW w:w="1089" w:type="dxa"/>
            <w:tcBorders>
              <w:top w:val="nil"/>
              <w:left w:val="nil"/>
              <w:bottom w:val="nil"/>
              <w:right w:val="nil"/>
            </w:tcBorders>
            <w:vAlign w:val="center"/>
          </w:tcPr>
          <w:p w14:paraId="28FF08CB">
            <w:pPr>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22" w:type="dxa"/>
            <w:tcBorders>
              <w:top w:val="nil"/>
              <w:left w:val="nil"/>
              <w:bottom w:val="nil"/>
              <w:right w:val="nil"/>
            </w:tcBorders>
            <w:vAlign w:val="center"/>
          </w:tcPr>
          <w:p w14:paraId="3AFBB09E">
            <w:pPr>
              <w:ind w:left="0" w:leftChars="0" w:firstLine="0" w:firstLineChars="0"/>
              <w:jc w:val="center"/>
              <w:rPr>
                <w:rFonts w:hint="default"/>
                <w:vertAlign w:val="baseline"/>
                <w:lang w:val="en-US" w:eastAsia="zh-CN"/>
              </w:rPr>
            </w:pPr>
            <w:r>
              <w:rPr>
                <w:rFonts w:hint="default"/>
                <w:vertAlign w:val="baseline"/>
                <w:lang w:val="en-US" w:eastAsia="zh-CN"/>
              </w:rPr>
              <w:t>AUROC</w:t>
            </w:r>
          </w:p>
        </w:tc>
        <w:tc>
          <w:tcPr>
            <w:tcW w:w="1344" w:type="dxa"/>
            <w:tcBorders>
              <w:top w:val="nil"/>
              <w:left w:val="nil"/>
              <w:bottom w:val="nil"/>
              <w:right w:val="nil"/>
            </w:tcBorders>
            <w:vAlign w:val="center"/>
          </w:tcPr>
          <w:p w14:paraId="4F4AC430">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074C5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461C761A">
            <w:pPr>
              <w:ind w:left="0" w:leftChars="0" w:firstLine="0" w:firstLineChars="0"/>
              <w:jc w:val="center"/>
              <w:rPr>
                <w:rFonts w:hint="eastAsia"/>
                <w:vertAlign w:val="baseline"/>
                <w:lang w:val="en-US" w:eastAsia="zh-CN"/>
              </w:rPr>
            </w:pPr>
          </w:p>
        </w:tc>
        <w:tc>
          <w:tcPr>
            <w:tcW w:w="1966" w:type="dxa"/>
            <w:tcBorders>
              <w:top w:val="nil"/>
              <w:left w:val="nil"/>
              <w:bottom w:val="nil"/>
              <w:right w:val="nil"/>
            </w:tcBorders>
            <w:vAlign w:val="center"/>
          </w:tcPr>
          <w:p w14:paraId="596AAEBC">
            <w:pPr>
              <w:ind w:left="0" w:leftChars="0" w:firstLine="0" w:firstLineChars="0"/>
              <w:jc w:val="center"/>
              <w:rPr>
                <w:rFonts w:hint="default"/>
                <w:vertAlign w:val="baseline"/>
                <w:lang w:val="en-US" w:eastAsia="zh-CN"/>
              </w:rPr>
            </w:pPr>
            <w:r>
              <w:rPr>
                <w:rFonts w:hint="eastAsia"/>
                <w:vertAlign w:val="baseline"/>
                <w:lang w:val="en-US" w:eastAsia="zh-CN"/>
              </w:rPr>
              <w:t>Lipo</w:t>
            </w:r>
          </w:p>
        </w:tc>
        <w:tc>
          <w:tcPr>
            <w:tcW w:w="1080" w:type="dxa"/>
            <w:tcBorders>
              <w:top w:val="nil"/>
              <w:left w:val="nil"/>
              <w:bottom w:val="nil"/>
              <w:right w:val="nil"/>
            </w:tcBorders>
            <w:vAlign w:val="center"/>
          </w:tcPr>
          <w:p w14:paraId="4247DFFF">
            <w:pPr>
              <w:ind w:left="0" w:leftChars="0" w:firstLine="0" w:firstLineChars="0"/>
              <w:jc w:val="center"/>
              <w:rPr>
                <w:rFonts w:hint="default"/>
                <w:vertAlign w:val="baseline"/>
                <w:lang w:val="en-US" w:eastAsia="zh-CN"/>
              </w:rPr>
            </w:pPr>
            <w:r>
              <w:rPr>
                <w:rFonts w:hint="eastAsia"/>
                <w:vertAlign w:val="baseline"/>
                <w:lang w:val="en-US" w:eastAsia="zh-CN"/>
              </w:rPr>
              <w:t>4200</w:t>
            </w:r>
          </w:p>
        </w:tc>
        <w:tc>
          <w:tcPr>
            <w:tcW w:w="1089" w:type="dxa"/>
            <w:tcBorders>
              <w:top w:val="nil"/>
              <w:left w:val="nil"/>
              <w:bottom w:val="nil"/>
              <w:right w:val="nil"/>
            </w:tcBorders>
            <w:vAlign w:val="center"/>
          </w:tcPr>
          <w:p w14:paraId="31131863">
            <w:pPr>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22" w:type="dxa"/>
            <w:tcBorders>
              <w:top w:val="nil"/>
              <w:left w:val="nil"/>
              <w:bottom w:val="nil"/>
              <w:right w:val="nil"/>
            </w:tcBorders>
            <w:vAlign w:val="center"/>
          </w:tcPr>
          <w:p w14:paraId="6B9B9BBC">
            <w:pPr>
              <w:ind w:left="0" w:leftChars="0" w:firstLine="0" w:firstLineChars="0"/>
              <w:jc w:val="center"/>
              <w:rPr>
                <w:rFonts w:hint="default"/>
                <w:vertAlign w:val="baseline"/>
                <w:lang w:val="en-US" w:eastAsia="zh-CN"/>
              </w:rPr>
            </w:pPr>
            <w:r>
              <w:rPr>
                <w:rFonts w:hint="default"/>
                <w:vertAlign w:val="baseline"/>
                <w:lang w:val="en-US" w:eastAsia="zh-CN"/>
              </w:rPr>
              <w:t>MAE</w:t>
            </w:r>
          </w:p>
        </w:tc>
        <w:tc>
          <w:tcPr>
            <w:tcW w:w="1344" w:type="dxa"/>
            <w:tcBorders>
              <w:top w:val="nil"/>
              <w:left w:val="nil"/>
              <w:bottom w:val="nil"/>
              <w:right w:val="nil"/>
            </w:tcBorders>
            <w:vAlign w:val="center"/>
          </w:tcPr>
          <w:p w14:paraId="07D0E4E1">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120D2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single" w:color="auto" w:sz="8" w:space="0"/>
              <w:right w:val="nil"/>
            </w:tcBorders>
            <w:vAlign w:val="center"/>
          </w:tcPr>
          <w:p w14:paraId="57559A08">
            <w:pPr>
              <w:ind w:left="0" w:leftChars="0" w:firstLine="0" w:firstLineChars="0"/>
              <w:jc w:val="center"/>
              <w:rPr>
                <w:rFonts w:hint="eastAsia"/>
                <w:vertAlign w:val="baseline"/>
                <w:lang w:val="en-US" w:eastAsia="zh-CN"/>
              </w:rPr>
            </w:pPr>
          </w:p>
        </w:tc>
        <w:tc>
          <w:tcPr>
            <w:tcW w:w="1966" w:type="dxa"/>
            <w:tcBorders>
              <w:top w:val="nil"/>
              <w:left w:val="nil"/>
              <w:bottom w:val="single" w:color="auto" w:sz="8" w:space="0"/>
              <w:right w:val="nil"/>
            </w:tcBorders>
            <w:vAlign w:val="center"/>
          </w:tcPr>
          <w:p w14:paraId="3544FF3C">
            <w:pPr>
              <w:ind w:left="0" w:leftChars="0" w:firstLine="0" w:firstLineChars="0"/>
              <w:jc w:val="center"/>
              <w:rPr>
                <w:rFonts w:hint="default"/>
                <w:vertAlign w:val="baseline"/>
                <w:lang w:val="en-US" w:eastAsia="zh-CN"/>
              </w:rPr>
            </w:pPr>
            <w:r>
              <w:rPr>
                <w:rFonts w:hint="eastAsia"/>
                <w:vertAlign w:val="baseline"/>
                <w:lang w:val="en-US" w:eastAsia="zh-CN"/>
              </w:rPr>
              <w:t>AqSol</w:t>
            </w:r>
          </w:p>
        </w:tc>
        <w:tc>
          <w:tcPr>
            <w:tcW w:w="1080" w:type="dxa"/>
            <w:tcBorders>
              <w:top w:val="nil"/>
              <w:left w:val="nil"/>
              <w:bottom w:val="single" w:color="auto" w:sz="8" w:space="0"/>
              <w:right w:val="nil"/>
            </w:tcBorders>
            <w:vAlign w:val="center"/>
          </w:tcPr>
          <w:p w14:paraId="208D1346">
            <w:pPr>
              <w:ind w:left="0" w:leftChars="0" w:firstLine="0" w:firstLineChars="0"/>
              <w:jc w:val="center"/>
              <w:rPr>
                <w:rFonts w:hint="default"/>
                <w:vertAlign w:val="baseline"/>
                <w:lang w:val="en-US" w:eastAsia="zh-CN"/>
              </w:rPr>
            </w:pPr>
            <w:r>
              <w:rPr>
                <w:rFonts w:hint="eastAsia"/>
                <w:vertAlign w:val="baseline"/>
                <w:lang w:val="en-US" w:eastAsia="zh-CN"/>
              </w:rPr>
              <w:t>9982</w:t>
            </w:r>
          </w:p>
        </w:tc>
        <w:tc>
          <w:tcPr>
            <w:tcW w:w="1089" w:type="dxa"/>
            <w:tcBorders>
              <w:top w:val="nil"/>
              <w:left w:val="nil"/>
              <w:bottom w:val="single" w:color="auto" w:sz="8" w:space="0"/>
              <w:right w:val="nil"/>
            </w:tcBorders>
            <w:vAlign w:val="center"/>
          </w:tcPr>
          <w:p w14:paraId="3DCD98C2">
            <w:pPr>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22" w:type="dxa"/>
            <w:tcBorders>
              <w:top w:val="nil"/>
              <w:left w:val="nil"/>
              <w:bottom w:val="single" w:color="auto" w:sz="8" w:space="0"/>
              <w:right w:val="nil"/>
            </w:tcBorders>
            <w:vAlign w:val="center"/>
          </w:tcPr>
          <w:p w14:paraId="46EB1C44">
            <w:pPr>
              <w:ind w:left="0" w:leftChars="0" w:firstLine="0" w:firstLineChars="0"/>
              <w:jc w:val="center"/>
              <w:rPr>
                <w:rFonts w:hint="default"/>
                <w:vertAlign w:val="baseline"/>
                <w:lang w:val="en-US" w:eastAsia="zh-CN"/>
              </w:rPr>
            </w:pPr>
            <w:r>
              <w:rPr>
                <w:rFonts w:hint="default"/>
                <w:vertAlign w:val="baseline"/>
                <w:lang w:val="en-US" w:eastAsia="zh-CN"/>
              </w:rPr>
              <w:t>MAE</w:t>
            </w:r>
          </w:p>
        </w:tc>
        <w:tc>
          <w:tcPr>
            <w:tcW w:w="1344" w:type="dxa"/>
            <w:tcBorders>
              <w:top w:val="nil"/>
              <w:left w:val="nil"/>
              <w:bottom w:val="single" w:color="auto" w:sz="8" w:space="0"/>
              <w:right w:val="nil"/>
            </w:tcBorders>
            <w:vAlign w:val="center"/>
          </w:tcPr>
          <w:p w14:paraId="5B69758F">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6FBFA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367938AB">
            <w:pPr>
              <w:ind w:left="0" w:leftChars="0" w:firstLine="0" w:firstLineChars="0"/>
              <w:jc w:val="center"/>
              <w:rPr>
                <w:rFonts w:hint="default"/>
                <w:vertAlign w:val="baseline"/>
                <w:lang w:val="en-US" w:eastAsia="zh-CN"/>
              </w:rPr>
            </w:pPr>
            <w:r>
              <w:rPr>
                <w:rFonts w:hint="eastAsia"/>
                <w:vertAlign w:val="baseline"/>
                <w:lang w:val="en-US" w:eastAsia="zh-CN"/>
              </w:rPr>
              <w:t>分布</w:t>
            </w:r>
          </w:p>
        </w:tc>
        <w:tc>
          <w:tcPr>
            <w:tcW w:w="1966" w:type="dxa"/>
            <w:tcBorders>
              <w:top w:val="single" w:color="auto" w:sz="8" w:space="0"/>
              <w:left w:val="nil"/>
              <w:bottom w:val="nil"/>
              <w:right w:val="nil"/>
            </w:tcBorders>
            <w:vAlign w:val="center"/>
          </w:tcPr>
          <w:p w14:paraId="1CACDF07">
            <w:pPr>
              <w:ind w:left="0" w:leftChars="0" w:firstLine="0" w:firstLineChars="0"/>
              <w:jc w:val="center"/>
              <w:rPr>
                <w:rFonts w:hint="default"/>
                <w:vertAlign w:val="baseline"/>
                <w:lang w:val="en-US" w:eastAsia="zh-CN"/>
              </w:rPr>
            </w:pPr>
            <w:r>
              <w:rPr>
                <w:rFonts w:hint="eastAsia"/>
                <w:vertAlign w:val="baseline"/>
                <w:lang w:val="en-US" w:eastAsia="zh-CN"/>
              </w:rPr>
              <w:t>BBB</w:t>
            </w:r>
          </w:p>
        </w:tc>
        <w:tc>
          <w:tcPr>
            <w:tcW w:w="1080" w:type="dxa"/>
            <w:tcBorders>
              <w:top w:val="single" w:color="auto" w:sz="8" w:space="0"/>
              <w:left w:val="nil"/>
              <w:bottom w:val="nil"/>
              <w:right w:val="nil"/>
            </w:tcBorders>
            <w:vAlign w:val="center"/>
          </w:tcPr>
          <w:p w14:paraId="11E59B90">
            <w:pPr>
              <w:ind w:left="0" w:leftChars="0" w:firstLine="0" w:firstLineChars="0"/>
              <w:jc w:val="center"/>
              <w:rPr>
                <w:rFonts w:hint="default"/>
                <w:vertAlign w:val="baseline"/>
                <w:lang w:val="en-US" w:eastAsia="zh-CN"/>
              </w:rPr>
            </w:pPr>
            <w:r>
              <w:rPr>
                <w:rFonts w:hint="eastAsia"/>
                <w:vertAlign w:val="baseline"/>
                <w:lang w:val="en-US" w:eastAsia="zh-CN"/>
              </w:rPr>
              <w:t>1975</w:t>
            </w:r>
          </w:p>
        </w:tc>
        <w:tc>
          <w:tcPr>
            <w:tcW w:w="1089" w:type="dxa"/>
            <w:tcBorders>
              <w:top w:val="single" w:color="auto" w:sz="8" w:space="0"/>
              <w:left w:val="nil"/>
              <w:bottom w:val="nil"/>
              <w:right w:val="nil"/>
            </w:tcBorders>
            <w:vAlign w:val="center"/>
          </w:tcPr>
          <w:p w14:paraId="3500EA39">
            <w:pPr>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22" w:type="dxa"/>
            <w:tcBorders>
              <w:top w:val="single" w:color="auto" w:sz="8" w:space="0"/>
              <w:left w:val="nil"/>
              <w:bottom w:val="nil"/>
              <w:right w:val="nil"/>
            </w:tcBorders>
            <w:vAlign w:val="center"/>
          </w:tcPr>
          <w:p w14:paraId="2F4A200F">
            <w:pPr>
              <w:ind w:left="0" w:leftChars="0" w:firstLine="0" w:firstLineChars="0"/>
              <w:jc w:val="center"/>
              <w:rPr>
                <w:rFonts w:hint="default"/>
                <w:vertAlign w:val="baseline"/>
                <w:lang w:val="en-US" w:eastAsia="zh-CN"/>
              </w:rPr>
            </w:pPr>
            <w:r>
              <w:rPr>
                <w:rFonts w:hint="default"/>
                <w:vertAlign w:val="baseline"/>
                <w:lang w:val="en-US" w:eastAsia="zh-CN"/>
              </w:rPr>
              <w:t>AUROC</w:t>
            </w:r>
          </w:p>
        </w:tc>
        <w:tc>
          <w:tcPr>
            <w:tcW w:w="1344" w:type="dxa"/>
            <w:tcBorders>
              <w:top w:val="single" w:color="auto" w:sz="8" w:space="0"/>
              <w:left w:val="nil"/>
              <w:bottom w:val="nil"/>
              <w:right w:val="nil"/>
            </w:tcBorders>
            <w:vAlign w:val="center"/>
          </w:tcPr>
          <w:p w14:paraId="5566F505">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12A77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36FC63C2">
            <w:pPr>
              <w:ind w:left="0" w:leftChars="0" w:firstLine="0" w:firstLineChars="0"/>
              <w:jc w:val="center"/>
              <w:rPr>
                <w:rFonts w:hint="eastAsia"/>
                <w:vertAlign w:val="baseline"/>
                <w:lang w:val="en-US" w:eastAsia="zh-CN"/>
              </w:rPr>
            </w:pPr>
          </w:p>
        </w:tc>
        <w:tc>
          <w:tcPr>
            <w:tcW w:w="1966" w:type="dxa"/>
            <w:tcBorders>
              <w:top w:val="nil"/>
              <w:left w:val="nil"/>
              <w:bottom w:val="nil"/>
              <w:right w:val="nil"/>
            </w:tcBorders>
            <w:vAlign w:val="center"/>
          </w:tcPr>
          <w:p w14:paraId="03D05337">
            <w:pPr>
              <w:ind w:left="0" w:leftChars="0" w:firstLine="0" w:firstLineChars="0"/>
              <w:jc w:val="center"/>
              <w:rPr>
                <w:rFonts w:hint="default"/>
                <w:vertAlign w:val="baseline"/>
                <w:lang w:val="en-US" w:eastAsia="zh-CN"/>
              </w:rPr>
            </w:pPr>
            <w:r>
              <w:rPr>
                <w:rFonts w:hint="eastAsia"/>
                <w:vertAlign w:val="baseline"/>
                <w:lang w:val="en-US" w:eastAsia="zh-CN"/>
              </w:rPr>
              <w:t>PPBR</w:t>
            </w:r>
          </w:p>
        </w:tc>
        <w:tc>
          <w:tcPr>
            <w:tcW w:w="1080" w:type="dxa"/>
            <w:tcBorders>
              <w:top w:val="nil"/>
              <w:left w:val="nil"/>
              <w:bottom w:val="nil"/>
              <w:right w:val="nil"/>
            </w:tcBorders>
            <w:vAlign w:val="center"/>
          </w:tcPr>
          <w:p w14:paraId="5A9D130E">
            <w:pPr>
              <w:ind w:left="0" w:leftChars="0" w:firstLine="0" w:firstLineChars="0"/>
              <w:jc w:val="center"/>
              <w:rPr>
                <w:rFonts w:hint="default"/>
                <w:vertAlign w:val="baseline"/>
                <w:lang w:val="en-US" w:eastAsia="zh-CN"/>
              </w:rPr>
            </w:pPr>
            <w:r>
              <w:rPr>
                <w:rFonts w:hint="eastAsia"/>
                <w:vertAlign w:val="baseline"/>
                <w:lang w:val="en-US" w:eastAsia="zh-CN"/>
              </w:rPr>
              <w:t>1797</w:t>
            </w:r>
          </w:p>
        </w:tc>
        <w:tc>
          <w:tcPr>
            <w:tcW w:w="1089" w:type="dxa"/>
            <w:tcBorders>
              <w:top w:val="nil"/>
              <w:left w:val="nil"/>
              <w:bottom w:val="nil"/>
              <w:right w:val="nil"/>
            </w:tcBorders>
            <w:vAlign w:val="center"/>
          </w:tcPr>
          <w:p w14:paraId="6CC587C6">
            <w:pPr>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22" w:type="dxa"/>
            <w:tcBorders>
              <w:top w:val="nil"/>
              <w:left w:val="nil"/>
              <w:bottom w:val="nil"/>
              <w:right w:val="nil"/>
            </w:tcBorders>
            <w:vAlign w:val="center"/>
          </w:tcPr>
          <w:p w14:paraId="327E3784">
            <w:pPr>
              <w:ind w:left="0" w:leftChars="0" w:firstLine="0" w:firstLineChars="0"/>
              <w:jc w:val="center"/>
              <w:rPr>
                <w:rFonts w:hint="default"/>
                <w:vertAlign w:val="baseline"/>
                <w:lang w:val="en-US" w:eastAsia="zh-CN"/>
              </w:rPr>
            </w:pPr>
            <w:r>
              <w:rPr>
                <w:rFonts w:hint="default"/>
                <w:vertAlign w:val="baseline"/>
                <w:lang w:val="en-US" w:eastAsia="zh-CN"/>
              </w:rPr>
              <w:t>MAE</w:t>
            </w:r>
          </w:p>
        </w:tc>
        <w:tc>
          <w:tcPr>
            <w:tcW w:w="1344" w:type="dxa"/>
            <w:tcBorders>
              <w:top w:val="nil"/>
              <w:left w:val="nil"/>
              <w:bottom w:val="nil"/>
              <w:right w:val="nil"/>
            </w:tcBorders>
            <w:vAlign w:val="center"/>
          </w:tcPr>
          <w:p w14:paraId="18A82BAF">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58834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single" w:color="auto" w:sz="8" w:space="0"/>
              <w:right w:val="nil"/>
            </w:tcBorders>
            <w:vAlign w:val="center"/>
          </w:tcPr>
          <w:p w14:paraId="70F30B31">
            <w:pPr>
              <w:ind w:left="0" w:leftChars="0" w:firstLine="0" w:firstLineChars="0"/>
              <w:jc w:val="center"/>
              <w:rPr>
                <w:rFonts w:hint="eastAsia"/>
                <w:vertAlign w:val="baseline"/>
                <w:lang w:val="en-US" w:eastAsia="zh-CN"/>
              </w:rPr>
            </w:pPr>
          </w:p>
        </w:tc>
        <w:tc>
          <w:tcPr>
            <w:tcW w:w="1966" w:type="dxa"/>
            <w:tcBorders>
              <w:top w:val="nil"/>
              <w:left w:val="nil"/>
              <w:bottom w:val="single" w:color="auto" w:sz="8" w:space="0"/>
              <w:right w:val="nil"/>
            </w:tcBorders>
            <w:vAlign w:val="center"/>
          </w:tcPr>
          <w:p w14:paraId="61D3D744">
            <w:pPr>
              <w:ind w:left="0" w:leftChars="0" w:firstLine="0" w:firstLineChars="0"/>
              <w:jc w:val="center"/>
              <w:rPr>
                <w:rFonts w:hint="default"/>
                <w:vertAlign w:val="baseline"/>
                <w:lang w:val="en-US" w:eastAsia="zh-CN"/>
              </w:rPr>
            </w:pPr>
            <w:r>
              <w:rPr>
                <w:rFonts w:hint="eastAsia"/>
                <w:vertAlign w:val="baseline"/>
                <w:lang w:val="en-US" w:eastAsia="zh-CN"/>
              </w:rPr>
              <w:t>VDss</w:t>
            </w:r>
          </w:p>
        </w:tc>
        <w:tc>
          <w:tcPr>
            <w:tcW w:w="1080" w:type="dxa"/>
            <w:tcBorders>
              <w:top w:val="nil"/>
              <w:left w:val="nil"/>
              <w:bottom w:val="single" w:color="auto" w:sz="8" w:space="0"/>
              <w:right w:val="nil"/>
            </w:tcBorders>
            <w:vAlign w:val="center"/>
          </w:tcPr>
          <w:p w14:paraId="226F528B">
            <w:pPr>
              <w:ind w:left="0" w:leftChars="0" w:firstLine="0" w:firstLineChars="0"/>
              <w:jc w:val="center"/>
              <w:rPr>
                <w:rFonts w:hint="default"/>
                <w:vertAlign w:val="baseline"/>
                <w:lang w:val="en-US" w:eastAsia="zh-CN"/>
              </w:rPr>
            </w:pPr>
            <w:r>
              <w:rPr>
                <w:rFonts w:hint="eastAsia"/>
                <w:vertAlign w:val="baseline"/>
                <w:lang w:val="en-US" w:eastAsia="zh-CN"/>
              </w:rPr>
              <w:t>1130</w:t>
            </w:r>
          </w:p>
        </w:tc>
        <w:tc>
          <w:tcPr>
            <w:tcW w:w="1089" w:type="dxa"/>
            <w:tcBorders>
              <w:top w:val="nil"/>
              <w:left w:val="nil"/>
              <w:bottom w:val="single" w:color="auto" w:sz="8" w:space="0"/>
              <w:right w:val="nil"/>
            </w:tcBorders>
            <w:vAlign w:val="center"/>
          </w:tcPr>
          <w:p w14:paraId="0BB3A47A">
            <w:pPr>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22" w:type="dxa"/>
            <w:tcBorders>
              <w:top w:val="nil"/>
              <w:left w:val="nil"/>
              <w:bottom w:val="single" w:color="auto" w:sz="8" w:space="0"/>
              <w:right w:val="nil"/>
            </w:tcBorders>
            <w:vAlign w:val="center"/>
          </w:tcPr>
          <w:p w14:paraId="2B28D8DE">
            <w:pPr>
              <w:ind w:left="0" w:leftChars="0" w:firstLine="0" w:firstLineChars="0"/>
              <w:jc w:val="center"/>
              <w:rPr>
                <w:rFonts w:hint="default"/>
                <w:vertAlign w:val="baseline"/>
                <w:lang w:val="en-US" w:eastAsia="zh-CN"/>
              </w:rPr>
            </w:pPr>
            <w:r>
              <w:rPr>
                <w:rFonts w:hint="default"/>
                <w:vertAlign w:val="baseline"/>
                <w:lang w:val="en-US" w:eastAsia="zh-CN"/>
              </w:rPr>
              <w:t>Spearman</w:t>
            </w:r>
          </w:p>
        </w:tc>
        <w:tc>
          <w:tcPr>
            <w:tcW w:w="1344" w:type="dxa"/>
            <w:tcBorders>
              <w:top w:val="nil"/>
              <w:left w:val="nil"/>
              <w:bottom w:val="single" w:color="auto" w:sz="8" w:space="0"/>
              <w:right w:val="nil"/>
            </w:tcBorders>
            <w:vAlign w:val="center"/>
          </w:tcPr>
          <w:p w14:paraId="1DCB693C">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0A6AA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16F6AD9E">
            <w:pPr>
              <w:ind w:left="0" w:leftChars="0" w:firstLine="0" w:firstLineChars="0"/>
              <w:jc w:val="center"/>
              <w:rPr>
                <w:rFonts w:hint="default"/>
                <w:vertAlign w:val="baseline"/>
                <w:lang w:val="en-US" w:eastAsia="zh-CN"/>
              </w:rPr>
            </w:pPr>
            <w:r>
              <w:rPr>
                <w:rFonts w:hint="eastAsia"/>
                <w:vertAlign w:val="baseline"/>
                <w:lang w:val="en-US" w:eastAsia="zh-CN"/>
              </w:rPr>
              <w:t>代谢</w:t>
            </w:r>
          </w:p>
        </w:tc>
        <w:tc>
          <w:tcPr>
            <w:tcW w:w="1966" w:type="dxa"/>
            <w:tcBorders>
              <w:top w:val="single" w:color="auto" w:sz="8" w:space="0"/>
              <w:left w:val="nil"/>
              <w:bottom w:val="nil"/>
              <w:right w:val="nil"/>
            </w:tcBorders>
            <w:vAlign w:val="center"/>
          </w:tcPr>
          <w:p w14:paraId="48BD2AAD">
            <w:pPr>
              <w:ind w:left="0" w:leftChars="0" w:firstLine="0" w:firstLineChars="0"/>
              <w:jc w:val="center"/>
              <w:rPr>
                <w:rFonts w:hint="eastAsia"/>
                <w:vertAlign w:val="baseline"/>
                <w:lang w:val="en-US" w:eastAsia="zh-CN"/>
              </w:rPr>
            </w:pPr>
            <w:r>
              <w:rPr>
                <w:rFonts w:hint="eastAsia"/>
                <w:vertAlign w:val="baseline"/>
                <w:lang w:val="en-US" w:eastAsia="zh-CN"/>
              </w:rPr>
              <w:t>CYP2C9 inhibition</w:t>
            </w:r>
          </w:p>
        </w:tc>
        <w:tc>
          <w:tcPr>
            <w:tcW w:w="1080" w:type="dxa"/>
            <w:tcBorders>
              <w:top w:val="single" w:color="auto" w:sz="8" w:space="0"/>
              <w:left w:val="nil"/>
              <w:bottom w:val="nil"/>
              <w:right w:val="nil"/>
            </w:tcBorders>
            <w:vAlign w:val="center"/>
          </w:tcPr>
          <w:p w14:paraId="123E7400">
            <w:pPr>
              <w:ind w:left="0" w:leftChars="0" w:firstLine="0" w:firstLineChars="0"/>
              <w:jc w:val="center"/>
              <w:rPr>
                <w:rFonts w:hint="default"/>
                <w:vertAlign w:val="baseline"/>
                <w:lang w:val="en-US" w:eastAsia="zh-CN"/>
              </w:rPr>
            </w:pPr>
            <w:r>
              <w:rPr>
                <w:rFonts w:hint="eastAsia"/>
                <w:vertAlign w:val="baseline"/>
                <w:lang w:val="en-US" w:eastAsia="zh-CN"/>
              </w:rPr>
              <w:t>12092</w:t>
            </w:r>
          </w:p>
        </w:tc>
        <w:tc>
          <w:tcPr>
            <w:tcW w:w="1089" w:type="dxa"/>
            <w:tcBorders>
              <w:top w:val="single" w:color="auto" w:sz="8" w:space="0"/>
              <w:left w:val="nil"/>
              <w:bottom w:val="nil"/>
              <w:right w:val="nil"/>
            </w:tcBorders>
            <w:vAlign w:val="center"/>
          </w:tcPr>
          <w:p w14:paraId="46EE05BE">
            <w:pPr>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22" w:type="dxa"/>
            <w:tcBorders>
              <w:top w:val="single" w:color="auto" w:sz="8" w:space="0"/>
              <w:left w:val="nil"/>
              <w:bottom w:val="nil"/>
              <w:right w:val="nil"/>
            </w:tcBorders>
            <w:vAlign w:val="center"/>
          </w:tcPr>
          <w:p w14:paraId="3599C966">
            <w:pPr>
              <w:ind w:left="0" w:leftChars="0" w:firstLine="0" w:firstLineChars="0"/>
              <w:jc w:val="center"/>
              <w:rPr>
                <w:rFonts w:hint="default"/>
                <w:vertAlign w:val="baseline"/>
                <w:lang w:val="en-US" w:eastAsia="zh-CN"/>
              </w:rPr>
            </w:pPr>
            <w:r>
              <w:rPr>
                <w:rFonts w:hint="default"/>
                <w:vertAlign w:val="baseline"/>
                <w:lang w:val="en-US" w:eastAsia="zh-CN"/>
              </w:rPr>
              <w:t>AUPRC</w:t>
            </w:r>
          </w:p>
        </w:tc>
        <w:tc>
          <w:tcPr>
            <w:tcW w:w="1344" w:type="dxa"/>
            <w:tcBorders>
              <w:top w:val="single" w:color="auto" w:sz="8" w:space="0"/>
              <w:left w:val="nil"/>
              <w:bottom w:val="nil"/>
              <w:right w:val="nil"/>
            </w:tcBorders>
            <w:vAlign w:val="center"/>
          </w:tcPr>
          <w:p w14:paraId="1AAB7757">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7E6CB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2DFDA47D">
            <w:pPr>
              <w:ind w:left="0" w:leftChars="0" w:firstLine="0" w:firstLineChars="0"/>
              <w:jc w:val="center"/>
              <w:rPr>
                <w:rFonts w:hint="eastAsia"/>
                <w:vertAlign w:val="baseline"/>
                <w:lang w:val="en-US" w:eastAsia="zh-CN"/>
              </w:rPr>
            </w:pPr>
          </w:p>
        </w:tc>
        <w:tc>
          <w:tcPr>
            <w:tcW w:w="1966" w:type="dxa"/>
            <w:tcBorders>
              <w:top w:val="nil"/>
              <w:left w:val="nil"/>
              <w:bottom w:val="nil"/>
              <w:right w:val="nil"/>
            </w:tcBorders>
            <w:vAlign w:val="center"/>
          </w:tcPr>
          <w:p w14:paraId="601EF22B">
            <w:pPr>
              <w:ind w:left="0" w:leftChars="0" w:firstLine="0" w:firstLineChars="0"/>
              <w:jc w:val="center"/>
              <w:rPr>
                <w:rFonts w:hint="eastAsia"/>
                <w:vertAlign w:val="baseline"/>
                <w:lang w:val="en-US" w:eastAsia="zh-CN"/>
              </w:rPr>
            </w:pPr>
            <w:r>
              <w:rPr>
                <w:rFonts w:hint="eastAsia"/>
                <w:vertAlign w:val="baseline"/>
                <w:lang w:val="en-US" w:eastAsia="zh-CN"/>
              </w:rPr>
              <w:t>CYP2D6 inhibition</w:t>
            </w:r>
          </w:p>
        </w:tc>
        <w:tc>
          <w:tcPr>
            <w:tcW w:w="1080" w:type="dxa"/>
            <w:tcBorders>
              <w:top w:val="nil"/>
              <w:left w:val="nil"/>
              <w:bottom w:val="nil"/>
              <w:right w:val="nil"/>
            </w:tcBorders>
            <w:vAlign w:val="center"/>
          </w:tcPr>
          <w:p w14:paraId="5B0E4E20">
            <w:pPr>
              <w:ind w:left="0" w:leftChars="0" w:firstLine="0" w:firstLineChars="0"/>
              <w:jc w:val="center"/>
              <w:rPr>
                <w:rFonts w:hint="default"/>
                <w:vertAlign w:val="baseline"/>
                <w:lang w:val="en-US" w:eastAsia="zh-CN"/>
              </w:rPr>
            </w:pPr>
            <w:r>
              <w:rPr>
                <w:rFonts w:hint="eastAsia"/>
                <w:vertAlign w:val="baseline"/>
                <w:lang w:val="en-US" w:eastAsia="zh-CN"/>
              </w:rPr>
              <w:t>13130</w:t>
            </w:r>
          </w:p>
        </w:tc>
        <w:tc>
          <w:tcPr>
            <w:tcW w:w="1089" w:type="dxa"/>
            <w:tcBorders>
              <w:top w:val="nil"/>
              <w:left w:val="nil"/>
              <w:bottom w:val="nil"/>
              <w:right w:val="nil"/>
            </w:tcBorders>
            <w:vAlign w:val="center"/>
          </w:tcPr>
          <w:p w14:paraId="2BDCA7C8">
            <w:pPr>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22" w:type="dxa"/>
            <w:tcBorders>
              <w:top w:val="nil"/>
              <w:left w:val="nil"/>
              <w:bottom w:val="nil"/>
              <w:right w:val="nil"/>
            </w:tcBorders>
            <w:vAlign w:val="center"/>
          </w:tcPr>
          <w:p w14:paraId="31BEEDE2">
            <w:pPr>
              <w:ind w:left="0" w:leftChars="0" w:firstLine="0" w:firstLineChars="0"/>
              <w:jc w:val="center"/>
              <w:rPr>
                <w:rFonts w:hint="default"/>
                <w:vertAlign w:val="baseline"/>
                <w:lang w:val="en-US" w:eastAsia="zh-CN"/>
              </w:rPr>
            </w:pPr>
            <w:r>
              <w:rPr>
                <w:rFonts w:hint="default"/>
                <w:vertAlign w:val="baseline"/>
                <w:lang w:val="en-US" w:eastAsia="zh-CN"/>
              </w:rPr>
              <w:t>AUPRC</w:t>
            </w:r>
          </w:p>
        </w:tc>
        <w:tc>
          <w:tcPr>
            <w:tcW w:w="1344" w:type="dxa"/>
            <w:tcBorders>
              <w:top w:val="nil"/>
              <w:left w:val="nil"/>
              <w:bottom w:val="nil"/>
              <w:right w:val="nil"/>
            </w:tcBorders>
            <w:vAlign w:val="center"/>
          </w:tcPr>
          <w:p w14:paraId="1B47E256">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576E2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7AD10127">
            <w:pPr>
              <w:ind w:left="0" w:leftChars="0" w:firstLine="0" w:firstLineChars="0"/>
              <w:jc w:val="center"/>
              <w:rPr>
                <w:rFonts w:hint="eastAsia"/>
                <w:vertAlign w:val="baseline"/>
                <w:lang w:val="en-US" w:eastAsia="zh-CN"/>
              </w:rPr>
            </w:pPr>
          </w:p>
        </w:tc>
        <w:tc>
          <w:tcPr>
            <w:tcW w:w="1966" w:type="dxa"/>
            <w:tcBorders>
              <w:top w:val="nil"/>
              <w:left w:val="nil"/>
              <w:bottom w:val="nil"/>
              <w:right w:val="nil"/>
            </w:tcBorders>
            <w:vAlign w:val="center"/>
          </w:tcPr>
          <w:p w14:paraId="616AB83B">
            <w:pPr>
              <w:ind w:left="0" w:leftChars="0" w:firstLine="0" w:firstLineChars="0"/>
              <w:jc w:val="center"/>
              <w:rPr>
                <w:rFonts w:hint="eastAsia"/>
                <w:vertAlign w:val="baseline"/>
                <w:lang w:val="en-US" w:eastAsia="zh-CN"/>
              </w:rPr>
            </w:pPr>
            <w:r>
              <w:rPr>
                <w:rFonts w:hint="eastAsia"/>
                <w:vertAlign w:val="baseline"/>
                <w:lang w:val="en-US" w:eastAsia="zh-CN"/>
              </w:rPr>
              <w:t>CYP3A4 Inhibition</w:t>
            </w:r>
          </w:p>
        </w:tc>
        <w:tc>
          <w:tcPr>
            <w:tcW w:w="1080" w:type="dxa"/>
            <w:tcBorders>
              <w:top w:val="nil"/>
              <w:left w:val="nil"/>
              <w:bottom w:val="nil"/>
              <w:right w:val="nil"/>
            </w:tcBorders>
            <w:vAlign w:val="center"/>
          </w:tcPr>
          <w:p w14:paraId="0E71CA5B">
            <w:pPr>
              <w:ind w:left="0" w:leftChars="0" w:firstLine="0" w:firstLineChars="0"/>
              <w:jc w:val="center"/>
              <w:rPr>
                <w:rFonts w:hint="default"/>
                <w:vertAlign w:val="baseline"/>
                <w:lang w:val="en-US" w:eastAsia="zh-CN"/>
              </w:rPr>
            </w:pPr>
            <w:r>
              <w:rPr>
                <w:rFonts w:hint="eastAsia"/>
                <w:vertAlign w:val="baseline"/>
                <w:lang w:val="en-US" w:eastAsia="zh-CN"/>
              </w:rPr>
              <w:t>12328</w:t>
            </w:r>
          </w:p>
        </w:tc>
        <w:tc>
          <w:tcPr>
            <w:tcW w:w="1089" w:type="dxa"/>
            <w:tcBorders>
              <w:top w:val="nil"/>
              <w:left w:val="nil"/>
              <w:bottom w:val="nil"/>
              <w:right w:val="nil"/>
            </w:tcBorders>
            <w:vAlign w:val="center"/>
          </w:tcPr>
          <w:p w14:paraId="56BAB049">
            <w:pPr>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22" w:type="dxa"/>
            <w:tcBorders>
              <w:top w:val="nil"/>
              <w:left w:val="nil"/>
              <w:bottom w:val="nil"/>
              <w:right w:val="nil"/>
            </w:tcBorders>
            <w:vAlign w:val="center"/>
          </w:tcPr>
          <w:p w14:paraId="1C9F4BBD">
            <w:pPr>
              <w:ind w:left="0" w:leftChars="0" w:firstLine="0" w:firstLineChars="0"/>
              <w:jc w:val="center"/>
              <w:rPr>
                <w:rFonts w:hint="default"/>
                <w:vertAlign w:val="baseline"/>
                <w:lang w:val="en-US" w:eastAsia="zh-CN"/>
              </w:rPr>
            </w:pPr>
            <w:r>
              <w:rPr>
                <w:rFonts w:hint="default"/>
                <w:vertAlign w:val="baseline"/>
                <w:lang w:val="en-US" w:eastAsia="zh-CN"/>
              </w:rPr>
              <w:t>AUPRC</w:t>
            </w:r>
          </w:p>
        </w:tc>
        <w:tc>
          <w:tcPr>
            <w:tcW w:w="1344" w:type="dxa"/>
            <w:tcBorders>
              <w:top w:val="nil"/>
              <w:left w:val="nil"/>
              <w:bottom w:val="nil"/>
              <w:right w:val="nil"/>
            </w:tcBorders>
            <w:vAlign w:val="center"/>
          </w:tcPr>
          <w:p w14:paraId="28720074">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6CEBF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150FB33B">
            <w:pPr>
              <w:ind w:left="0" w:leftChars="0" w:firstLine="0" w:firstLineChars="0"/>
              <w:jc w:val="center"/>
              <w:rPr>
                <w:rFonts w:hint="eastAsia"/>
                <w:vertAlign w:val="baseline"/>
                <w:lang w:val="en-US" w:eastAsia="zh-CN"/>
              </w:rPr>
            </w:pPr>
          </w:p>
        </w:tc>
        <w:tc>
          <w:tcPr>
            <w:tcW w:w="1966" w:type="dxa"/>
            <w:tcBorders>
              <w:top w:val="nil"/>
              <w:left w:val="nil"/>
              <w:bottom w:val="nil"/>
              <w:right w:val="nil"/>
            </w:tcBorders>
            <w:vAlign w:val="center"/>
          </w:tcPr>
          <w:p w14:paraId="6366B998">
            <w:pPr>
              <w:ind w:left="0" w:leftChars="0" w:firstLine="0" w:firstLineChars="0"/>
              <w:jc w:val="center"/>
              <w:rPr>
                <w:rFonts w:hint="eastAsia"/>
                <w:vertAlign w:val="baseline"/>
                <w:lang w:val="en-US" w:eastAsia="zh-CN"/>
              </w:rPr>
            </w:pPr>
            <w:r>
              <w:rPr>
                <w:rFonts w:hint="eastAsia"/>
                <w:vertAlign w:val="baseline"/>
                <w:lang w:val="en-US" w:eastAsia="zh-CN"/>
              </w:rPr>
              <w:t>CYP2C9 Substrate</w:t>
            </w:r>
          </w:p>
        </w:tc>
        <w:tc>
          <w:tcPr>
            <w:tcW w:w="1080" w:type="dxa"/>
            <w:tcBorders>
              <w:top w:val="nil"/>
              <w:left w:val="nil"/>
              <w:bottom w:val="nil"/>
              <w:right w:val="nil"/>
            </w:tcBorders>
            <w:vAlign w:val="center"/>
          </w:tcPr>
          <w:p w14:paraId="46DB4E62">
            <w:pPr>
              <w:ind w:left="0" w:leftChars="0" w:firstLine="0" w:firstLineChars="0"/>
              <w:jc w:val="center"/>
              <w:rPr>
                <w:rFonts w:hint="default"/>
                <w:vertAlign w:val="baseline"/>
                <w:lang w:val="en-US" w:eastAsia="zh-CN"/>
              </w:rPr>
            </w:pPr>
            <w:r>
              <w:rPr>
                <w:rFonts w:hint="eastAsia"/>
                <w:vertAlign w:val="baseline"/>
                <w:lang w:val="en-US" w:eastAsia="zh-CN"/>
              </w:rPr>
              <w:t>666</w:t>
            </w:r>
          </w:p>
        </w:tc>
        <w:tc>
          <w:tcPr>
            <w:tcW w:w="1089" w:type="dxa"/>
            <w:tcBorders>
              <w:top w:val="nil"/>
              <w:left w:val="nil"/>
              <w:bottom w:val="nil"/>
              <w:right w:val="nil"/>
            </w:tcBorders>
            <w:vAlign w:val="center"/>
          </w:tcPr>
          <w:p w14:paraId="39C4D021">
            <w:pPr>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22" w:type="dxa"/>
            <w:tcBorders>
              <w:top w:val="nil"/>
              <w:left w:val="nil"/>
              <w:bottom w:val="nil"/>
              <w:right w:val="nil"/>
            </w:tcBorders>
            <w:vAlign w:val="center"/>
          </w:tcPr>
          <w:p w14:paraId="27242A87">
            <w:pPr>
              <w:ind w:left="0" w:leftChars="0" w:firstLine="0" w:firstLineChars="0"/>
              <w:jc w:val="center"/>
              <w:rPr>
                <w:rFonts w:hint="default"/>
                <w:vertAlign w:val="baseline"/>
                <w:lang w:val="en-US" w:eastAsia="zh-CN"/>
              </w:rPr>
            </w:pPr>
            <w:r>
              <w:rPr>
                <w:rFonts w:hint="default"/>
                <w:vertAlign w:val="baseline"/>
                <w:lang w:val="en-US" w:eastAsia="zh-CN"/>
              </w:rPr>
              <w:t>AUPRC</w:t>
            </w:r>
          </w:p>
        </w:tc>
        <w:tc>
          <w:tcPr>
            <w:tcW w:w="1344" w:type="dxa"/>
            <w:tcBorders>
              <w:top w:val="nil"/>
              <w:left w:val="nil"/>
              <w:bottom w:val="nil"/>
              <w:right w:val="nil"/>
            </w:tcBorders>
            <w:vAlign w:val="center"/>
          </w:tcPr>
          <w:p w14:paraId="61FAF515">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31C8A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2A64B533">
            <w:pPr>
              <w:ind w:left="0" w:leftChars="0" w:firstLine="0" w:firstLineChars="0"/>
              <w:jc w:val="center"/>
              <w:rPr>
                <w:rFonts w:hint="eastAsia"/>
                <w:vertAlign w:val="baseline"/>
                <w:lang w:val="en-US" w:eastAsia="zh-CN"/>
              </w:rPr>
            </w:pPr>
          </w:p>
        </w:tc>
        <w:tc>
          <w:tcPr>
            <w:tcW w:w="1966" w:type="dxa"/>
            <w:tcBorders>
              <w:top w:val="nil"/>
              <w:left w:val="nil"/>
              <w:bottom w:val="nil"/>
              <w:right w:val="nil"/>
            </w:tcBorders>
            <w:vAlign w:val="center"/>
          </w:tcPr>
          <w:p w14:paraId="38FFEDC2">
            <w:pPr>
              <w:ind w:left="0" w:leftChars="0" w:firstLine="0" w:firstLineChars="0"/>
              <w:jc w:val="center"/>
              <w:rPr>
                <w:rFonts w:hint="eastAsia"/>
                <w:vertAlign w:val="baseline"/>
                <w:lang w:val="en-US" w:eastAsia="zh-CN"/>
              </w:rPr>
            </w:pPr>
            <w:r>
              <w:rPr>
                <w:rFonts w:hint="eastAsia"/>
                <w:vertAlign w:val="baseline"/>
                <w:lang w:val="en-US" w:eastAsia="zh-CN"/>
              </w:rPr>
              <w:t>CYP2D6 Substrate</w:t>
            </w:r>
          </w:p>
        </w:tc>
        <w:tc>
          <w:tcPr>
            <w:tcW w:w="1080" w:type="dxa"/>
            <w:tcBorders>
              <w:top w:val="nil"/>
              <w:left w:val="nil"/>
              <w:bottom w:val="nil"/>
              <w:right w:val="nil"/>
            </w:tcBorders>
            <w:vAlign w:val="center"/>
          </w:tcPr>
          <w:p w14:paraId="2C913B1B">
            <w:pPr>
              <w:ind w:left="0" w:leftChars="0" w:firstLine="0" w:firstLineChars="0"/>
              <w:jc w:val="center"/>
              <w:rPr>
                <w:rFonts w:hint="default"/>
                <w:vertAlign w:val="baseline"/>
                <w:lang w:val="en-US" w:eastAsia="zh-CN"/>
              </w:rPr>
            </w:pPr>
            <w:r>
              <w:rPr>
                <w:rFonts w:hint="eastAsia"/>
                <w:vertAlign w:val="baseline"/>
                <w:lang w:val="en-US" w:eastAsia="zh-CN"/>
              </w:rPr>
              <w:t>664</w:t>
            </w:r>
          </w:p>
        </w:tc>
        <w:tc>
          <w:tcPr>
            <w:tcW w:w="1089" w:type="dxa"/>
            <w:tcBorders>
              <w:top w:val="nil"/>
              <w:left w:val="nil"/>
              <w:bottom w:val="nil"/>
              <w:right w:val="nil"/>
            </w:tcBorders>
            <w:vAlign w:val="center"/>
          </w:tcPr>
          <w:p w14:paraId="669B9260">
            <w:pPr>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22" w:type="dxa"/>
            <w:tcBorders>
              <w:top w:val="nil"/>
              <w:left w:val="nil"/>
              <w:bottom w:val="nil"/>
              <w:right w:val="nil"/>
            </w:tcBorders>
            <w:vAlign w:val="center"/>
          </w:tcPr>
          <w:p w14:paraId="07D5486D">
            <w:pPr>
              <w:ind w:left="0" w:leftChars="0" w:firstLine="0" w:firstLineChars="0"/>
              <w:jc w:val="center"/>
              <w:rPr>
                <w:rFonts w:hint="default"/>
                <w:vertAlign w:val="baseline"/>
                <w:lang w:val="en-US" w:eastAsia="zh-CN"/>
              </w:rPr>
            </w:pPr>
            <w:r>
              <w:rPr>
                <w:rFonts w:hint="default"/>
                <w:vertAlign w:val="baseline"/>
                <w:lang w:val="en-US" w:eastAsia="zh-CN"/>
              </w:rPr>
              <w:t>AUPRC</w:t>
            </w:r>
          </w:p>
        </w:tc>
        <w:tc>
          <w:tcPr>
            <w:tcW w:w="1344" w:type="dxa"/>
            <w:tcBorders>
              <w:top w:val="nil"/>
              <w:left w:val="nil"/>
              <w:bottom w:val="nil"/>
              <w:right w:val="nil"/>
            </w:tcBorders>
            <w:vAlign w:val="center"/>
          </w:tcPr>
          <w:p w14:paraId="1532B479">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5A418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single" w:color="auto" w:sz="8" w:space="0"/>
              <w:right w:val="nil"/>
            </w:tcBorders>
            <w:vAlign w:val="center"/>
          </w:tcPr>
          <w:p w14:paraId="046FFA28">
            <w:pPr>
              <w:ind w:left="0" w:leftChars="0" w:firstLine="0" w:firstLineChars="0"/>
              <w:jc w:val="center"/>
              <w:rPr>
                <w:rFonts w:hint="eastAsia"/>
                <w:vertAlign w:val="baseline"/>
                <w:lang w:val="en-US" w:eastAsia="zh-CN"/>
              </w:rPr>
            </w:pPr>
          </w:p>
        </w:tc>
        <w:tc>
          <w:tcPr>
            <w:tcW w:w="1966" w:type="dxa"/>
            <w:tcBorders>
              <w:top w:val="nil"/>
              <w:left w:val="nil"/>
              <w:bottom w:val="single" w:color="auto" w:sz="8" w:space="0"/>
              <w:right w:val="nil"/>
            </w:tcBorders>
            <w:vAlign w:val="center"/>
          </w:tcPr>
          <w:p w14:paraId="0CAFBD60">
            <w:pPr>
              <w:ind w:left="0" w:leftChars="0" w:firstLine="0" w:firstLineChars="0"/>
              <w:jc w:val="center"/>
              <w:rPr>
                <w:rFonts w:hint="eastAsia"/>
                <w:vertAlign w:val="baseline"/>
                <w:lang w:val="en-US" w:eastAsia="zh-CN"/>
              </w:rPr>
            </w:pPr>
            <w:r>
              <w:rPr>
                <w:rFonts w:hint="eastAsia"/>
                <w:vertAlign w:val="baseline"/>
                <w:lang w:val="en-US" w:eastAsia="zh-CN"/>
              </w:rPr>
              <w:t>CYP3A4 Substrate</w:t>
            </w:r>
          </w:p>
        </w:tc>
        <w:tc>
          <w:tcPr>
            <w:tcW w:w="1080" w:type="dxa"/>
            <w:tcBorders>
              <w:top w:val="nil"/>
              <w:left w:val="nil"/>
              <w:bottom w:val="single" w:color="auto" w:sz="8" w:space="0"/>
              <w:right w:val="nil"/>
            </w:tcBorders>
            <w:vAlign w:val="center"/>
          </w:tcPr>
          <w:p w14:paraId="5D1219EE">
            <w:pPr>
              <w:ind w:left="0" w:leftChars="0" w:firstLine="0" w:firstLineChars="0"/>
              <w:jc w:val="center"/>
              <w:rPr>
                <w:rFonts w:hint="default"/>
                <w:vertAlign w:val="baseline"/>
                <w:lang w:val="en-US" w:eastAsia="zh-CN"/>
              </w:rPr>
            </w:pPr>
            <w:r>
              <w:rPr>
                <w:rFonts w:hint="eastAsia"/>
                <w:vertAlign w:val="baseline"/>
                <w:lang w:val="en-US" w:eastAsia="zh-CN"/>
              </w:rPr>
              <w:t>667</w:t>
            </w:r>
          </w:p>
        </w:tc>
        <w:tc>
          <w:tcPr>
            <w:tcW w:w="1089" w:type="dxa"/>
            <w:tcBorders>
              <w:top w:val="nil"/>
              <w:left w:val="nil"/>
              <w:bottom w:val="single" w:color="auto" w:sz="8" w:space="0"/>
              <w:right w:val="nil"/>
            </w:tcBorders>
            <w:vAlign w:val="center"/>
          </w:tcPr>
          <w:p w14:paraId="7FB66D56">
            <w:pPr>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22" w:type="dxa"/>
            <w:tcBorders>
              <w:top w:val="nil"/>
              <w:left w:val="nil"/>
              <w:bottom w:val="single" w:color="auto" w:sz="8" w:space="0"/>
              <w:right w:val="nil"/>
            </w:tcBorders>
            <w:vAlign w:val="center"/>
          </w:tcPr>
          <w:p w14:paraId="043A288A">
            <w:pPr>
              <w:ind w:left="0" w:leftChars="0" w:firstLine="0" w:firstLineChars="0"/>
              <w:jc w:val="center"/>
              <w:rPr>
                <w:rFonts w:hint="default"/>
                <w:vertAlign w:val="baseline"/>
                <w:lang w:val="en-US" w:eastAsia="zh-CN"/>
              </w:rPr>
            </w:pPr>
            <w:r>
              <w:rPr>
                <w:rFonts w:hint="default"/>
                <w:vertAlign w:val="baseline"/>
                <w:lang w:val="en-US" w:eastAsia="zh-CN"/>
              </w:rPr>
              <w:t>AUPRC</w:t>
            </w:r>
          </w:p>
        </w:tc>
        <w:tc>
          <w:tcPr>
            <w:tcW w:w="1344" w:type="dxa"/>
            <w:tcBorders>
              <w:top w:val="nil"/>
              <w:left w:val="nil"/>
              <w:bottom w:val="single" w:color="auto" w:sz="8" w:space="0"/>
              <w:right w:val="nil"/>
            </w:tcBorders>
            <w:vAlign w:val="center"/>
          </w:tcPr>
          <w:p w14:paraId="003E52B8">
            <w:pPr>
              <w:tabs>
                <w:tab w:val="center" w:pos="564"/>
              </w:tabs>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3BAB6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376AF032">
            <w:pPr>
              <w:ind w:left="0" w:leftChars="0" w:firstLine="0" w:firstLineChars="0"/>
              <w:jc w:val="center"/>
              <w:rPr>
                <w:rFonts w:hint="default"/>
                <w:vertAlign w:val="baseline"/>
                <w:lang w:val="en-US" w:eastAsia="zh-CN"/>
              </w:rPr>
            </w:pPr>
            <w:r>
              <w:rPr>
                <w:rFonts w:hint="eastAsia"/>
                <w:vertAlign w:val="baseline"/>
                <w:lang w:val="en-US" w:eastAsia="zh-CN"/>
              </w:rPr>
              <w:t>排泄</w:t>
            </w:r>
          </w:p>
        </w:tc>
        <w:tc>
          <w:tcPr>
            <w:tcW w:w="1966" w:type="dxa"/>
            <w:tcBorders>
              <w:top w:val="single" w:color="auto" w:sz="8" w:space="0"/>
              <w:left w:val="nil"/>
              <w:bottom w:val="nil"/>
              <w:right w:val="nil"/>
            </w:tcBorders>
            <w:vAlign w:val="center"/>
          </w:tcPr>
          <w:p w14:paraId="178808CB">
            <w:pPr>
              <w:ind w:left="0" w:leftChars="0" w:firstLine="0" w:firstLineChars="0"/>
              <w:jc w:val="center"/>
              <w:rPr>
                <w:rFonts w:hint="eastAsia"/>
                <w:vertAlign w:val="baseline"/>
                <w:lang w:val="en-US" w:eastAsia="zh-CN"/>
              </w:rPr>
            </w:pPr>
            <w:r>
              <w:rPr>
                <w:rFonts w:hint="eastAsia"/>
                <w:vertAlign w:val="baseline"/>
                <w:lang w:val="en-US" w:eastAsia="zh-CN"/>
              </w:rPr>
              <w:t>Half life</w:t>
            </w:r>
          </w:p>
        </w:tc>
        <w:tc>
          <w:tcPr>
            <w:tcW w:w="1080" w:type="dxa"/>
            <w:tcBorders>
              <w:top w:val="single" w:color="auto" w:sz="8" w:space="0"/>
              <w:left w:val="nil"/>
              <w:bottom w:val="nil"/>
              <w:right w:val="nil"/>
            </w:tcBorders>
            <w:vAlign w:val="center"/>
          </w:tcPr>
          <w:p w14:paraId="2D01FC52">
            <w:pPr>
              <w:ind w:left="0" w:leftChars="0" w:firstLine="0" w:firstLineChars="0"/>
              <w:jc w:val="center"/>
              <w:rPr>
                <w:rFonts w:hint="default"/>
                <w:vertAlign w:val="baseline"/>
                <w:lang w:val="en-US" w:eastAsia="zh-CN"/>
              </w:rPr>
            </w:pPr>
            <w:r>
              <w:rPr>
                <w:rFonts w:hint="eastAsia"/>
                <w:vertAlign w:val="baseline"/>
                <w:lang w:val="en-US" w:eastAsia="zh-CN"/>
              </w:rPr>
              <w:t>667</w:t>
            </w:r>
          </w:p>
        </w:tc>
        <w:tc>
          <w:tcPr>
            <w:tcW w:w="1089" w:type="dxa"/>
            <w:tcBorders>
              <w:top w:val="single" w:color="auto" w:sz="8" w:space="0"/>
              <w:left w:val="nil"/>
              <w:bottom w:val="nil"/>
              <w:right w:val="nil"/>
            </w:tcBorders>
            <w:vAlign w:val="center"/>
          </w:tcPr>
          <w:p w14:paraId="61597153">
            <w:pPr>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22" w:type="dxa"/>
            <w:tcBorders>
              <w:top w:val="single" w:color="auto" w:sz="8" w:space="0"/>
              <w:left w:val="nil"/>
              <w:bottom w:val="nil"/>
              <w:right w:val="nil"/>
            </w:tcBorders>
            <w:vAlign w:val="center"/>
          </w:tcPr>
          <w:p w14:paraId="41C3028D">
            <w:pPr>
              <w:ind w:left="0" w:leftChars="0" w:firstLine="0" w:firstLineChars="0"/>
              <w:jc w:val="center"/>
              <w:rPr>
                <w:rFonts w:hint="default"/>
                <w:vertAlign w:val="baseline"/>
                <w:lang w:val="en-US" w:eastAsia="zh-CN"/>
              </w:rPr>
            </w:pPr>
            <w:r>
              <w:rPr>
                <w:rFonts w:hint="default"/>
                <w:vertAlign w:val="baseline"/>
                <w:lang w:val="en-US" w:eastAsia="zh-CN"/>
              </w:rPr>
              <w:t>Spearman</w:t>
            </w:r>
          </w:p>
        </w:tc>
        <w:tc>
          <w:tcPr>
            <w:tcW w:w="1344" w:type="dxa"/>
            <w:tcBorders>
              <w:top w:val="single" w:color="auto" w:sz="8" w:space="0"/>
              <w:left w:val="nil"/>
              <w:bottom w:val="nil"/>
              <w:right w:val="nil"/>
            </w:tcBorders>
            <w:vAlign w:val="center"/>
          </w:tcPr>
          <w:p w14:paraId="7B18AA81">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48213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0B15A6D0">
            <w:pPr>
              <w:ind w:left="0" w:leftChars="0" w:firstLine="0" w:firstLineChars="0"/>
              <w:jc w:val="center"/>
              <w:rPr>
                <w:rFonts w:hint="eastAsia"/>
                <w:vertAlign w:val="baseline"/>
                <w:lang w:val="en-US" w:eastAsia="zh-CN"/>
              </w:rPr>
            </w:pPr>
          </w:p>
        </w:tc>
        <w:tc>
          <w:tcPr>
            <w:tcW w:w="1966" w:type="dxa"/>
            <w:tcBorders>
              <w:top w:val="nil"/>
              <w:left w:val="nil"/>
              <w:bottom w:val="nil"/>
              <w:right w:val="nil"/>
            </w:tcBorders>
            <w:vAlign w:val="center"/>
          </w:tcPr>
          <w:p w14:paraId="1D9C5AE3">
            <w:pPr>
              <w:ind w:left="0" w:leftChars="0" w:firstLine="0" w:firstLineChars="0"/>
              <w:jc w:val="center"/>
              <w:rPr>
                <w:rFonts w:hint="eastAsia"/>
                <w:vertAlign w:val="baseline"/>
                <w:lang w:val="en-US" w:eastAsia="zh-CN"/>
              </w:rPr>
            </w:pPr>
            <w:r>
              <w:rPr>
                <w:rFonts w:hint="eastAsia"/>
                <w:vertAlign w:val="baseline"/>
                <w:lang w:val="en-US" w:eastAsia="zh-CN"/>
              </w:rPr>
              <w:t>CL-Hepa</w:t>
            </w:r>
          </w:p>
        </w:tc>
        <w:tc>
          <w:tcPr>
            <w:tcW w:w="1080" w:type="dxa"/>
            <w:tcBorders>
              <w:top w:val="nil"/>
              <w:left w:val="nil"/>
              <w:bottom w:val="nil"/>
              <w:right w:val="nil"/>
            </w:tcBorders>
            <w:vAlign w:val="center"/>
          </w:tcPr>
          <w:p w14:paraId="262CC0BC">
            <w:pPr>
              <w:ind w:left="0" w:leftChars="0" w:firstLine="0" w:firstLineChars="0"/>
              <w:jc w:val="center"/>
              <w:rPr>
                <w:rFonts w:hint="default"/>
                <w:vertAlign w:val="baseline"/>
                <w:lang w:val="en-US" w:eastAsia="zh-CN"/>
              </w:rPr>
            </w:pPr>
            <w:r>
              <w:rPr>
                <w:rFonts w:hint="eastAsia"/>
                <w:vertAlign w:val="baseline"/>
                <w:lang w:val="en-US" w:eastAsia="zh-CN"/>
              </w:rPr>
              <w:t>1020</w:t>
            </w:r>
          </w:p>
        </w:tc>
        <w:tc>
          <w:tcPr>
            <w:tcW w:w="1089" w:type="dxa"/>
            <w:tcBorders>
              <w:top w:val="nil"/>
              <w:left w:val="nil"/>
              <w:bottom w:val="nil"/>
              <w:right w:val="nil"/>
            </w:tcBorders>
            <w:vAlign w:val="center"/>
          </w:tcPr>
          <w:p w14:paraId="10B3B964">
            <w:pPr>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22" w:type="dxa"/>
            <w:tcBorders>
              <w:top w:val="nil"/>
              <w:left w:val="nil"/>
              <w:bottom w:val="nil"/>
              <w:right w:val="nil"/>
            </w:tcBorders>
            <w:vAlign w:val="center"/>
          </w:tcPr>
          <w:p w14:paraId="00236E7B">
            <w:pPr>
              <w:ind w:left="0" w:leftChars="0" w:firstLine="0" w:firstLineChars="0"/>
              <w:jc w:val="center"/>
              <w:rPr>
                <w:rFonts w:hint="default"/>
                <w:vertAlign w:val="baseline"/>
                <w:lang w:val="en-US" w:eastAsia="zh-CN"/>
              </w:rPr>
            </w:pPr>
            <w:r>
              <w:rPr>
                <w:rFonts w:hint="default"/>
                <w:vertAlign w:val="baseline"/>
                <w:lang w:val="en-US" w:eastAsia="zh-CN"/>
              </w:rPr>
              <w:t>Spearman</w:t>
            </w:r>
          </w:p>
        </w:tc>
        <w:tc>
          <w:tcPr>
            <w:tcW w:w="1344" w:type="dxa"/>
            <w:tcBorders>
              <w:top w:val="nil"/>
              <w:left w:val="nil"/>
              <w:bottom w:val="nil"/>
              <w:right w:val="nil"/>
            </w:tcBorders>
            <w:vAlign w:val="center"/>
          </w:tcPr>
          <w:p w14:paraId="18CBE28A">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69BA6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single" w:color="auto" w:sz="8" w:space="0"/>
              <w:right w:val="nil"/>
            </w:tcBorders>
            <w:vAlign w:val="center"/>
          </w:tcPr>
          <w:p w14:paraId="1FE04975">
            <w:pPr>
              <w:ind w:left="0" w:leftChars="0" w:firstLine="0" w:firstLineChars="0"/>
              <w:jc w:val="center"/>
              <w:rPr>
                <w:rFonts w:hint="eastAsia"/>
                <w:vertAlign w:val="baseline"/>
                <w:lang w:val="en-US" w:eastAsia="zh-CN"/>
              </w:rPr>
            </w:pPr>
          </w:p>
        </w:tc>
        <w:tc>
          <w:tcPr>
            <w:tcW w:w="1966" w:type="dxa"/>
            <w:tcBorders>
              <w:top w:val="nil"/>
              <w:left w:val="nil"/>
              <w:bottom w:val="single" w:color="auto" w:sz="8" w:space="0"/>
              <w:right w:val="nil"/>
            </w:tcBorders>
            <w:vAlign w:val="center"/>
          </w:tcPr>
          <w:p w14:paraId="61C73998">
            <w:pPr>
              <w:ind w:left="0" w:leftChars="0" w:firstLine="0" w:firstLineChars="0"/>
              <w:jc w:val="center"/>
              <w:rPr>
                <w:rFonts w:hint="eastAsia"/>
                <w:vertAlign w:val="baseline"/>
                <w:lang w:val="en-US" w:eastAsia="zh-CN"/>
              </w:rPr>
            </w:pPr>
            <w:r>
              <w:rPr>
                <w:rFonts w:hint="eastAsia"/>
                <w:vertAlign w:val="baseline"/>
                <w:lang w:val="en-US" w:eastAsia="zh-CN"/>
              </w:rPr>
              <w:t>CL-Micro</w:t>
            </w:r>
          </w:p>
        </w:tc>
        <w:tc>
          <w:tcPr>
            <w:tcW w:w="1080" w:type="dxa"/>
            <w:tcBorders>
              <w:top w:val="nil"/>
              <w:left w:val="nil"/>
              <w:bottom w:val="single" w:color="auto" w:sz="8" w:space="0"/>
              <w:right w:val="nil"/>
            </w:tcBorders>
            <w:vAlign w:val="center"/>
          </w:tcPr>
          <w:p w14:paraId="1038C20F">
            <w:pPr>
              <w:ind w:left="0" w:leftChars="0" w:firstLine="0" w:firstLineChars="0"/>
              <w:jc w:val="center"/>
              <w:rPr>
                <w:rFonts w:hint="default"/>
                <w:vertAlign w:val="baseline"/>
                <w:lang w:val="en-US" w:eastAsia="zh-CN"/>
              </w:rPr>
            </w:pPr>
            <w:r>
              <w:rPr>
                <w:rFonts w:hint="eastAsia"/>
                <w:vertAlign w:val="baseline"/>
                <w:lang w:val="en-US" w:eastAsia="zh-CN"/>
              </w:rPr>
              <w:t>1102</w:t>
            </w:r>
          </w:p>
        </w:tc>
        <w:tc>
          <w:tcPr>
            <w:tcW w:w="1089" w:type="dxa"/>
            <w:tcBorders>
              <w:top w:val="nil"/>
              <w:left w:val="nil"/>
              <w:bottom w:val="single" w:color="auto" w:sz="8" w:space="0"/>
              <w:right w:val="nil"/>
            </w:tcBorders>
            <w:vAlign w:val="center"/>
          </w:tcPr>
          <w:p w14:paraId="4CD1130D">
            <w:pPr>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22" w:type="dxa"/>
            <w:tcBorders>
              <w:top w:val="nil"/>
              <w:left w:val="nil"/>
              <w:bottom w:val="single" w:color="auto" w:sz="8" w:space="0"/>
              <w:right w:val="nil"/>
            </w:tcBorders>
            <w:vAlign w:val="center"/>
          </w:tcPr>
          <w:p w14:paraId="602ADBBE">
            <w:pPr>
              <w:ind w:left="0" w:leftChars="0" w:firstLine="0" w:firstLineChars="0"/>
              <w:jc w:val="center"/>
              <w:rPr>
                <w:rFonts w:hint="default"/>
                <w:vertAlign w:val="baseline"/>
                <w:lang w:val="en-US" w:eastAsia="zh-CN"/>
              </w:rPr>
            </w:pPr>
            <w:r>
              <w:rPr>
                <w:rFonts w:hint="default"/>
                <w:vertAlign w:val="baseline"/>
                <w:lang w:val="en-US" w:eastAsia="zh-CN"/>
              </w:rPr>
              <w:t>Spearman</w:t>
            </w:r>
          </w:p>
        </w:tc>
        <w:tc>
          <w:tcPr>
            <w:tcW w:w="1344" w:type="dxa"/>
            <w:tcBorders>
              <w:top w:val="nil"/>
              <w:left w:val="nil"/>
              <w:bottom w:val="single" w:color="auto" w:sz="8" w:space="0"/>
              <w:right w:val="nil"/>
            </w:tcBorders>
            <w:vAlign w:val="center"/>
          </w:tcPr>
          <w:p w14:paraId="726FF078">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6D241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restart"/>
            <w:tcBorders>
              <w:top w:val="single" w:color="auto" w:sz="8" w:space="0"/>
              <w:left w:val="nil"/>
              <w:bottom w:val="nil"/>
              <w:right w:val="nil"/>
            </w:tcBorders>
            <w:vAlign w:val="center"/>
          </w:tcPr>
          <w:p w14:paraId="623176B5">
            <w:pPr>
              <w:ind w:left="0" w:leftChars="0" w:firstLine="0" w:firstLineChars="0"/>
              <w:jc w:val="center"/>
              <w:rPr>
                <w:rFonts w:hint="default"/>
                <w:vertAlign w:val="baseline"/>
                <w:lang w:val="en-US" w:eastAsia="zh-CN"/>
              </w:rPr>
            </w:pPr>
            <w:r>
              <w:rPr>
                <w:rFonts w:hint="eastAsia"/>
                <w:vertAlign w:val="baseline"/>
                <w:lang w:val="en-US" w:eastAsia="zh-CN"/>
              </w:rPr>
              <w:t>毒性</w:t>
            </w:r>
          </w:p>
        </w:tc>
        <w:tc>
          <w:tcPr>
            <w:tcW w:w="1966" w:type="dxa"/>
            <w:tcBorders>
              <w:top w:val="single" w:color="auto" w:sz="8" w:space="0"/>
              <w:left w:val="nil"/>
              <w:bottom w:val="nil"/>
              <w:right w:val="nil"/>
            </w:tcBorders>
            <w:vAlign w:val="center"/>
          </w:tcPr>
          <w:p w14:paraId="02A8BE9E">
            <w:pPr>
              <w:ind w:left="0" w:leftChars="0" w:firstLine="0" w:firstLineChars="0"/>
              <w:jc w:val="center"/>
              <w:rPr>
                <w:rFonts w:hint="eastAsia"/>
                <w:vertAlign w:val="baseline"/>
                <w:lang w:val="en-US" w:eastAsia="zh-CN"/>
              </w:rPr>
            </w:pPr>
            <w:r>
              <w:rPr>
                <w:rFonts w:hint="eastAsia"/>
                <w:vertAlign w:val="baseline"/>
                <w:lang w:val="en-US" w:eastAsia="zh-CN"/>
              </w:rPr>
              <w:t>LD50</w:t>
            </w:r>
          </w:p>
        </w:tc>
        <w:tc>
          <w:tcPr>
            <w:tcW w:w="1080" w:type="dxa"/>
            <w:tcBorders>
              <w:top w:val="single" w:color="auto" w:sz="8" w:space="0"/>
              <w:left w:val="nil"/>
              <w:bottom w:val="nil"/>
              <w:right w:val="nil"/>
            </w:tcBorders>
            <w:vAlign w:val="center"/>
          </w:tcPr>
          <w:p w14:paraId="6C738C5C">
            <w:pPr>
              <w:ind w:left="0" w:leftChars="0" w:firstLine="0" w:firstLineChars="0"/>
              <w:jc w:val="center"/>
              <w:rPr>
                <w:rFonts w:hint="default"/>
                <w:vertAlign w:val="baseline"/>
                <w:lang w:val="en-US" w:eastAsia="zh-CN"/>
              </w:rPr>
            </w:pPr>
            <w:r>
              <w:rPr>
                <w:rFonts w:hint="eastAsia"/>
                <w:vertAlign w:val="baseline"/>
                <w:lang w:val="en-US" w:eastAsia="zh-CN"/>
              </w:rPr>
              <w:t>7385</w:t>
            </w:r>
          </w:p>
        </w:tc>
        <w:tc>
          <w:tcPr>
            <w:tcW w:w="1089" w:type="dxa"/>
            <w:tcBorders>
              <w:top w:val="single" w:color="auto" w:sz="8" w:space="0"/>
              <w:left w:val="nil"/>
              <w:bottom w:val="nil"/>
              <w:right w:val="nil"/>
            </w:tcBorders>
            <w:vAlign w:val="center"/>
          </w:tcPr>
          <w:p w14:paraId="419BB803">
            <w:pPr>
              <w:ind w:left="0" w:leftChars="0" w:firstLine="0" w:firstLineChars="0"/>
              <w:jc w:val="center"/>
              <w:rPr>
                <w:rFonts w:hint="default"/>
                <w:vertAlign w:val="baseline"/>
                <w:lang w:val="en-US" w:eastAsia="zh-CN"/>
              </w:rPr>
            </w:pPr>
            <w:r>
              <w:rPr>
                <w:rFonts w:hint="eastAsia"/>
                <w:vertAlign w:val="baseline"/>
                <w:lang w:val="en-US" w:eastAsia="zh-CN"/>
              </w:rPr>
              <w:t>回归</w:t>
            </w:r>
          </w:p>
        </w:tc>
        <w:tc>
          <w:tcPr>
            <w:tcW w:w="1122" w:type="dxa"/>
            <w:tcBorders>
              <w:top w:val="single" w:color="auto" w:sz="8" w:space="0"/>
              <w:left w:val="nil"/>
              <w:bottom w:val="nil"/>
              <w:right w:val="nil"/>
            </w:tcBorders>
            <w:vAlign w:val="center"/>
          </w:tcPr>
          <w:p w14:paraId="65D17E4F">
            <w:pPr>
              <w:ind w:left="0" w:leftChars="0" w:firstLine="0" w:firstLineChars="0"/>
              <w:jc w:val="center"/>
              <w:rPr>
                <w:rFonts w:hint="default"/>
                <w:vertAlign w:val="baseline"/>
                <w:lang w:val="en-US" w:eastAsia="zh-CN"/>
              </w:rPr>
            </w:pPr>
            <w:r>
              <w:rPr>
                <w:rFonts w:hint="default"/>
                <w:vertAlign w:val="baseline"/>
                <w:lang w:val="en-US" w:eastAsia="zh-CN"/>
              </w:rPr>
              <w:t>MAE</w:t>
            </w:r>
          </w:p>
        </w:tc>
        <w:tc>
          <w:tcPr>
            <w:tcW w:w="1344" w:type="dxa"/>
            <w:tcBorders>
              <w:top w:val="single" w:color="auto" w:sz="8" w:space="0"/>
              <w:left w:val="nil"/>
              <w:bottom w:val="nil"/>
              <w:right w:val="nil"/>
            </w:tcBorders>
            <w:vAlign w:val="center"/>
          </w:tcPr>
          <w:p w14:paraId="52F34EC1">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04432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3B1A7441">
            <w:pPr>
              <w:ind w:left="0" w:leftChars="0" w:firstLine="0" w:firstLineChars="0"/>
              <w:jc w:val="center"/>
              <w:rPr>
                <w:rFonts w:hint="eastAsia"/>
                <w:vertAlign w:val="baseline"/>
                <w:lang w:val="en-US" w:eastAsia="zh-CN"/>
              </w:rPr>
            </w:pPr>
          </w:p>
        </w:tc>
        <w:tc>
          <w:tcPr>
            <w:tcW w:w="1966" w:type="dxa"/>
            <w:tcBorders>
              <w:top w:val="nil"/>
              <w:left w:val="nil"/>
              <w:bottom w:val="nil"/>
              <w:right w:val="nil"/>
            </w:tcBorders>
            <w:vAlign w:val="center"/>
          </w:tcPr>
          <w:p w14:paraId="2F8A7081">
            <w:pPr>
              <w:ind w:left="0" w:leftChars="0" w:firstLine="0" w:firstLineChars="0"/>
              <w:jc w:val="center"/>
              <w:rPr>
                <w:rFonts w:hint="eastAsia"/>
                <w:vertAlign w:val="baseline"/>
                <w:lang w:val="en-US" w:eastAsia="zh-CN"/>
              </w:rPr>
            </w:pPr>
            <w:r>
              <w:rPr>
                <w:rFonts w:hint="eastAsia"/>
                <w:vertAlign w:val="baseline"/>
                <w:lang w:val="en-US" w:eastAsia="zh-CN"/>
              </w:rPr>
              <w:t>hERG</w:t>
            </w:r>
          </w:p>
        </w:tc>
        <w:tc>
          <w:tcPr>
            <w:tcW w:w="1080" w:type="dxa"/>
            <w:tcBorders>
              <w:top w:val="nil"/>
              <w:left w:val="nil"/>
              <w:bottom w:val="nil"/>
              <w:right w:val="nil"/>
            </w:tcBorders>
            <w:vAlign w:val="center"/>
          </w:tcPr>
          <w:p w14:paraId="6ABA53B1">
            <w:pPr>
              <w:ind w:left="0" w:leftChars="0" w:firstLine="0" w:firstLineChars="0"/>
              <w:jc w:val="center"/>
              <w:rPr>
                <w:rFonts w:hint="default"/>
                <w:vertAlign w:val="baseline"/>
                <w:lang w:val="en-US" w:eastAsia="zh-CN"/>
              </w:rPr>
            </w:pPr>
            <w:r>
              <w:rPr>
                <w:rFonts w:hint="eastAsia"/>
                <w:vertAlign w:val="baseline"/>
                <w:lang w:val="en-US" w:eastAsia="zh-CN"/>
              </w:rPr>
              <w:t>648</w:t>
            </w:r>
          </w:p>
        </w:tc>
        <w:tc>
          <w:tcPr>
            <w:tcW w:w="1089" w:type="dxa"/>
            <w:tcBorders>
              <w:top w:val="nil"/>
              <w:left w:val="nil"/>
              <w:bottom w:val="nil"/>
              <w:right w:val="nil"/>
            </w:tcBorders>
            <w:vAlign w:val="center"/>
          </w:tcPr>
          <w:p w14:paraId="4998E1C6">
            <w:pPr>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22" w:type="dxa"/>
            <w:tcBorders>
              <w:top w:val="nil"/>
              <w:left w:val="nil"/>
              <w:bottom w:val="nil"/>
              <w:right w:val="nil"/>
            </w:tcBorders>
            <w:vAlign w:val="center"/>
          </w:tcPr>
          <w:p w14:paraId="476FC601">
            <w:pPr>
              <w:ind w:left="0" w:leftChars="0" w:firstLine="0" w:firstLineChars="0"/>
              <w:jc w:val="center"/>
              <w:rPr>
                <w:rFonts w:hint="default"/>
                <w:vertAlign w:val="baseline"/>
                <w:lang w:val="en-US" w:eastAsia="zh-CN"/>
              </w:rPr>
            </w:pPr>
            <w:r>
              <w:rPr>
                <w:rFonts w:hint="default"/>
                <w:vertAlign w:val="baseline"/>
                <w:lang w:val="en-US" w:eastAsia="zh-CN"/>
              </w:rPr>
              <w:t>AUROC</w:t>
            </w:r>
          </w:p>
        </w:tc>
        <w:tc>
          <w:tcPr>
            <w:tcW w:w="1344" w:type="dxa"/>
            <w:tcBorders>
              <w:top w:val="nil"/>
              <w:left w:val="nil"/>
              <w:bottom w:val="nil"/>
              <w:right w:val="nil"/>
            </w:tcBorders>
            <w:vAlign w:val="center"/>
          </w:tcPr>
          <w:p w14:paraId="500E0BB6">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4D580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nil"/>
              <w:right w:val="nil"/>
            </w:tcBorders>
            <w:vAlign w:val="center"/>
          </w:tcPr>
          <w:p w14:paraId="39915BAB">
            <w:pPr>
              <w:ind w:left="0" w:leftChars="0" w:firstLine="0" w:firstLineChars="0"/>
              <w:jc w:val="center"/>
              <w:rPr>
                <w:rFonts w:hint="eastAsia"/>
                <w:vertAlign w:val="baseline"/>
                <w:lang w:val="en-US" w:eastAsia="zh-CN"/>
              </w:rPr>
            </w:pPr>
          </w:p>
        </w:tc>
        <w:tc>
          <w:tcPr>
            <w:tcW w:w="1966" w:type="dxa"/>
            <w:tcBorders>
              <w:top w:val="nil"/>
              <w:left w:val="nil"/>
              <w:bottom w:val="nil"/>
              <w:right w:val="nil"/>
            </w:tcBorders>
            <w:vAlign w:val="center"/>
          </w:tcPr>
          <w:p w14:paraId="366BA9F3">
            <w:pPr>
              <w:ind w:left="0" w:leftChars="0" w:firstLine="0" w:firstLineChars="0"/>
              <w:jc w:val="center"/>
              <w:rPr>
                <w:rFonts w:hint="eastAsia"/>
                <w:vertAlign w:val="baseline"/>
                <w:lang w:val="en-US" w:eastAsia="zh-CN"/>
              </w:rPr>
            </w:pPr>
            <w:r>
              <w:rPr>
                <w:rFonts w:hint="eastAsia"/>
                <w:vertAlign w:val="baseline"/>
                <w:lang w:val="en-US" w:eastAsia="zh-CN"/>
              </w:rPr>
              <w:t>Ames</w:t>
            </w:r>
          </w:p>
        </w:tc>
        <w:tc>
          <w:tcPr>
            <w:tcW w:w="1080" w:type="dxa"/>
            <w:tcBorders>
              <w:top w:val="nil"/>
              <w:left w:val="nil"/>
              <w:bottom w:val="nil"/>
              <w:right w:val="nil"/>
            </w:tcBorders>
            <w:vAlign w:val="center"/>
          </w:tcPr>
          <w:p w14:paraId="58AFCC3B">
            <w:pPr>
              <w:ind w:left="0" w:leftChars="0" w:firstLine="0" w:firstLineChars="0"/>
              <w:jc w:val="center"/>
              <w:rPr>
                <w:rFonts w:hint="default"/>
                <w:vertAlign w:val="baseline"/>
                <w:lang w:val="en-US" w:eastAsia="zh-CN"/>
              </w:rPr>
            </w:pPr>
            <w:r>
              <w:rPr>
                <w:rFonts w:hint="eastAsia"/>
                <w:vertAlign w:val="baseline"/>
                <w:lang w:val="en-US" w:eastAsia="zh-CN"/>
              </w:rPr>
              <w:t>7255</w:t>
            </w:r>
          </w:p>
        </w:tc>
        <w:tc>
          <w:tcPr>
            <w:tcW w:w="1089" w:type="dxa"/>
            <w:tcBorders>
              <w:top w:val="nil"/>
              <w:left w:val="nil"/>
              <w:bottom w:val="nil"/>
              <w:right w:val="nil"/>
            </w:tcBorders>
            <w:vAlign w:val="center"/>
          </w:tcPr>
          <w:p w14:paraId="41C572FD">
            <w:pPr>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22" w:type="dxa"/>
            <w:tcBorders>
              <w:top w:val="nil"/>
              <w:left w:val="nil"/>
              <w:bottom w:val="nil"/>
              <w:right w:val="nil"/>
            </w:tcBorders>
            <w:vAlign w:val="center"/>
          </w:tcPr>
          <w:p w14:paraId="1C45FDAA">
            <w:pPr>
              <w:ind w:left="0" w:leftChars="0" w:firstLine="0" w:firstLineChars="0"/>
              <w:jc w:val="center"/>
              <w:rPr>
                <w:rFonts w:hint="default"/>
                <w:vertAlign w:val="baseline"/>
                <w:lang w:val="en-US" w:eastAsia="zh-CN"/>
              </w:rPr>
            </w:pPr>
            <w:r>
              <w:rPr>
                <w:rFonts w:hint="default"/>
                <w:vertAlign w:val="baseline"/>
                <w:lang w:val="en-US" w:eastAsia="zh-CN"/>
              </w:rPr>
              <w:t>AUROC</w:t>
            </w:r>
          </w:p>
        </w:tc>
        <w:tc>
          <w:tcPr>
            <w:tcW w:w="1344" w:type="dxa"/>
            <w:tcBorders>
              <w:top w:val="nil"/>
              <w:left w:val="nil"/>
              <w:bottom w:val="nil"/>
              <w:right w:val="nil"/>
            </w:tcBorders>
            <w:vAlign w:val="center"/>
          </w:tcPr>
          <w:p w14:paraId="65B58397">
            <w:pPr>
              <w:ind w:left="0" w:leftChars="0" w:firstLine="0" w:firstLineChars="0"/>
              <w:jc w:val="center"/>
              <w:rPr>
                <w:rFonts w:hint="default"/>
                <w:vertAlign w:val="baseline"/>
                <w:lang w:val="en-US" w:eastAsia="zh-CN"/>
              </w:rPr>
            </w:pPr>
            <w:r>
              <w:rPr>
                <w:rFonts w:hint="default"/>
                <w:vertAlign w:val="baseline"/>
                <w:lang w:val="en-US" w:eastAsia="zh-CN"/>
              </w:rPr>
              <w:t>Scaffold</w:t>
            </w:r>
          </w:p>
        </w:tc>
      </w:tr>
      <w:tr w14:paraId="37522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vMerge w:val="continue"/>
            <w:tcBorders>
              <w:top w:val="nil"/>
              <w:left w:val="nil"/>
              <w:bottom w:val="single" w:color="auto" w:sz="12" w:space="0"/>
              <w:right w:val="nil"/>
            </w:tcBorders>
            <w:vAlign w:val="center"/>
          </w:tcPr>
          <w:p w14:paraId="4CBAC956">
            <w:pPr>
              <w:ind w:left="0" w:leftChars="0" w:firstLine="0" w:firstLineChars="0"/>
              <w:jc w:val="center"/>
              <w:rPr>
                <w:rFonts w:hint="eastAsia"/>
                <w:vertAlign w:val="baseline"/>
                <w:lang w:val="en-US" w:eastAsia="zh-CN"/>
              </w:rPr>
            </w:pPr>
          </w:p>
        </w:tc>
        <w:tc>
          <w:tcPr>
            <w:tcW w:w="1966" w:type="dxa"/>
            <w:tcBorders>
              <w:top w:val="nil"/>
              <w:left w:val="nil"/>
              <w:bottom w:val="single" w:color="auto" w:sz="12" w:space="0"/>
              <w:right w:val="nil"/>
            </w:tcBorders>
            <w:vAlign w:val="center"/>
          </w:tcPr>
          <w:p w14:paraId="6FDB594F">
            <w:pPr>
              <w:ind w:left="0" w:leftChars="0" w:firstLine="0" w:firstLineChars="0"/>
              <w:jc w:val="center"/>
              <w:rPr>
                <w:rFonts w:hint="eastAsia"/>
                <w:vertAlign w:val="baseline"/>
                <w:lang w:val="en-US" w:eastAsia="zh-CN"/>
              </w:rPr>
            </w:pPr>
            <w:r>
              <w:rPr>
                <w:rFonts w:hint="eastAsia"/>
                <w:vertAlign w:val="baseline"/>
                <w:lang w:val="en-US" w:eastAsia="zh-CN"/>
              </w:rPr>
              <w:t>DILI</w:t>
            </w:r>
          </w:p>
        </w:tc>
        <w:tc>
          <w:tcPr>
            <w:tcW w:w="1080" w:type="dxa"/>
            <w:tcBorders>
              <w:top w:val="nil"/>
              <w:left w:val="nil"/>
              <w:bottom w:val="single" w:color="auto" w:sz="12" w:space="0"/>
              <w:right w:val="nil"/>
            </w:tcBorders>
            <w:vAlign w:val="center"/>
          </w:tcPr>
          <w:p w14:paraId="5F4EB96D">
            <w:pPr>
              <w:ind w:left="0" w:leftChars="0" w:firstLine="0" w:firstLineChars="0"/>
              <w:jc w:val="center"/>
              <w:rPr>
                <w:rFonts w:hint="default"/>
                <w:vertAlign w:val="baseline"/>
                <w:lang w:val="en-US" w:eastAsia="zh-CN"/>
              </w:rPr>
            </w:pPr>
            <w:r>
              <w:rPr>
                <w:rFonts w:hint="eastAsia"/>
                <w:vertAlign w:val="baseline"/>
                <w:lang w:val="en-US" w:eastAsia="zh-CN"/>
              </w:rPr>
              <w:t>475</w:t>
            </w:r>
          </w:p>
        </w:tc>
        <w:tc>
          <w:tcPr>
            <w:tcW w:w="1089" w:type="dxa"/>
            <w:tcBorders>
              <w:top w:val="nil"/>
              <w:left w:val="nil"/>
              <w:bottom w:val="single" w:color="auto" w:sz="12" w:space="0"/>
              <w:right w:val="nil"/>
            </w:tcBorders>
            <w:vAlign w:val="center"/>
          </w:tcPr>
          <w:p w14:paraId="42EB24DC">
            <w:pPr>
              <w:ind w:left="0" w:leftChars="0" w:firstLine="0" w:firstLineChars="0"/>
              <w:jc w:val="center"/>
              <w:rPr>
                <w:rFonts w:hint="default"/>
                <w:vertAlign w:val="baseline"/>
                <w:lang w:val="en-US" w:eastAsia="zh-CN"/>
              </w:rPr>
            </w:pPr>
            <w:r>
              <w:rPr>
                <w:rFonts w:hint="eastAsia"/>
                <w:vertAlign w:val="baseline"/>
                <w:lang w:val="en-US" w:eastAsia="zh-CN"/>
              </w:rPr>
              <w:t>分类</w:t>
            </w:r>
          </w:p>
        </w:tc>
        <w:tc>
          <w:tcPr>
            <w:tcW w:w="1122" w:type="dxa"/>
            <w:tcBorders>
              <w:top w:val="nil"/>
              <w:left w:val="nil"/>
              <w:bottom w:val="single" w:color="auto" w:sz="12" w:space="0"/>
              <w:right w:val="nil"/>
            </w:tcBorders>
            <w:vAlign w:val="center"/>
          </w:tcPr>
          <w:p w14:paraId="22936F19">
            <w:pPr>
              <w:ind w:left="0" w:leftChars="0" w:firstLine="0" w:firstLineChars="0"/>
              <w:jc w:val="center"/>
              <w:rPr>
                <w:rFonts w:hint="default"/>
                <w:vertAlign w:val="baseline"/>
                <w:lang w:val="en-US" w:eastAsia="zh-CN"/>
              </w:rPr>
            </w:pPr>
            <w:r>
              <w:rPr>
                <w:rFonts w:hint="default"/>
                <w:vertAlign w:val="baseline"/>
                <w:lang w:val="en-US" w:eastAsia="zh-CN"/>
              </w:rPr>
              <w:t>AUROC</w:t>
            </w:r>
          </w:p>
        </w:tc>
        <w:tc>
          <w:tcPr>
            <w:tcW w:w="1344" w:type="dxa"/>
            <w:tcBorders>
              <w:top w:val="nil"/>
              <w:left w:val="nil"/>
              <w:bottom w:val="single" w:color="auto" w:sz="12" w:space="0"/>
              <w:right w:val="nil"/>
            </w:tcBorders>
            <w:vAlign w:val="center"/>
          </w:tcPr>
          <w:p w14:paraId="39F7E089">
            <w:pPr>
              <w:ind w:left="0" w:leftChars="0" w:firstLine="0" w:firstLineChars="0"/>
              <w:jc w:val="center"/>
              <w:rPr>
                <w:rFonts w:hint="default"/>
                <w:vertAlign w:val="baseline"/>
                <w:lang w:val="en-US" w:eastAsia="zh-CN"/>
              </w:rPr>
            </w:pPr>
            <w:r>
              <w:rPr>
                <w:rFonts w:hint="default"/>
                <w:vertAlign w:val="baseline"/>
                <w:lang w:val="en-US" w:eastAsia="zh-CN"/>
              </w:rPr>
              <w:t>Scaffold</w:t>
            </w:r>
          </w:p>
        </w:tc>
      </w:tr>
    </w:tbl>
    <w:p w14:paraId="608ADA83">
      <w:pPr>
        <w:ind w:left="0" w:leftChars="0" w:firstLine="0" w:firstLineChars="0"/>
        <w:rPr>
          <w:rFonts w:hint="default"/>
          <w:lang w:val="en-US" w:eastAsia="zh-CN"/>
        </w:rPr>
      </w:pPr>
      <w:r>
        <w:rPr>
          <w:rFonts w:hint="default"/>
          <w:lang w:val="en-US" w:eastAsia="zh-CN"/>
        </w:rPr>
        <w:t>1. 吸收（Absorption）</w:t>
      </w:r>
    </w:p>
    <w:p w14:paraId="62759718">
      <w:pPr>
        <w:ind w:left="0" w:leftChars="0" w:firstLine="0" w:firstLineChars="0"/>
        <w:rPr>
          <w:rFonts w:hint="default"/>
          <w:lang w:val="en-US" w:eastAsia="zh-CN"/>
        </w:rPr>
      </w:pPr>
      <w:r>
        <w:rPr>
          <w:rFonts w:hint="default"/>
          <w:lang w:val="en-US" w:eastAsia="zh-CN"/>
        </w:rPr>
        <w:t>Caco-2：衡量药物在人结肠癌细胞系中的渗透系数，是模拟人体肠道吸收能力的体外黄金标准，用于精准预测口服药物的吸收效率。</w:t>
      </w:r>
    </w:p>
    <w:p w14:paraId="30FF6D3D">
      <w:pPr>
        <w:ind w:left="0" w:leftChars="0" w:firstLine="0" w:firstLineChars="0"/>
        <w:rPr>
          <w:rFonts w:hint="default"/>
          <w:lang w:val="en-US" w:eastAsia="zh-CN"/>
        </w:rPr>
      </w:pPr>
      <w:r>
        <w:rPr>
          <w:rFonts w:hint="default"/>
          <w:lang w:val="en-US" w:eastAsia="zh-CN"/>
        </w:rPr>
        <w:t>HIA：量化药物经由肠道上皮细胞进入血液循环的比例，是评估口服药物能否被人体有效吸收的核心前置指标。</w:t>
      </w:r>
    </w:p>
    <w:p w14:paraId="532B1EE3">
      <w:pPr>
        <w:ind w:left="0" w:leftChars="0" w:firstLine="0" w:firstLineChars="0"/>
        <w:rPr>
          <w:rFonts w:hint="default"/>
          <w:lang w:val="en-US" w:eastAsia="zh-CN"/>
        </w:rPr>
      </w:pPr>
      <w:r>
        <w:rPr>
          <w:rFonts w:hint="default"/>
          <w:lang w:val="en-US" w:eastAsia="zh-CN"/>
        </w:rPr>
        <w:t>Pgp：预测分子是否为 P-糖蛋白的底物或抑制剂。该蛋白能将药物泵出细胞，直接影响药物的吸收效率与多药耐药性产生。</w:t>
      </w:r>
    </w:p>
    <w:p w14:paraId="1A3AE2DD">
      <w:pPr>
        <w:ind w:left="0" w:leftChars="0" w:firstLine="0" w:firstLineChars="0"/>
        <w:rPr>
          <w:rFonts w:hint="default"/>
          <w:lang w:val="en-US" w:eastAsia="zh-CN"/>
        </w:rPr>
      </w:pPr>
      <w:r>
        <w:rPr>
          <w:rFonts w:hint="default"/>
          <w:lang w:val="en-US" w:eastAsia="zh-CN"/>
        </w:rPr>
        <w:t>Bioav：预测药物进入体循环的比例，反映了吸收过程和肝脏首过效应的综合结果，是决定临床给药剂量的重要参数。</w:t>
      </w:r>
    </w:p>
    <w:p w14:paraId="4B129EDC">
      <w:pPr>
        <w:ind w:left="0" w:leftChars="0" w:firstLine="0" w:firstLineChars="0"/>
        <w:rPr>
          <w:rFonts w:hint="default"/>
          <w:lang w:val="en-US" w:eastAsia="zh-CN"/>
        </w:rPr>
      </w:pPr>
      <w:r>
        <w:rPr>
          <w:rFonts w:hint="default"/>
          <w:lang w:val="en-US" w:eastAsia="zh-CN"/>
        </w:rPr>
        <w:t>Lipo：记录分子的辛醇-水分配系数（LogD），用于评估药物的亲脂性。该性质直接决定了药物穿透细胞膜及生物屏障的能力。</w:t>
      </w:r>
    </w:p>
    <w:p w14:paraId="662585C3">
      <w:pPr>
        <w:ind w:left="0" w:leftChars="0" w:firstLine="0" w:firstLineChars="0"/>
        <w:rPr>
          <w:rFonts w:hint="default"/>
          <w:lang w:val="en-US" w:eastAsia="zh-CN"/>
        </w:rPr>
      </w:pPr>
    </w:p>
    <w:p w14:paraId="2FF202C0">
      <w:pPr>
        <w:ind w:left="0" w:leftChars="0" w:firstLine="0" w:firstLineChars="0"/>
        <w:rPr>
          <w:rFonts w:hint="default"/>
          <w:lang w:val="en-US" w:eastAsia="zh-CN"/>
        </w:rPr>
      </w:pPr>
      <w:r>
        <w:rPr>
          <w:rFonts w:hint="default"/>
          <w:lang w:val="en-US" w:eastAsia="zh-CN"/>
        </w:rPr>
        <w:t>AqSol：测量分子的水溶性（LogS）。这是药物制剂开发的基础，溶解度过低会导致药物无法被体液溶解，从而难以起效。</w:t>
      </w:r>
    </w:p>
    <w:p w14:paraId="5BD8760B">
      <w:pPr>
        <w:ind w:left="0" w:leftChars="0" w:firstLine="0" w:firstLineChars="0"/>
        <w:rPr>
          <w:rFonts w:hint="default"/>
          <w:lang w:val="en-US" w:eastAsia="zh-CN"/>
        </w:rPr>
      </w:pPr>
      <w:r>
        <w:rPr>
          <w:rFonts w:hint="default"/>
          <w:lang w:val="en-US" w:eastAsia="zh-CN"/>
        </w:rPr>
        <w:t>2. 分布</w:t>
      </w:r>
    </w:p>
    <w:p w14:paraId="16C4B40D">
      <w:pPr>
        <w:ind w:left="0" w:leftChars="0" w:firstLine="0" w:firstLineChars="0"/>
        <w:rPr>
          <w:rFonts w:hint="default"/>
          <w:lang w:val="en-US" w:eastAsia="zh-CN"/>
        </w:rPr>
      </w:pPr>
      <w:r>
        <w:rPr>
          <w:rFonts w:hint="default"/>
          <w:lang w:val="en-US" w:eastAsia="zh-CN"/>
        </w:rPr>
        <w:t>BBB：判断分子能否穿透血脑屏障进入中枢神经系统。这对开发脑部疾病药物至关重要，同时也用于规避非脑部药物的中枢副作用。</w:t>
      </w:r>
    </w:p>
    <w:p w14:paraId="548F1001">
      <w:pPr>
        <w:ind w:left="0" w:leftChars="0" w:firstLine="0" w:firstLineChars="0"/>
        <w:rPr>
          <w:rFonts w:hint="default"/>
          <w:lang w:val="en-US" w:eastAsia="zh-CN"/>
        </w:rPr>
      </w:pPr>
      <w:r>
        <w:rPr>
          <w:rFonts w:hint="default"/>
          <w:lang w:val="en-US" w:eastAsia="zh-CN"/>
        </w:rPr>
        <w:t>PPBR：预测药物与血浆蛋白的结合率。结合率过高会限制血液中游离药物的浓度，进而影响药效发挥与向组织的分布。</w:t>
      </w:r>
    </w:p>
    <w:p w14:paraId="5D7A6997">
      <w:pPr>
        <w:ind w:left="0" w:leftChars="0" w:firstLine="0" w:firstLineChars="0"/>
        <w:rPr>
          <w:rFonts w:hint="default"/>
          <w:lang w:val="en-US" w:eastAsia="zh-CN"/>
        </w:rPr>
      </w:pPr>
      <w:r>
        <w:rPr>
          <w:rFonts w:hint="default"/>
          <w:lang w:val="en-US" w:eastAsia="zh-CN"/>
        </w:rPr>
        <w:t>VDss：衡量药物在体内的理论稳态分布容积，反映药物在组织与血浆间的分布倾向，是指导临床给药间隔设计的关键参数。</w:t>
      </w:r>
    </w:p>
    <w:p w14:paraId="6F87FFAF">
      <w:pPr>
        <w:ind w:left="0" w:leftChars="0" w:firstLine="0" w:firstLineChars="0"/>
        <w:rPr>
          <w:rFonts w:hint="default"/>
          <w:lang w:val="en-US" w:eastAsia="zh-CN"/>
        </w:rPr>
      </w:pPr>
      <w:r>
        <w:rPr>
          <w:rFonts w:hint="default"/>
          <w:lang w:val="en-US" w:eastAsia="zh-CN"/>
        </w:rPr>
        <w:t>3. 代谢（Metabolism）</w:t>
      </w:r>
    </w:p>
    <w:p w14:paraId="6291A199">
      <w:pPr>
        <w:ind w:left="0" w:leftChars="0" w:firstLine="0" w:firstLineChars="0"/>
        <w:rPr>
          <w:rFonts w:hint="default"/>
          <w:lang w:val="en-US" w:eastAsia="zh-CN"/>
        </w:rPr>
      </w:pPr>
      <w:r>
        <w:rPr>
          <w:rFonts w:hint="default"/>
          <w:lang w:val="en-US" w:eastAsia="zh-CN"/>
        </w:rPr>
        <w:t>CYP2C9 Inhibition：预测分子是否抑制 CYP2C9 酶。该酶代谢约 15% 的临床药物，其抑制作用会导致底物药物血药浓度异常升高，引发严重出血等不良反应。</w:t>
      </w:r>
    </w:p>
    <w:p w14:paraId="7906762C">
      <w:pPr>
        <w:ind w:left="0" w:leftChars="0" w:firstLine="0" w:firstLineChars="0"/>
        <w:rPr>
          <w:rFonts w:hint="default"/>
          <w:lang w:val="en-US" w:eastAsia="zh-CN"/>
        </w:rPr>
      </w:pPr>
      <w:r>
        <w:rPr>
          <w:rFonts w:hint="default"/>
          <w:lang w:val="en-US" w:eastAsia="zh-CN"/>
        </w:rPr>
        <w:t>CYP2D6 Inhibition：预测分子对 CYP2D6 酶的抑制潜力。该酶涉及约 25% 药物的代谢，其抑制可能导致显著的药物相互作用，影响联合用药的安全性。</w:t>
      </w:r>
    </w:p>
    <w:p w14:paraId="41C3752A">
      <w:pPr>
        <w:ind w:left="0" w:leftChars="0" w:firstLine="0" w:firstLineChars="0"/>
        <w:rPr>
          <w:rFonts w:hint="default"/>
          <w:lang w:val="en-US" w:eastAsia="zh-CN"/>
        </w:rPr>
      </w:pPr>
      <w:r>
        <w:rPr>
          <w:rFonts w:hint="default"/>
          <w:lang w:val="en-US" w:eastAsia="zh-CN"/>
        </w:rPr>
        <w:t>CYP3A4 Inhibition：判断分子是否抑制人体含量最丰富的 CYP3A4 酶。由于该酶代谢近半数临床药物，其强抑制剂极易引发灾难性的药物蓄积中毒，是 DDI 筛查的重中之重。</w:t>
      </w:r>
    </w:p>
    <w:p w14:paraId="44E3014C">
      <w:pPr>
        <w:ind w:left="0" w:leftChars="0" w:firstLine="0" w:firstLineChars="0"/>
        <w:rPr>
          <w:rFonts w:hint="default"/>
          <w:lang w:val="en-US" w:eastAsia="zh-CN"/>
        </w:rPr>
      </w:pPr>
      <w:r>
        <w:rPr>
          <w:rFonts w:hint="default"/>
          <w:lang w:val="en-US" w:eastAsia="zh-CN"/>
        </w:rPr>
        <w:t>CYP2C9 Substrate：预测分子是否为 CYP2C9 酶的底物。识别该代谢途径有助于预测药物在不同基因型人群中的清除速率差异，对优化酸性药物的药代动力学至关重要。</w:t>
      </w:r>
    </w:p>
    <w:p w14:paraId="74ACC36D">
      <w:pPr>
        <w:ind w:left="0" w:leftChars="0" w:firstLine="0" w:firstLineChars="0"/>
        <w:rPr>
          <w:rFonts w:hint="default"/>
          <w:lang w:val="en-US" w:eastAsia="zh-CN"/>
        </w:rPr>
      </w:pPr>
      <w:r>
        <w:rPr>
          <w:rFonts w:hint="default"/>
          <w:lang w:val="en-US" w:eastAsia="zh-CN"/>
        </w:rPr>
        <w:t>CYP2D6 Substrate：判断分子是否主要通过 CYP2D6 途径清除。该酶存在显著的遗传多态性，确定其底物属性对于预测药物在“快/慢代谢者”体内的暴露量差异具有指导意义。</w:t>
      </w:r>
    </w:p>
    <w:p w14:paraId="16A7C283">
      <w:pPr>
        <w:ind w:left="0" w:leftChars="0" w:firstLine="0" w:firstLineChars="0"/>
        <w:rPr>
          <w:rFonts w:hint="default"/>
          <w:lang w:val="en-US" w:eastAsia="zh-CN"/>
        </w:rPr>
      </w:pPr>
      <w:r>
        <w:rPr>
          <w:rFonts w:hint="default"/>
          <w:lang w:val="en-US" w:eastAsia="zh-CN"/>
        </w:rPr>
        <w:t>CYP3A4 Substrate：预测分子是否被 CYP3A4 酶代谢。作为肝脏首过效应的主要执行者，确认底物属性有助于评估药物的口服生物利用度及受代谢诱导剂影响的敏感性。</w:t>
      </w:r>
    </w:p>
    <w:p w14:paraId="754C6FF8">
      <w:pPr>
        <w:ind w:left="0" w:leftChars="0" w:firstLine="0" w:firstLineChars="0"/>
        <w:rPr>
          <w:rFonts w:hint="default"/>
          <w:lang w:val="en-US" w:eastAsia="zh-CN"/>
        </w:rPr>
      </w:pPr>
      <w:r>
        <w:rPr>
          <w:rFonts w:hint="default"/>
          <w:lang w:val="en-US" w:eastAsia="zh-CN"/>
        </w:rPr>
        <w:t>4. 排泄</w:t>
      </w:r>
    </w:p>
    <w:p w14:paraId="55910B29">
      <w:pPr>
        <w:ind w:left="0" w:leftChars="0" w:firstLine="0" w:firstLineChars="0"/>
        <w:rPr>
          <w:rFonts w:hint="default"/>
          <w:lang w:val="en-US" w:eastAsia="zh-CN"/>
        </w:rPr>
      </w:pPr>
      <w:r>
        <w:rPr>
          <w:rFonts w:hint="default"/>
          <w:lang w:val="en-US" w:eastAsia="zh-CN"/>
        </w:rPr>
        <w:t>Half Life：预测药物在体内的消除半衰期，即血药浓度降低一半所需时间。它是描述药物在体内驻留时长的核心药代动力学参数。</w:t>
      </w:r>
    </w:p>
    <w:p w14:paraId="7494BA76">
      <w:pPr>
        <w:ind w:left="0" w:leftChars="0" w:firstLine="0" w:firstLineChars="0"/>
        <w:rPr>
          <w:rFonts w:hint="default"/>
          <w:lang w:val="en-US" w:eastAsia="zh-CN"/>
        </w:rPr>
      </w:pPr>
      <w:r>
        <w:rPr>
          <w:rFonts w:hint="default"/>
          <w:lang w:val="en-US" w:eastAsia="zh-CN"/>
        </w:rPr>
        <w:t>CL-Hepa：测量药物在肝细胞中的清除率，反映肝脏整体对药物的代谢清除能力，是评估药物肝脏代谢稳定性的体外模型。</w:t>
      </w:r>
    </w:p>
    <w:p w14:paraId="09540FCC">
      <w:pPr>
        <w:ind w:left="0" w:leftChars="0" w:firstLine="0" w:firstLineChars="0"/>
        <w:rPr>
          <w:rFonts w:hint="default"/>
          <w:lang w:val="en-US" w:eastAsia="zh-CN"/>
        </w:rPr>
      </w:pPr>
      <w:r>
        <w:rPr>
          <w:rFonts w:hint="default"/>
          <w:lang w:val="en-US" w:eastAsia="zh-CN"/>
        </w:rPr>
        <w:t>CL-Micro：测量药物在肝微粒体中的内在清除率，主要反映 I 相代谢酶对药物的降解速率。</w:t>
      </w:r>
    </w:p>
    <w:p w14:paraId="066E4882">
      <w:pPr>
        <w:ind w:left="0" w:leftChars="0" w:firstLine="0" w:firstLineChars="0"/>
        <w:rPr>
          <w:rFonts w:hint="default"/>
          <w:lang w:val="en-US" w:eastAsia="zh-CN"/>
        </w:rPr>
      </w:pPr>
      <w:r>
        <w:rPr>
          <w:rFonts w:hint="default"/>
          <w:lang w:val="en-US" w:eastAsia="zh-CN"/>
        </w:rPr>
        <w:t>5. 毒性</w:t>
      </w:r>
    </w:p>
    <w:p w14:paraId="7ABC731B">
      <w:pPr>
        <w:ind w:left="0" w:leftChars="0" w:firstLine="0" w:firstLineChars="0"/>
        <w:rPr>
          <w:rFonts w:hint="default"/>
          <w:lang w:val="en-US" w:eastAsia="zh-CN"/>
        </w:rPr>
      </w:pPr>
      <w:r>
        <w:rPr>
          <w:rFonts w:hint="default"/>
          <w:lang w:val="en-US" w:eastAsia="zh-CN"/>
        </w:rPr>
        <w:t>LD50：记录导致 50% 实验动物死亡的致死剂量，用于评估化合物的急性毒性水平，是药物安全性评价中不可逾越的基础红线。</w:t>
      </w:r>
    </w:p>
    <w:p w14:paraId="1A2C5A6E">
      <w:pPr>
        <w:ind w:left="0" w:leftChars="0" w:firstLine="0" w:firstLineChars="0"/>
        <w:rPr>
          <w:rFonts w:hint="default"/>
          <w:lang w:val="en-US" w:eastAsia="zh-CN"/>
        </w:rPr>
      </w:pPr>
      <w:r>
        <w:rPr>
          <w:rFonts w:hint="default"/>
          <w:lang w:val="en-US" w:eastAsia="zh-CN"/>
        </w:rPr>
        <w:t>hERG：预测分子对钾离子通道的阻滞作用。该通道阻塞会导致长 QT 综合征等致死性心律失常，是心脏毒性评估中最关键的指标。</w:t>
      </w:r>
    </w:p>
    <w:p w14:paraId="65C30DE9">
      <w:pPr>
        <w:ind w:left="0" w:leftChars="0" w:firstLine="0" w:firstLineChars="0"/>
        <w:rPr>
          <w:rFonts w:hint="default"/>
          <w:lang w:val="en-US" w:eastAsia="zh-CN"/>
        </w:rPr>
      </w:pPr>
      <w:r>
        <w:rPr>
          <w:rFonts w:hint="default"/>
          <w:lang w:val="en-US" w:eastAsia="zh-CN"/>
        </w:rPr>
        <w:t>Ames：基于细菌回复突变实验判断分子是否具有致突变性，用于早期筛查潜在的致癌风险与遗传毒性，是临床前必做的安评项目。</w:t>
      </w:r>
    </w:p>
    <w:p w14:paraId="3012D994">
      <w:pPr>
        <w:ind w:left="0" w:leftChars="0" w:firstLine="0" w:firstLineChars="0"/>
        <w:rPr>
          <w:rFonts w:hint="eastAsia"/>
          <w:lang w:val="en-US" w:eastAsia="zh-CN"/>
        </w:rPr>
      </w:pPr>
      <w:r>
        <w:rPr>
          <w:rFonts w:hint="default"/>
          <w:lang w:val="en-US" w:eastAsia="zh-CN"/>
        </w:rPr>
        <w:t>DILI：预测药物诱导的肝损伤风险。这是导致药物临床试验失败主要原因之一，</w:t>
      </w:r>
      <w:r>
        <w:rPr>
          <w:rFonts w:hint="eastAsia"/>
          <w:lang w:val="en-US" w:eastAsia="zh-CN"/>
        </w:rPr>
        <w:t>该数据集用来预测分子是否会诱导肝损伤。</w:t>
      </w:r>
    </w:p>
    <w:p w14:paraId="52BF17A8">
      <w:pPr>
        <w:pStyle w:val="4"/>
        <w:bidi w:val="0"/>
        <w:rPr>
          <w:rFonts w:hint="default"/>
          <w:lang w:val="en-US" w:eastAsia="zh-CN"/>
        </w:rPr>
      </w:pPr>
      <w:r>
        <w:rPr>
          <w:rFonts w:hint="eastAsia"/>
          <w:lang w:val="en-US" w:eastAsia="zh-CN"/>
        </w:rPr>
        <w:t>划分方式</w:t>
      </w:r>
    </w:p>
    <w:p w14:paraId="7550ED88">
      <w:pPr>
        <w:rPr>
          <w:rFonts w:hint="default"/>
          <w:lang w:val="en-US" w:eastAsia="zh-CN"/>
        </w:rPr>
      </w:pPr>
      <w:r>
        <w:rPr>
          <w:rFonts w:hint="default"/>
          <w:lang w:val="en-US" w:eastAsia="zh-CN"/>
        </w:rPr>
        <w:t>为了更直观地揭示不同数据划分策略对模型泛化评估的影响，本研究选取了 PPBR_AZ（血浆蛋白结合率） 数据集作为典型案例，利用 t-SNE 降维技术将高维分子特征映射至二维平面，并采用六边形热力图对化学空间的分布密度进行了可视化对比。</w:t>
      </w:r>
      <w:r>
        <w:rPr>
          <w:rFonts w:hint="eastAsia"/>
          <w:lang w:val="en-US" w:eastAsia="zh-CN"/>
        </w:rPr>
        <w:t>如图XXX所示，</w:t>
      </w:r>
      <w:r>
        <w:rPr>
          <w:rFonts w:hint="default"/>
          <w:lang w:val="en-US" w:eastAsia="zh-CN"/>
        </w:rPr>
        <w:t>图中每个六边形单元的颜色映射了该区域内测试集样本的占比：深绿色代表该区域完全由训练集样本占据，而红色则代表该区域完全由测试集样本占据。</w:t>
      </w:r>
    </w:p>
    <w:p w14:paraId="5D8EEBC3">
      <w:pPr>
        <w:rPr>
          <w:rFonts w:hint="default"/>
          <w:lang w:val="en-US" w:eastAsia="zh-CN"/>
        </w:rPr>
      </w:pPr>
      <w:r>
        <w:rPr>
          <w:rFonts w:hint="default"/>
          <w:lang w:val="en-US" w:eastAsia="zh-CN"/>
        </w:rPr>
        <w:t>如图 3-X 左侧所示，在随机划分（Random Split）策略下，热力图呈现出均匀的深绿色基调，且测试集样本（浅色/红色点）呈散点状随机分布于训练集样本的包围之中。这种“均匀混合”现象表明，训练集与测试集在化学空间中共享了大量相似的分子骨架结构，模型在测试集上的预测本质上是一种插值（Interpolation）过程，极易因记忆相似结构而导致性能评估的虚高。</w:t>
      </w:r>
    </w:p>
    <w:p w14:paraId="16FB7C7E">
      <w:pPr>
        <w:rPr>
          <w:rFonts w:hint="default"/>
          <w:lang w:val="en-US" w:eastAsia="zh-CN"/>
        </w:rPr>
      </w:pPr>
      <w:r>
        <w:rPr>
          <w:rFonts w:hint="default"/>
          <w:lang w:val="en-US" w:eastAsia="zh-CN"/>
        </w:rPr>
        <w:t>相比之下，图 3-X 右侧的骨架划分（Scaffold Split）展现出了截然不同的分布模式。热力图呈现出显著的区域分化（Regional Differentiation）特征：部分化学空间区域呈现深绿色（训练集集中区），而部分区域则呈现鲜明的红色或橙色（测试集集中区）。这种“斑块状”分布直观地说明了训练集与测试集占据了互不重叠的化学空间区域，二者之间存在显著的结构鸿沟。这种划分方式迫使模型必须跨越已知的骨架簇，对位于全新化学空间区域的分子进行外推预测。</w:t>
      </w:r>
    </w:p>
    <w:p w14:paraId="783D543A">
      <w:pPr>
        <w:rPr>
          <w:rFonts w:hint="default"/>
          <w:lang w:val="en-US" w:eastAsia="zh-CN"/>
        </w:rPr>
      </w:pPr>
      <w:r>
        <w:rPr>
          <w:rFonts w:hint="default"/>
          <w:lang w:val="en-US" w:eastAsia="zh-CN"/>
        </w:rPr>
        <w:t>该可视化结果有力地证明，骨架划分有效杜绝了训练集与测试集之间的结构泄漏，构建了一个符合真实药物发现场景的域外泛化评估环境。因此，在本研究的所有后续实验中，均采用骨架划分策略，以确保对 CoT-CMP 模型泛化能力的评估客观且严谨。</w:t>
      </w:r>
    </w:p>
    <w:p w14:paraId="77AACFBF">
      <w:pPr>
        <w:ind w:left="0" w:leftChars="0" w:firstLine="0" w:firstLineChars="0"/>
        <w:rPr>
          <w:rFonts w:hint="default"/>
          <w:lang w:val="en-US" w:eastAsia="zh-CN"/>
        </w:rPr>
      </w:pPr>
      <w:r>
        <w:rPr>
          <w:rFonts w:hint="default"/>
          <w:lang w:val="en-US" w:eastAsia="zh-CN"/>
        </w:rPr>
        <w:drawing>
          <wp:inline distT="0" distB="0" distL="114300" distR="114300">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6"/>
                    <a:stretch>
                      <a:fillRect/>
                    </a:stretch>
                  </pic:blipFill>
                  <pic:spPr>
                    <a:xfrm>
                      <a:off x="0" y="0"/>
                      <a:ext cx="5267325" cy="2421890"/>
                    </a:xfrm>
                    <a:prstGeom prst="rect">
                      <a:avLst/>
                    </a:prstGeom>
                  </pic:spPr>
                </pic:pic>
              </a:graphicData>
            </a:graphic>
          </wp:inline>
        </w:drawing>
      </w:r>
    </w:p>
    <w:p w14:paraId="00434B9B">
      <w:pPr>
        <w:ind w:left="0" w:leftChars="0" w:firstLine="0" w:firstLineChars="0"/>
        <w:rPr>
          <w:rFonts w:ascii="宋体" w:hAnsi="宋体" w:eastAsia="宋体" w:cs="宋体"/>
          <w:sz w:val="16"/>
          <w:szCs w:val="16"/>
        </w:rPr>
      </w:pPr>
      <w:r>
        <w:rPr>
          <w:rFonts w:ascii="宋体" w:hAnsi="宋体" w:eastAsia="宋体" w:cs="宋体"/>
          <w:sz w:val="16"/>
          <w:szCs w:val="16"/>
        </w:rPr>
        <w:t>随机划分与骨架划分在 PPBR_AZ 数据集化学空间中的分布对比</w:t>
      </w:r>
    </w:p>
    <w:p w14:paraId="4B80787B">
      <w:pPr>
        <w:ind w:left="0" w:leftChars="0" w:firstLine="0" w:firstLineChars="0"/>
        <w:rPr>
          <w:rFonts w:ascii="宋体" w:hAnsi="宋体" w:eastAsia="宋体" w:cs="宋体"/>
          <w:sz w:val="24"/>
          <w:szCs w:val="24"/>
        </w:rPr>
      </w:pPr>
    </w:p>
    <w:p w14:paraId="715AC04F">
      <w:pPr>
        <w:pStyle w:val="4"/>
        <w:bidi w:val="0"/>
        <w:rPr>
          <w:rFonts w:hint="default"/>
          <w:lang w:val="en-US" w:eastAsia="zh-CN"/>
        </w:rPr>
      </w:pPr>
      <w:r>
        <w:rPr>
          <w:rFonts w:hint="eastAsia"/>
          <w:lang w:val="en-US" w:eastAsia="zh-CN"/>
        </w:rPr>
        <w:t>实验设置</w:t>
      </w:r>
    </w:p>
    <w:p w14:paraId="01A1A6BB">
      <w:pPr>
        <w:rPr>
          <w:rFonts w:hint="default"/>
          <w:lang w:val="en-US" w:eastAsia="zh-CN"/>
        </w:rPr>
      </w:pPr>
      <w:r>
        <w:rPr>
          <w:rFonts w:hint="default"/>
          <w:lang w:val="en-US" w:eastAsia="zh-CN"/>
        </w:rPr>
        <w:t>为了确保实验结果的可复现性与公平性，本研究基于 PyTorch 2.4.1 深度学习框架构建 CoT-CMP 模型，图神经网络相关组件依赖 PyG (PyTorch Geometric) 2.7.0 库，化学分子处理与理化性质计算使用 RDKit 2025.9.3 工具包。所有实验均在 Linux 操作系统（Ubuntu 24.04 LTS）上进行，核心计算设备为一张 NVIDIA GeForce RTX 4090 (24GB 显存) GPU，配合 Intel Core i7-12700KF CPU 与 64GB 内存，以满足大语言模型推理与图网络梯度的显存需求 。鉴于 ADMET 数据集的稀疏性，本研究摒弃了通用的预训练范式，采用“端到端直接微调”策略。在模型架构参数设置上，文本编码端采用了 LLaMA-3.1-8B-Instruct 作为主干网络，并应用低秩自适应（LoRA）技术进行轻量化微调。LoRA 的秩（Rank）设定为 $r=16$，缩放系数 $\alpha=32$，Dropout 率设为 0.05，仅对 Query 和 Value 投影矩阵进行更新，从而在冻结大部分参数（约 99%）的同时保留模型的通用推理能力。输入序列的最大长度被截断或填充至 512 Token，以适配显存限制。图编码端采用了 3 层堆叠的 CMPNN 网络，隐藏层维度设定为 300，以匹配文本表征的投影维度，并在读出层之前引入了 Batch Normalization 以加速收敛。在训练策略方面，采用 AdamW 优化器进行联合优化，权重衰减系数（Weight Decay）设为 $1 \times 10^{-4}$ 以防止过拟合。由于大模型与图网络的收敛速度存在差异，我们设计了分层学习率策略：图编码器与预测头的初始学习率设为 $1 \times 10^{-3}$，而 LLaMA 的 LoRA 模块学习率设为 $5 \times 10^{-5}$。训练过程采用余弦退火（Cosine Annealing）学习率调度器，包含 5 个 Epoch 的线性预热（Warm-up）。批次大小（Batch Size）统一设定为 32，最大训练轮次为 100 Epoch，并配合早停机制（Early Stopping），当验证集损失连续 10 个 Epoch 未下降时自动终止训练。所有实验均在 3 个不同的随机种子（42, 123, 666）下重复进行，最终结果汇报为“均值 ± 标准差”的形式。</w:t>
      </w:r>
    </w:p>
    <w:p w14:paraId="60C72989">
      <w:pPr>
        <w:pStyle w:val="4"/>
        <w:bidi w:val="0"/>
        <w:rPr>
          <w:rFonts w:hint="default"/>
          <w:lang w:val="en-US" w:eastAsia="zh-CN"/>
        </w:rPr>
      </w:pPr>
      <w:r>
        <w:rPr>
          <w:rFonts w:hint="eastAsia"/>
          <w:lang w:val="en-US" w:eastAsia="zh-CN"/>
        </w:rPr>
        <w:t>评价指标</w:t>
      </w:r>
    </w:p>
    <w:p w14:paraId="4BA0AAE3">
      <w:pPr>
        <w:rPr>
          <w:rFonts w:hint="default"/>
          <w:lang w:val="en-US" w:eastAsia="zh-CN"/>
        </w:rPr>
      </w:pPr>
      <w:r>
        <w:rPr>
          <w:rFonts w:hint="default"/>
          <w:lang w:val="en-US" w:eastAsia="zh-CN"/>
        </w:rPr>
        <w:t xml:space="preserve"> ADMET </w:t>
      </w:r>
      <w:r>
        <w:rPr>
          <w:rFonts w:hint="eastAsia"/>
          <w:lang w:val="en-US" w:eastAsia="zh-CN"/>
        </w:rPr>
        <w:t>基准数据组涵盖了分类和回归两类任务，针对不同的任务类型采用不同的评价指标。</w:t>
      </w:r>
      <w:r>
        <w:rPr>
          <w:rFonts w:hint="default"/>
          <w:lang w:val="en-US" w:eastAsia="zh-CN"/>
        </w:rPr>
        <w:t>具体指标定义如下：对于类别分布相对平衡的分类任务，主要采用受试者工作特征曲线下面积 (AUROC) 作为核心判据。AU</w:t>
      </w:r>
      <w:r>
        <w:rPr>
          <w:rFonts w:hint="eastAsia"/>
          <w:lang w:val="en-US" w:eastAsia="zh-CN"/>
        </w:rPr>
        <w:t>ROC</w:t>
      </w:r>
      <w:r>
        <w:rPr>
          <w:rFonts w:hint="default"/>
          <w:lang w:val="en-US" w:eastAsia="zh-CN"/>
        </w:rPr>
        <w:t>是二分类任务中最常用的评价指标之一。ROC曲线以假阳性率为横轴、真阳性率为纵轴绘制而成，AU</w:t>
      </w:r>
      <w:r>
        <w:rPr>
          <w:rFonts w:hint="eastAsia"/>
          <w:lang w:val="en-US" w:eastAsia="zh-CN"/>
        </w:rPr>
        <w:t>ROC</w:t>
      </w:r>
      <w:r>
        <w:rPr>
          <w:rFonts w:hint="default"/>
          <w:lang w:val="en-US" w:eastAsia="zh-CN"/>
        </w:rPr>
        <w:t>即为该曲线下的面积。其取值范围为0到1，数值越大表示模型的分类性能越好，0.5表示模型性能等同于随机猜测。AUC的优势在于不受分类阈值选取的影响，能够全面反映模型在不同阈值下的分类能力。</w:t>
      </w:r>
      <w:r>
        <w:rPr>
          <w:rFonts w:hint="default"/>
          <w:color w:val="FF0000"/>
          <w:lang w:val="en-US" w:eastAsia="zh-CN"/>
        </w:rPr>
        <w:t>因此，引入精确率-召回率曲线下面积 (AUPRC) 作为补充指标。AUPRC 更加关注少数类（阳性样本）的预测质量，能够更敏锐地反映模型在非平衡数据集上的真实表现。对于回归预测任务（如 Caco-2, Lipo），采用均方根误差 (RMSE) 和 平均绝对误差 (MAE) 作为衡量预测值与真实值偏差的指标。RMSE 对异常值较为敏感，而 MAE 则能反映预测误差的平均水平。此外，针对 Half-Life 等数值跨度较大的药代动力学参数，额外引入 Spearman 等级相关系数 (Spearman's $\rho$)。不同于关注绝对数值误差的 RMSE，Spearman 系数评估的是预测值与真实值在排序上的一致性，这对于药物筛选中“优选排序”的实际应用场景具有重要参考价值</w:t>
      </w:r>
      <w:r>
        <w:rPr>
          <w:rFonts w:hint="default"/>
          <w:lang w:val="en-US" w:eastAsia="zh-CN"/>
        </w:rPr>
        <w:t>。</w:t>
      </w:r>
    </w:p>
    <w:p w14:paraId="5674FD3A">
      <w:pPr>
        <w:pStyle w:val="4"/>
        <w:bidi w:val="0"/>
        <w:rPr>
          <w:rFonts w:hint="default"/>
          <w:lang w:val="en-US" w:eastAsia="zh-CN"/>
        </w:rPr>
      </w:pPr>
      <w:r>
        <w:rPr>
          <w:rFonts w:hint="eastAsia"/>
          <w:lang w:val="en-US" w:eastAsia="zh-CN"/>
        </w:rPr>
        <w:t>对比模型</w:t>
      </w:r>
    </w:p>
    <w:p w14:paraId="5644B9B8">
      <w:pPr>
        <w:pStyle w:val="3"/>
        <w:bidi w:val="0"/>
        <w:rPr>
          <w:rFonts w:hint="default"/>
          <w:lang w:val="en-US" w:eastAsia="zh-CN"/>
        </w:rPr>
      </w:pPr>
      <w:r>
        <w:rPr>
          <w:rFonts w:hint="eastAsia"/>
          <w:lang w:val="en-US" w:eastAsia="zh-CN"/>
        </w:rPr>
        <w:t>本章小结</w:t>
      </w:r>
      <w:bookmarkStart w:id="0" w:name="_GoBack"/>
      <w:bookmarkEnd w:id="0"/>
    </w:p>
    <w:p w14:paraId="5B3CDD47">
      <w:pPr>
        <w:pStyle w:val="2"/>
        <w:bidi w:val="0"/>
        <w:rPr>
          <w:rFonts w:hint="eastAsia"/>
          <w:lang w:val="en-US" w:eastAsia="zh-CN"/>
        </w:rPr>
      </w:pPr>
      <w:r>
        <w:t>基于知识增强</w:t>
      </w:r>
      <w:r>
        <w:rPr>
          <w:rFonts w:hint="eastAsia"/>
          <w:lang w:val="en-US" w:eastAsia="zh-CN"/>
        </w:rPr>
        <w:t>与</w:t>
      </w:r>
      <w:r>
        <w:t>图对齐的分子性质预测方法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rPr>
          <w:rFonts w:hint="default"/>
          <w:lang w:val="en-US" w:eastAsia="zh-CN"/>
        </w:rPr>
      </w:pPr>
      <w:r>
        <w:rPr>
          <w:rFonts w:hint="eastAsia"/>
          <w:lang w:val="en-US" w:eastAsia="zh-CN"/>
        </w:rPr>
        <w:t>KGAMA框架概述</w:t>
      </w:r>
    </w:p>
    <w:p w14:paraId="0C19663F">
      <w:pPr>
        <w:bidi w:val="0"/>
        <w:rPr>
          <w:rFonts w:hint="eastAsia"/>
          <w:lang w:val="en-US" w:eastAsia="zh-CN"/>
        </w:rPr>
      </w:pPr>
      <w:r>
        <w:rPr>
          <w:rFonts w:hint="eastAsia"/>
          <w:lang w:val="en-US" w:eastAsia="zh-CN"/>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lang w:val="en-US" w:eastAsia="zh-CN"/>
        </w:rPr>
        <w:t>此框架采用预训练-微调范式，在预训练阶段，引入图中心对比学习策略，驱动各模态在潜在空间内完成语义锚定；而在面向特定下游任务的微调阶段，则部署交叉注意力模块与</w:t>
      </w:r>
      <w:r>
        <w:t>多层感知机（MLP），实现对任务敏感特征的动态捕捉与灵活预测。</w:t>
      </w:r>
    </w:p>
    <w:p w14:paraId="7996BBC3">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该模型的架构图如图 3-1 所示，其总体拓扑结构可清晰划分为三大核心组件：模态专属编码器：用于提取异构特征、统一嵌入空间映射模块：用于维度对齐，以及基于交叉注意力机制的融合模块：用于特征交互与预测。</w:t>
      </w:r>
    </w:p>
    <w:p w14:paraId="0912A60F">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7960" cy="3104515"/>
            <wp:effectExtent l="0" t="0" r="5080" b="444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7"/>
                    <a:stretch>
                      <a:fillRect/>
                    </a:stretch>
                  </pic:blipFill>
                  <pic:spPr>
                    <a:xfrm>
                      <a:off x="0" y="0"/>
                      <a:ext cx="5267960" cy="3104515"/>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16E2FDF8">
      <w:pPr>
        <w:pStyle w:val="4"/>
        <w:bidi w:val="0"/>
        <w:rPr>
          <w:rFonts w:hint="eastAsia"/>
          <w:lang w:val="en-US" w:eastAsia="zh-CN"/>
        </w:rPr>
      </w:pPr>
      <w:r>
        <w:rPr>
          <w:rFonts w:hint="eastAsia"/>
          <w:lang w:val="en-US" w:eastAsia="zh-CN"/>
        </w:rPr>
        <w:t>图编码器</w:t>
      </w:r>
    </w:p>
    <w:p w14:paraId="5970E9D2">
      <w:pPr>
        <w:rPr>
          <w:rFonts w:hint="eastAsia"/>
          <w:lang w:val="en-US" w:eastAsia="zh-CN"/>
        </w:rPr>
      </w:pPr>
      <w:r>
        <w:rPr>
          <w:rFonts w:hint="eastAsia"/>
          <w:lang w:val="en-US" w:eastAsia="zh-CN"/>
        </w:rPr>
        <w:t xml:space="preserve">图编码器构成了本框架的语义核心（Anchor）。本文部署 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g</m:t>
            </m:r>
            <m:ctrlPr>
              <w:rPr>
                <w:rFonts w:hint="default" w:ascii="Cambria Math"/>
              </w:rPr>
            </m:ctrlPr>
          </m:sub>
        </m:sSub>
      </m:oMath>
      <w:r>
        <w:rPr>
          <w:rFonts w:hint="eastAsia"/>
          <w:lang w:val="en-US" w:eastAsia="zh-CN"/>
        </w:rPr>
        <w:t>，该向量在预训练阶段充当了其他模态对齐的“语义锚点”。</w:t>
      </w:r>
    </w:p>
    <w:p w14:paraId="3E4A7DE5">
      <w:pPr>
        <w:pStyle w:val="4"/>
        <w:bidi w:val="0"/>
        <w:rPr>
          <w:rFonts w:hint="default"/>
          <w:lang w:val="en-US" w:eastAsia="zh-CN"/>
        </w:rPr>
      </w:pPr>
      <w:r>
        <w:rPr>
          <w:rFonts w:hint="eastAsia"/>
          <w:lang w:val="en-US" w:eastAsia="zh-CN"/>
        </w:rPr>
        <w:t>指纹编码器</w:t>
      </w:r>
    </w:p>
    <w:p w14:paraId="7522D1C5">
      <w:pPr>
        <w:bidi w:val="0"/>
        <w:rPr>
          <w:rFonts w:hint="eastAsia"/>
          <w:lang w:val="en-US" w:eastAsia="zh-CN"/>
        </w:rPr>
      </w:pPr>
      <w: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lang w:val="en-US" w:eastAsia="zh-CN"/>
        </w:rPr>
        <w:t>所</w:t>
      </w:r>
      <w:r>
        <w:t>能承载的信息维度。</w:t>
      </w:r>
    </w:p>
    <w:p w14:paraId="18602F8E">
      <w:pPr>
        <w:rPr>
          <w:rFonts w:hint="eastAsia"/>
          <w:lang w:val="en-US" w:eastAsia="zh-CN"/>
        </w:rPr>
      </w:pP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6"/>
        <w:gridCol w:w="1638"/>
        <w:gridCol w:w="1574"/>
        <w:gridCol w:w="1575"/>
      </w:tblGrid>
      <w:tr w14:paraId="195B1D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bottom w:val="single" w:color="auto" w:sz="8" w:space="0"/>
            </w:tcBorders>
          </w:tcPr>
          <w:p w14:paraId="0AA94A75">
            <w:pPr>
              <w:rPr>
                <w:rFonts w:hint="default"/>
                <w:vertAlign w:val="baseline"/>
                <w:lang w:val="en-US" w:eastAsia="zh-CN"/>
              </w:rPr>
            </w:pPr>
            <w:r>
              <w:rPr>
                <w:rFonts w:hint="eastAsia"/>
                <w:vertAlign w:val="baseline"/>
                <w:lang w:val="en-US" w:eastAsia="zh-CN"/>
              </w:rPr>
              <w:t>指纹类型</w:t>
            </w:r>
          </w:p>
        </w:tc>
        <w:tc>
          <w:tcPr>
            <w:tcW w:w="1638" w:type="dxa"/>
            <w:tcBorders>
              <w:bottom w:val="single" w:color="auto" w:sz="8" w:space="0"/>
            </w:tcBorders>
          </w:tcPr>
          <w:p w14:paraId="3A6CC5E2">
            <w:pPr>
              <w:rPr>
                <w:rFonts w:hint="default"/>
                <w:vertAlign w:val="baseline"/>
                <w:lang w:val="en-US" w:eastAsia="zh-CN"/>
              </w:rPr>
            </w:pPr>
            <w:r>
              <w:rPr>
                <w:rFonts w:hint="eastAsia"/>
                <w:vertAlign w:val="baseline"/>
                <w:lang w:val="en-US" w:eastAsia="zh-CN"/>
              </w:rPr>
              <w:t>结构信息</w:t>
            </w:r>
          </w:p>
        </w:tc>
        <w:tc>
          <w:tcPr>
            <w:tcW w:w="1574" w:type="dxa"/>
            <w:tcBorders>
              <w:bottom w:val="single" w:color="auto" w:sz="8" w:space="0"/>
            </w:tcBorders>
          </w:tcPr>
          <w:p w14:paraId="31D0B825">
            <w:pPr>
              <w:rPr>
                <w:rFonts w:hint="default"/>
                <w:vertAlign w:val="baseline"/>
                <w:lang w:val="en-US" w:eastAsia="zh-CN"/>
              </w:rPr>
            </w:pPr>
            <w:r>
              <w:rPr>
                <w:rFonts w:hint="eastAsia"/>
                <w:vertAlign w:val="baseline"/>
                <w:lang w:val="en-US" w:eastAsia="zh-CN"/>
              </w:rPr>
              <w:t>功能信息</w:t>
            </w:r>
          </w:p>
        </w:tc>
        <w:tc>
          <w:tcPr>
            <w:tcW w:w="1575" w:type="dxa"/>
            <w:tcBorders>
              <w:bottom w:val="single" w:color="auto" w:sz="8" w:space="0"/>
            </w:tcBorders>
          </w:tcPr>
          <w:p w14:paraId="1FA6559A">
            <w:pPr>
              <w:rPr>
                <w:rFonts w:hint="default"/>
                <w:vertAlign w:val="baseline"/>
                <w:lang w:val="en-US" w:eastAsia="zh-CN"/>
              </w:rPr>
            </w:pPr>
            <w:r>
              <w:rPr>
                <w:rFonts w:hint="eastAsia"/>
                <w:vertAlign w:val="baseline"/>
                <w:lang w:val="en-US" w:eastAsia="zh-CN"/>
              </w:rPr>
              <w:t>拓扑信息</w:t>
            </w:r>
          </w:p>
        </w:tc>
      </w:tr>
      <w:tr w14:paraId="5DE879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op w:val="single" w:color="auto" w:sz="8" w:space="0"/>
              <w:tl2br w:val="nil"/>
              <w:tr2bl w:val="nil"/>
            </w:tcBorders>
          </w:tcPr>
          <w:p w14:paraId="4A560315">
            <w:pPr>
              <w:rPr>
                <w:rFonts w:hint="default"/>
                <w:vertAlign w:val="baseline"/>
                <w:lang w:val="en-US" w:eastAsia="zh-CN"/>
              </w:rPr>
            </w:pPr>
            <w:r>
              <w:rPr>
                <w:rFonts w:hint="eastAsia"/>
                <w:lang w:val="en-US" w:eastAsia="zh-CN"/>
              </w:rPr>
              <w:t xml:space="preserve">AtomPairs </w:t>
            </w:r>
          </w:p>
        </w:tc>
        <w:tc>
          <w:tcPr>
            <w:tcW w:w="1638" w:type="dxa"/>
            <w:tcBorders>
              <w:top w:val="single" w:color="auto" w:sz="8" w:space="0"/>
              <w:tl2br w:val="nil"/>
              <w:tr2bl w:val="nil"/>
            </w:tcBorders>
          </w:tcPr>
          <w:p w14:paraId="09A50823">
            <w:pPr>
              <w:rPr>
                <w:rFonts w:hint="default"/>
                <w:vertAlign w:val="baseline"/>
                <w:lang w:val="en-US" w:eastAsia="zh-CN"/>
              </w:rPr>
            </w:pPr>
            <w:r>
              <w:rPr>
                <w:rFonts w:hint="eastAsia"/>
                <w:vertAlign w:val="baseline"/>
                <w:lang w:val="en-US" w:eastAsia="zh-CN"/>
              </w:rPr>
              <w:t>√</w:t>
            </w:r>
          </w:p>
        </w:tc>
        <w:tc>
          <w:tcPr>
            <w:tcW w:w="1574" w:type="dxa"/>
            <w:tcBorders>
              <w:top w:val="single" w:color="auto" w:sz="8" w:space="0"/>
              <w:tl2br w:val="nil"/>
              <w:tr2bl w:val="nil"/>
            </w:tcBorders>
          </w:tcPr>
          <w:p w14:paraId="1E01253E">
            <w:pPr>
              <w:rPr>
                <w:rFonts w:hint="default"/>
                <w:vertAlign w:val="baseline"/>
                <w:lang w:val="en-US" w:eastAsia="zh-CN"/>
              </w:rPr>
            </w:pPr>
          </w:p>
        </w:tc>
        <w:tc>
          <w:tcPr>
            <w:tcW w:w="1575" w:type="dxa"/>
            <w:tcBorders>
              <w:top w:val="single" w:color="auto" w:sz="8" w:space="0"/>
              <w:tl2br w:val="nil"/>
              <w:tr2bl w:val="nil"/>
            </w:tcBorders>
          </w:tcPr>
          <w:p w14:paraId="3D74EBA4">
            <w:pPr>
              <w:rPr>
                <w:rFonts w:hint="default"/>
                <w:vertAlign w:val="baseline"/>
                <w:lang w:val="en-US" w:eastAsia="zh-CN"/>
              </w:rPr>
            </w:pPr>
            <w:r>
              <w:rPr>
                <w:rFonts w:hint="eastAsia"/>
                <w:vertAlign w:val="baseline"/>
                <w:lang w:val="en-US" w:eastAsia="zh-CN"/>
              </w:rPr>
              <w:t>√</w:t>
            </w:r>
          </w:p>
        </w:tc>
      </w:tr>
      <w:tr w14:paraId="22A9730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31514E53">
            <w:pPr>
              <w:rPr>
                <w:rFonts w:hint="eastAsia"/>
                <w:lang w:val="en-US" w:eastAsia="zh-CN"/>
              </w:rPr>
            </w:pPr>
            <w:r>
              <w:rPr>
                <w:rFonts w:hint="eastAsia"/>
                <w:lang w:val="en-US" w:eastAsia="zh-CN"/>
              </w:rPr>
              <w:t xml:space="preserve">MACCS </w:t>
            </w:r>
          </w:p>
        </w:tc>
        <w:tc>
          <w:tcPr>
            <w:tcW w:w="1638" w:type="dxa"/>
            <w:tcBorders>
              <w:tl2br w:val="nil"/>
              <w:tr2bl w:val="nil"/>
            </w:tcBorders>
          </w:tcPr>
          <w:p w14:paraId="680C3DC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6447CA02">
            <w:pPr>
              <w:rPr>
                <w:rFonts w:hint="default"/>
                <w:vertAlign w:val="baseline"/>
                <w:lang w:val="en-US" w:eastAsia="zh-CN"/>
              </w:rPr>
            </w:pPr>
            <w:r>
              <w:rPr>
                <w:rFonts w:hint="eastAsia"/>
                <w:vertAlign w:val="baseline"/>
                <w:lang w:val="en-US" w:eastAsia="zh-CN"/>
              </w:rPr>
              <w:t>√</w:t>
            </w:r>
          </w:p>
        </w:tc>
        <w:tc>
          <w:tcPr>
            <w:tcW w:w="1575" w:type="dxa"/>
            <w:tcBorders>
              <w:tl2br w:val="nil"/>
              <w:tr2bl w:val="nil"/>
            </w:tcBorders>
          </w:tcPr>
          <w:p w14:paraId="0091A139">
            <w:pPr>
              <w:rPr>
                <w:rFonts w:hint="default"/>
                <w:vertAlign w:val="baseline"/>
                <w:lang w:val="en-US" w:eastAsia="zh-CN"/>
              </w:rPr>
            </w:pPr>
          </w:p>
        </w:tc>
      </w:tr>
      <w:tr w14:paraId="7F3AD5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02BFD4F1">
            <w:pPr>
              <w:rPr>
                <w:rFonts w:hint="eastAsia"/>
                <w:lang w:val="en-US" w:eastAsia="zh-CN"/>
              </w:rPr>
            </w:pPr>
            <w:r>
              <w:rPr>
                <w:rFonts w:hint="default"/>
                <w:lang w:val="en-US" w:eastAsia="zh-CN"/>
              </w:rPr>
              <w:t>Morgan</w:t>
            </w:r>
          </w:p>
        </w:tc>
        <w:tc>
          <w:tcPr>
            <w:tcW w:w="1638" w:type="dxa"/>
            <w:tcBorders>
              <w:tl2br w:val="nil"/>
              <w:tr2bl w:val="nil"/>
            </w:tcBorders>
          </w:tcPr>
          <w:p w14:paraId="235A28F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17D50701">
            <w:pPr>
              <w:rPr>
                <w:rFonts w:hint="default"/>
                <w:vertAlign w:val="baseline"/>
                <w:lang w:val="en-US" w:eastAsia="zh-CN"/>
              </w:rPr>
            </w:pPr>
          </w:p>
        </w:tc>
        <w:tc>
          <w:tcPr>
            <w:tcW w:w="1575" w:type="dxa"/>
            <w:tcBorders>
              <w:tl2br w:val="nil"/>
              <w:tr2bl w:val="nil"/>
            </w:tcBorders>
          </w:tcPr>
          <w:p w14:paraId="25781416">
            <w:pPr>
              <w:rPr>
                <w:rFonts w:hint="default"/>
                <w:vertAlign w:val="baseline"/>
                <w:lang w:val="en-US" w:eastAsia="zh-CN"/>
              </w:rPr>
            </w:pPr>
            <w:r>
              <w:rPr>
                <w:rFonts w:hint="eastAsia"/>
                <w:vertAlign w:val="baseline"/>
                <w:lang w:val="en-US" w:eastAsia="zh-CN"/>
              </w:rPr>
              <w:t>√</w:t>
            </w:r>
          </w:p>
        </w:tc>
      </w:tr>
    </w:tbl>
    <w:p w14:paraId="543C034C">
      <w:pPr>
        <w:ind w:left="0" w:leftChars="0" w:firstLine="0" w:firstLineChars="0"/>
        <w:rPr>
          <w:rFonts w:hint="default"/>
          <w:lang w:val="en-US" w:eastAsia="zh-CN"/>
        </w:rPr>
      </w:pPr>
    </w:p>
    <w:p w14:paraId="793FBA7A">
      <w:pPr>
        <w:bidi w:val="0"/>
      </w:pPr>
      <w:r>
        <w:rPr>
          <w:rFonts w:hint="default"/>
        </w:rPr>
        <w:t>AtomPairs</w:t>
      </w:r>
      <w:r>
        <w:t>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02498C8B">
      <w:pPr>
        <w:bidi w:val="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E1FD8E">
      <w:pPr>
        <w:bidi w:val="0"/>
        <w:rPr>
          <w:rFonts w:hint="default" w:hAnsi="Cambria Math" w:cs="Times New Roman"/>
          <w:i w:val="0"/>
          <w:kern w:val="2"/>
          <w:sz w:val="21"/>
          <w:szCs w:val="24"/>
          <w:lang w:val="en-US" w:eastAsia="zh-CN" w:bidi="ar-SA"/>
        </w:rPr>
      </w:pPr>
      <m:oMathPara>
        <m:oMath>
          <m:r>
            <m:rPr/>
            <w:rPr>
              <w:rFonts w:hint="default" w:ascii="Cambria Math" w:hAnsi="Cambria Math" w:eastAsia="sans-serif"/>
              <w:sz w:val="24"/>
            </w:rPr>
            <m:t>Output=σ(W⋅[</m:t>
          </m:r>
          <m:r>
            <m:rPr/>
            <w:rPr>
              <w:rFonts w:hint="default" w:ascii="Cambria Math" w:hAnsi="Cambria Math" w:eastAsia="宋体"/>
              <w:sz w:val="24"/>
              <w:lang w:val="en-US" w:eastAsia="zh-CN"/>
            </w:rPr>
            <m:t>A</m:t>
          </m:r>
          <m:r>
            <m:rPr/>
            <w:rPr>
              <w:rFonts w:hint="default" w:ascii="Cambria Math" w:hAnsi="Cambria Math" w:eastAsia="sans-serif"/>
              <w:sz w:val="24"/>
            </w:rPr>
            <m:t>(x),B(x),C(x)]+b)</m:t>
          </m:r>
        </m:oMath>
      </m:oMathPara>
    </w:p>
    <w:p w14:paraId="6DB75378">
      <w:pPr>
        <w:bidi w:val="0"/>
      </w:pPr>
      <w:r>
        <w:rPr>
          <w:lang w:val="en-US" w:eastAsia="zh-CN"/>
        </w:rPr>
        <w:t>式中：</w:t>
      </w:r>
      <m:oMath>
        <m:r>
          <m:rPr/>
          <w:rPr>
            <w:rFonts w:hint="default" w:ascii="Cambria Math" w:hAnsi="Cambria Math" w:eastAsia="宋体"/>
            <w:sz w:val="24"/>
            <w:lang w:val="en-US" w:eastAsia="zh-CN"/>
          </w:rPr>
          <m:t>A</m:t>
        </m:r>
        <m:r>
          <m:rPr/>
          <w:rPr>
            <w:rFonts w:hint="default" w:ascii="Cambria Math" w:hAnsi="Cambria Math" w:eastAsia="sans-serif"/>
            <w:sz w:val="24"/>
          </w:rPr>
          <m:t>(x)</m:t>
        </m:r>
      </m:oMath>
      <w:r>
        <w:rPr>
          <w:lang w:val="en-US" w:eastAsia="zh-CN"/>
        </w:rPr>
        <w:t>代表AtomPairs指纹，</w:t>
      </w:r>
      <m:oMath>
        <m:r>
          <m:rPr>
            <m:sty m:val="p"/>
          </m:rPr>
          <w:rPr>
            <w:rFonts w:hint="default" w:ascii="Times New Roman" w:hAnsi="Times New Roman"/>
          </w:rPr>
          <m:t>B(x)</m:t>
        </m:r>
      </m:oMath>
      <w:r>
        <w:rPr>
          <w:lang w:val="en-US" w:eastAsia="zh-CN"/>
        </w:rPr>
        <w:t>指代MACCS指纹，</w:t>
      </w:r>
      <m:oMath>
        <m:r>
          <m:rPr>
            <m:sty m:val="p"/>
          </m:rPr>
          <w:rPr>
            <w:rFonts w:hint="default" w:ascii="Times New Roman" w:hAnsi="Times New Roman"/>
          </w:rPr>
          <m:t>C(x)</m:t>
        </m:r>
      </m:oMath>
      <w:r>
        <w:rPr>
          <w:lang w:val="en-US" w:eastAsia="zh-CN"/>
        </w:rPr>
        <w:t>为Morgan指纹；</w:t>
      </w:r>
      <m:oMath>
        <m:r>
          <m:rPr>
            <m:sty m:val="p"/>
          </m:rPr>
          <w:rPr>
            <w:rFonts w:hint="default" w:ascii="Times New Roman" w:hAnsi="Times New Roman"/>
          </w:rPr>
          <m:t>σ</m:t>
        </m:r>
      </m:oMath>
      <w:r>
        <w:rPr>
          <w:lang w:val="en-US" w:eastAsia="zh-CN"/>
        </w:rPr>
        <w:t>表示ReLU激活函数，</w:t>
      </w:r>
      <m:oMath>
        <m:r>
          <m:rPr>
            <m:sty m:val="p"/>
          </m:rPr>
          <w:rPr>
            <w:rFonts w:hint="default" w:ascii="Times New Roman" w:hAnsi="Times New Roman"/>
          </w:rPr>
          <m:t>W</m:t>
        </m:r>
      </m:oMath>
      <w:r>
        <w:rPr>
          <w:lang w:val="en-US" w:eastAsia="zh-CN"/>
        </w:rPr>
        <w:t>与</w:t>
      </w:r>
      <m:oMath>
        <m:r>
          <m:rPr>
            <m:sty m:val="p"/>
          </m:rPr>
          <w:rPr>
            <w:rFonts w:hint="default" w:ascii="Times New Roman" w:hAnsi="Times New Roman"/>
          </w:rPr>
          <m:t>b</m:t>
        </m:r>
      </m:oMath>
      <w:r>
        <w:rPr>
          <w:lang w:val="en-US" w:eastAsia="zh-CN"/>
        </w:rPr>
        <w:t>分别对应权重矩阵及偏置向量。</w:t>
      </w:r>
    </w:p>
    <w:p w14:paraId="670561D1">
      <w:pPr>
        <w:pStyle w:val="4"/>
        <w:bidi w:val="0"/>
        <w:rPr>
          <w:rFonts w:hint="default"/>
          <w:lang w:val="en-US" w:eastAsia="zh-CN"/>
        </w:rPr>
      </w:pPr>
      <w:r>
        <w:rPr>
          <w:rFonts w:hint="eastAsia"/>
          <w:lang w:val="en-US" w:eastAsia="zh-CN"/>
        </w:rPr>
        <w:t>序列编码器</w:t>
      </w:r>
    </w:p>
    <w:p w14:paraId="5A11323B">
      <w:pPr>
        <w:rPr>
          <w:rFonts w:hint="default"/>
          <w:lang w:val="en-US" w:eastAsia="zh-CN"/>
        </w:rPr>
      </w:pPr>
      <w:r>
        <w:rPr>
          <w:rFonts w:hint="default"/>
          <w:lang w:val="en-US" w:eastAsia="zh-CN"/>
        </w:rP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s</m:t>
            </m:r>
            <m:ctrlPr>
              <w:rPr>
                <w:rFonts w:hint="default" w:ascii="Cambria Math"/>
              </w:rPr>
            </m:ctrlPr>
          </m:sub>
        </m:sSub>
      </m:oMath>
      <w:r>
        <w:rPr>
          <w:rFonts w:hint="default"/>
          <w:lang w:val="en-US" w:eastAsia="zh-CN"/>
        </w:rPr>
        <w:t xml:space="preserve">，随后经由全连接层映射至与图特征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g</m:t>
            </m:r>
            <m:ctrlPr>
              <w:rPr>
                <w:rFonts w:hint="default" w:ascii="Cambria Math"/>
              </w:rPr>
            </m:ctrlPr>
          </m:sub>
        </m:sSub>
      </m:oMath>
      <w:r>
        <w:rPr>
          <w:rFonts w:hint="default"/>
          <w:lang w:val="en-US" w:eastAsia="zh-CN"/>
        </w:rPr>
        <w:t>等维的语义空间，为后续的跨模态对齐奠定维度基础。</w:t>
      </w:r>
    </w:p>
    <w:p w14:paraId="5B6CBE39">
      <w:pPr>
        <w:pStyle w:val="4"/>
        <w:bidi w:val="0"/>
        <w:rPr>
          <w:rFonts w:hint="default"/>
          <w:lang w:val="en-US" w:eastAsia="zh-CN"/>
        </w:rPr>
      </w:pPr>
      <w:r>
        <w:rPr>
          <w:rFonts w:hint="eastAsia"/>
          <w:lang w:val="en-US" w:eastAsia="zh-CN"/>
        </w:rPr>
        <w:t>文本编码器</w:t>
      </w:r>
    </w:p>
    <w:p w14:paraId="3CAF7708">
      <w:pPr>
        <w:jc w:val="both"/>
        <w:rPr>
          <w:rFonts w:hint="eastAsia"/>
          <w:lang w:val="en-US" w:eastAsia="zh-CN"/>
        </w:rPr>
      </w:pPr>
      <w:r>
        <w:rPr>
          <w:rFonts w:hint="default"/>
          <w:lang w:val="en-US" w:eastAsia="zh-CN"/>
        </w:rPr>
        <w:t>该模块实现了本文核心创新点之一：知识增强重写。</w:t>
      </w:r>
      <w:r>
        <w:rPr>
          <w:rFonts w:hint="eastAsia"/>
          <w:lang w:val="en-US" w:eastAsia="zh-CN"/>
        </w:rPr>
        <w:t>针对原始数据库文本可能存在的噪声干扰与信息冗余，本文设计了如下处理链路：</w:t>
      </w:r>
    </w:p>
    <w:p w14:paraId="22AACF06">
      <w:pPr>
        <w:numPr>
          <w:ilvl w:val="0"/>
          <w:numId w:val="4"/>
        </w:numPr>
        <w:jc w:val="both"/>
        <w:rPr>
          <w:rFonts w:hint="eastAsia"/>
          <w:lang w:val="en-US" w:eastAsia="zh-CN"/>
        </w:rPr>
      </w:pPr>
      <w:r>
        <w:rPr>
          <w:rFonts w:hint="eastAsia"/>
          <w:lang w:val="en-US" w:eastAsia="zh-CN"/>
        </w:rPr>
        <w:t>知识注入：利用 PubChem API 获取原始描述，并融合由 RDKit 计算得出的</w:t>
      </w:r>
      <w:r>
        <w:rPr>
          <w:rFonts w:hint="eastAsia"/>
          <w:color w:val="FF0000"/>
          <w:lang w:val="en-US" w:eastAsia="zh-CN"/>
        </w:rPr>
        <w:t>12</w:t>
      </w:r>
      <w:r>
        <w:rPr>
          <w:rFonts w:hint="eastAsia"/>
          <w:lang w:val="en-US" w:eastAsia="zh-CN"/>
        </w:rPr>
        <w:t>项关键理化指标（如 LogP、TPSA 等）。</w:t>
      </w:r>
    </w:p>
    <w:p w14:paraId="2490DD16">
      <w:pPr>
        <w:numPr>
          <w:ilvl w:val="0"/>
          <w:numId w:val="4"/>
        </w:numPr>
        <w:jc w:val="both"/>
        <w:rPr>
          <w:rFonts w:hint="default"/>
          <w:lang w:val="en-US" w:eastAsia="zh-CN"/>
        </w:rPr>
      </w:pPr>
      <w:r>
        <w:rPr>
          <w:rFonts w:hint="eastAsia"/>
          <w:lang w:val="en-US" w:eastAsia="zh-CN"/>
        </w:rPr>
        <w:t>LLM 重写：利用大语言模型充当领域专家，将定量的理化数值与定性的文本描述有机融合，生成逻辑严密、去噪后的高质量文本。</w:t>
      </w:r>
    </w:p>
    <w:p w14:paraId="7983D170">
      <w:pPr>
        <w:numPr>
          <w:ilvl w:val="0"/>
          <w:numId w:val="4"/>
        </w:numPr>
        <w:jc w:val="both"/>
        <w:rPr>
          <w:rFonts w:hint="default"/>
          <w:lang w:val="en-US" w:eastAsia="zh-CN"/>
        </w:rPr>
      </w:pPr>
      <w:r>
        <w:rPr>
          <w:rFonts w:hint="eastAsia"/>
          <w:lang w:val="en-US" w:eastAsia="zh-CN"/>
        </w:rPr>
        <w:t xml:space="preserve">语义编码：重写后的文本被送入预训练 SciBERT 编码器。得益于其在海量科学文献上的预训练先验，SciBERT 能够敏锐捕捉分子描述中的专业术语语义，最终输出高密度的文本特征向量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t</m:t>
            </m:r>
            <m:ctrlPr>
              <w:rPr>
                <w:rFonts w:hint="default" w:ascii="Cambria Math"/>
              </w:rPr>
            </m:ctrlPr>
          </m:sub>
        </m:sSub>
      </m:oMath>
      <w:r>
        <w:rPr>
          <w:rFonts w:hint="eastAsia"/>
          <w:lang w:val="en-US" w:eastAsia="zh-CN"/>
        </w:rPr>
        <w:t>。</w:t>
      </w:r>
    </w:p>
    <w:p w14:paraId="063DB7DA">
      <w:pPr>
        <w:numPr>
          <w:ilvl w:val="0"/>
          <w:numId w:val="0"/>
        </w:numPr>
        <w:ind w:leftChars="200"/>
        <w:jc w:val="both"/>
        <w:rPr>
          <w:rFonts w:hint="default"/>
          <w:lang w:val="en-US" w:eastAsia="zh-CN"/>
        </w:rPr>
      </w:pPr>
      <w:r>
        <w:rPr>
          <w:rFonts w:hint="eastAsia"/>
          <w:lang w:val="en-US" w:eastAsia="zh-CN"/>
        </w:rPr>
        <w:t>具体的构建流程见实验设计预训练数据章节。</w:t>
      </w:r>
    </w:p>
    <w:p w14:paraId="2CB3DBC5">
      <w:pPr>
        <w:pStyle w:val="4"/>
        <w:bidi w:val="0"/>
        <w:rPr>
          <w:rFonts w:hint="default"/>
          <w:lang w:val="en-US" w:eastAsia="zh-CN"/>
        </w:rPr>
      </w:pPr>
      <w:r>
        <w:rPr>
          <w:rFonts w:hint="eastAsia"/>
          <w:lang w:val="en-US" w:eastAsia="zh-CN"/>
        </w:rPr>
        <w:t>融合与预测</w:t>
      </w:r>
    </w:p>
    <w:p w14:paraId="6CB67CDE">
      <w:pPr>
        <w:rPr>
          <w:rFonts w:hint="default"/>
          <w:lang w:val="en-US" w:eastAsia="zh-CN"/>
        </w:rPr>
      </w:pPr>
      <w:r>
        <w:rPr>
          <w:rFonts w:hint="default"/>
          <w:lang w:val="en-US" w:eastAsia="zh-CN"/>
        </w:rPr>
        <w:t>在下游任务微调阶段，模型通过交叉注意力机制实现多模态信息的自适应融合。动态加权融合</w:t>
      </w:r>
      <w:r>
        <w:rPr>
          <w:rFonts w:hint="eastAsia"/>
          <w:lang w:val="en-US" w:eastAsia="zh-CN"/>
        </w:rPr>
        <w:t>机制允许</w:t>
      </w:r>
      <w:r>
        <w:rPr>
          <w:rFonts w:hint="default"/>
          <w:lang w:val="en-US" w:eastAsia="zh-CN"/>
        </w:rPr>
        <w:t>模型根据不同性质预测任务的需求，自动学习不同模态特征</w:t>
      </w:r>
      <m:oMath>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g</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s</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f</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t</m:t>
            </m:r>
            <m:ctrlPr>
              <w:rPr>
                <w:rFonts w:hint="default" w:ascii="Cambria Math"/>
              </w:rPr>
            </m:ctrlPr>
          </m:sub>
        </m:sSub>
        <m:r>
          <m:rPr>
            <m:sty m:val="p"/>
          </m:rPr>
          <w:rPr>
            <w:rFonts w:hint="default" w:ascii="Cambria Math"/>
          </w:rPr>
          <m:t>）</m:t>
        </m:r>
      </m:oMath>
      <w:r>
        <w:rPr>
          <w:rFonts w:hint="default"/>
          <w:lang w:val="en-US" w:eastAsia="zh-CN"/>
        </w:rPr>
        <w:t>的重要性权重</w:t>
      </w:r>
      <m:oMath>
        <m:sSub>
          <m:sSubPr>
            <m:ctrlPr>
              <w:rPr>
                <w:rFonts w:hint="default" w:ascii="Cambria Math"/>
              </w:rPr>
            </m:ctrlPr>
          </m:sSubPr>
          <m:e>
            <m:r>
              <m:rPr/>
              <w:rPr>
                <w:rFonts w:hint="default" w:ascii="Cambria Math"/>
              </w:rPr>
              <m:t>W</m:t>
            </m:r>
            <m:ctrlPr>
              <w:rPr>
                <w:rFonts w:hint="default" w:ascii="Cambria Math"/>
              </w:rPr>
            </m:ctrlPr>
          </m:e>
          <m:sub>
            <m:r>
              <m:rPr/>
              <w:rPr>
                <w:rFonts w:hint="default" w:ascii="Cambria Math"/>
              </w:rPr>
              <m:t>m</m:t>
            </m:r>
            <m:ctrlPr>
              <w:rPr>
                <w:rFonts w:hint="default" w:ascii="Cambria Math"/>
              </w:rPr>
            </m:ctrlPr>
          </m:sub>
        </m:sSub>
      </m:oMath>
      <w:r>
        <w:rPr>
          <w:rFonts w:hint="default"/>
          <w:lang w:val="en-US" w:eastAsia="zh-CN"/>
        </w:rPr>
        <w:t>。性质预测：融合后的全景分子表征被输入至由多层全连接网络构成的预测头（MLP Head），最终输出分子的理化性质或生物活性预测值</w:t>
      </w:r>
      <m:oMath>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pred</m:t>
            </m:r>
            <m:ctrlPr>
              <w:rPr>
                <w:rFonts w:hint="default" w:ascii="Cambria Math"/>
              </w:rPr>
            </m:ctrlPr>
          </m:sub>
        </m:sSub>
      </m:oMath>
      <w:r>
        <w:rPr>
          <w:rFonts w:hint="default"/>
          <w:lang w:val="en-US" w:eastAsia="zh-CN"/>
        </w:rPr>
        <w:t>。</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bidi w:val="0"/>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53D4A73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rPr>
          <w:rFonts w:hint="default"/>
          <w:lang w:val="en-US" w:eastAsia="zh-CN"/>
        </w:rPr>
      </w:pPr>
      <w:r>
        <w:rPr>
          <w:rFonts w:hint="eastAsia"/>
          <w:lang w:val="en-US" w:eastAsia="zh-CN"/>
        </w:rPr>
        <w:t>下游数据集</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840"/>
        <w:gridCol w:w="2841"/>
        <w:gridCol w:w="2841"/>
      </w:tblGrid>
      <w:tr w14:paraId="1804C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vAlign w:val="top"/>
          </w:tcPr>
          <w:p w14:paraId="7287328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1" name="图片 11"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SOL_Distribution"/>
                          <pic:cNvPicPr>
                            <a:picLocks noChangeAspect="1"/>
                          </pic:cNvPicPr>
                        </pic:nvPicPr>
                        <pic:blipFill>
                          <a:blip r:embed="rId8"/>
                          <a:stretch>
                            <a:fillRect/>
                          </a:stretch>
                        </pic:blipFill>
                        <pic:spPr>
                          <a:xfrm>
                            <a:off x="0" y="0"/>
                            <a:ext cx="1663700" cy="1385570"/>
                          </a:xfrm>
                          <a:prstGeom prst="rect">
                            <a:avLst/>
                          </a:prstGeom>
                        </pic:spPr>
                      </pic:pic>
                    </a:graphicData>
                  </a:graphic>
                </wp:inline>
              </w:drawing>
            </w:r>
          </w:p>
        </w:tc>
        <w:tc>
          <w:tcPr>
            <w:tcW w:w="2841" w:type="dxa"/>
          </w:tcPr>
          <w:p w14:paraId="2E6ED4E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2" name="图片 12"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reeSolv_Distribution"/>
                          <pic:cNvPicPr>
                            <a:picLocks noChangeAspect="1"/>
                          </pic:cNvPicPr>
                        </pic:nvPicPr>
                        <pic:blipFill>
                          <a:blip r:embed="rId9"/>
                          <a:stretch>
                            <a:fillRect/>
                          </a:stretch>
                        </pic:blipFill>
                        <pic:spPr>
                          <a:xfrm>
                            <a:off x="0" y="0"/>
                            <a:ext cx="1663700" cy="1385570"/>
                          </a:xfrm>
                          <a:prstGeom prst="rect">
                            <a:avLst/>
                          </a:prstGeom>
                        </pic:spPr>
                      </pic:pic>
                    </a:graphicData>
                  </a:graphic>
                </wp:inline>
              </w:drawing>
            </w:r>
          </w:p>
        </w:tc>
        <w:tc>
          <w:tcPr>
            <w:tcW w:w="2841" w:type="dxa"/>
          </w:tcPr>
          <w:p w14:paraId="081A173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6840"/>
                  <wp:effectExtent l="0" t="0" r="12700" b="0"/>
                  <wp:docPr id="13" name="图片 13"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pophilicity_Distribution"/>
                          <pic:cNvPicPr>
                            <a:picLocks noChangeAspect="1"/>
                          </pic:cNvPicPr>
                        </pic:nvPicPr>
                        <pic:blipFill>
                          <a:blip r:embed="rId10"/>
                          <a:stretch>
                            <a:fillRect/>
                          </a:stretch>
                        </pic:blipFill>
                        <pic:spPr>
                          <a:xfrm>
                            <a:off x="0" y="0"/>
                            <a:ext cx="1663700" cy="1386840"/>
                          </a:xfrm>
                          <a:prstGeom prst="rect">
                            <a:avLst/>
                          </a:prstGeom>
                        </pic:spPr>
                      </pic:pic>
                    </a:graphicData>
                  </a:graphic>
                </wp:inline>
              </w:drawing>
            </w:r>
          </w:p>
        </w:tc>
      </w:tr>
    </w:tbl>
    <w:p w14:paraId="281F4A9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2D9AC9CE">
      <w:pPr>
        <w:pStyle w:val="4"/>
        <w:bidi w:val="0"/>
        <w:rPr>
          <w:rFonts w:hint="default"/>
          <w:lang w:val="en-US" w:eastAsia="zh-CN"/>
        </w:rPr>
      </w:pPr>
      <w:r>
        <w:rPr>
          <w:rFonts w:hint="eastAsia"/>
          <w:lang w:val="en-US" w:eastAsia="zh-CN"/>
        </w:rPr>
        <w:t>实验设置</w:t>
      </w:r>
    </w:p>
    <w:p w14:paraId="1A9F1762">
      <w:pPr>
        <w:pageBreakBefore w:val="0"/>
        <w:numPr>
          <w:ilvl w:val="0"/>
          <w:numId w:val="5"/>
        </w:numPr>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0C2C7384">
      <w:pPr>
        <w:numPr>
          <w:ilvl w:val="0"/>
          <w:numId w:val="5"/>
        </w:numPr>
        <w:ind w:left="0" w:leftChars="0" w:firstLine="420" w:firstLineChars="200"/>
        <w:rPr>
          <w:rFonts w:hint="default"/>
          <w:lang w:val="en-US" w:eastAsia="zh-CN"/>
        </w:rPr>
      </w:pPr>
      <w:r>
        <w:rPr>
          <w:rFonts w:hint="eastAsia"/>
          <w:lang w:val="en-US" w:eastAsia="zh-CN"/>
        </w:rPr>
        <w:t>参数设置</w:t>
      </w:r>
    </w:p>
    <w:p w14:paraId="26E48C6E">
      <w:pPr>
        <w:numPr>
          <w:numId w:val="0"/>
        </w:numPr>
        <w:ind w:leftChars="200"/>
        <w:rPr>
          <w:rFonts w:hint="default"/>
          <w:lang w:val="en-US" w:eastAsia="zh-CN"/>
        </w:rPr>
      </w:pPr>
      <w:r>
        <w:rPr>
          <w:rFonts w:hint="eastAsia"/>
          <w:b/>
          <w:bCs/>
          <w:lang w:val="en-US" w:eastAsia="zh-CN"/>
        </w:rPr>
        <w:t>预训练参数设置</w:t>
      </w:r>
      <w:r>
        <w:rPr>
          <w:rFonts w:hint="eastAsia"/>
          <w:lang w:val="en-US" w:eastAsia="zh-CN"/>
        </w:rPr>
        <w:t>：优化器：采用 AdamW 优化器，以解耦权重衰减（Weight Decay）策略提升模型泛化性，权重衰减系数设为</w:t>
      </w:r>
      <m:oMath>
        <m:r>
          <m:rPr/>
          <w:rPr>
            <w:rFonts w:hint="default" w:ascii="Cambria Math"/>
          </w:rPr>
          <m:t>1</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−4</m:t>
            </m:r>
            <m:ctrlPr>
              <w:rPr>
                <w:rFonts w:hint="default" w:ascii="Cambria Math"/>
              </w:rPr>
            </m:ctrlPr>
          </m:sup>
        </m:sSup>
      </m:oMath>
      <w:r>
        <w:rPr>
          <w:rFonts w:hint="eastAsia"/>
          <w:lang w:val="en-US" w:eastAsia="zh-CN"/>
        </w:rPr>
        <w:t>。学习率调度：采用带有线性预热的余弦退火策略。初始学习率设为</w:t>
      </w:r>
      <m:oMath>
        <m:r>
          <m:rPr/>
          <w:rPr>
            <w:rFonts w:hint="default" w:ascii="Cambria Math"/>
          </w:rPr>
          <m:t>2</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−4</m:t>
            </m:r>
            <m:ctrlPr>
              <w:rPr>
                <w:rFonts w:hint="default" w:ascii="Cambria Math"/>
              </w:rPr>
            </m:ctrlPr>
          </m:sup>
        </m:sSup>
      </m:oMath>
      <w:r>
        <w:rPr>
          <w:rFonts w:hint="eastAsia"/>
          <w:lang w:val="en-US" w:eastAsia="zh-CN"/>
        </w:rPr>
        <w:t>，预热步数占总步数的 6%，随后逐渐衰减至</w:t>
      </w:r>
      <m:oMath>
        <m:r>
          <m:rPr/>
          <w:rPr>
            <w:rFonts w:hint="default" w:ascii="Cambria Math"/>
          </w:rPr>
          <m:t>1</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−6</m:t>
            </m:r>
            <m:ctrlPr>
              <w:rPr>
                <w:rFonts w:hint="default" w:ascii="Cambria Math"/>
              </w:rPr>
            </m:ctrlPr>
          </m:sup>
        </m:sSup>
      </m:oMath>
      <w:r>
        <w:rPr>
          <w:rFonts w:hint="eastAsia"/>
          <w:lang w:val="en-US" w:eastAsia="zh-CN"/>
        </w:rPr>
        <w:t xml:space="preserve">。批次与周期：为了保证对比学习中负样本的数量充足，将批次大小设为 256。模型共训练 100 个 Epoch，并在验证集 loss 不再下降时实施早停。对比损失参数：基于 3.3.4 节的参数敏感性实验结果，NT-Xent 损失函数中的温度系数 </w:t>
      </w:r>
      <m:oMath>
        <m:r>
          <m:rPr/>
          <w:rPr>
            <w:rFonts w:hint="default" w:ascii="Cambria Math"/>
          </w:rPr>
          <m:t>τ</m:t>
        </m:r>
      </m:oMath>
      <w:r>
        <w:rPr>
          <w:rFonts w:hint="eastAsia"/>
          <w:lang w:val="en-US" w:eastAsia="zh-CN"/>
        </w:rPr>
        <w:t xml:space="preserve"> 固定为 0.1。自适应加权损失中的可学习噪声参数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初始化为 1.0，并随训练过程自动更新。模型架构参数：Graphormer 编码器包含 6 层 Transformer 层，隐藏层维度设为 256，多头注意力头数设为 8。文本编码器 SciBERT 与序列编码器 RoBERTa 均冻结前 6 层参数，仅微调高层参数以适配分子语义。</w:t>
      </w:r>
    </w:p>
    <w:p w14:paraId="3ACCA3DD">
      <w:pPr>
        <w:numPr>
          <w:numId w:val="0"/>
        </w:numPr>
        <w:ind w:leftChars="200"/>
        <w:rPr>
          <w:rFonts w:hint="default"/>
          <w:lang w:val="en-US" w:eastAsia="zh-CN"/>
        </w:rPr>
      </w:pPr>
      <w:r>
        <w:rPr>
          <w:rFonts w:hint="eastAsia"/>
          <w:b/>
          <w:bCs/>
          <w:lang w:val="en-US" w:eastAsia="zh-CN"/>
        </w:rPr>
        <w:t>微调参数设置</w:t>
      </w:r>
      <w:r>
        <w:rPr>
          <w:rFonts w:hint="eastAsia"/>
          <w:lang w:val="en-US" w:eastAsia="zh-CN"/>
        </w:rPr>
        <w:t xml:space="preserve">：在下游任务阶段，我们将预训练好的 KGAMA 编码器迁移至 MoleculeNet 的 9 个基准数据集上。为了适应不同规模的数据集，微调策略进行了如下调整：学习率：为了保留预训练特征的先验知识，微调阶段采用较小的学习率，设定为 </w:t>
      </w:r>
      <m:oMath>
        <m:r>
          <m:rPr/>
          <w:rPr>
            <w:rFonts w:hint="default" w:ascii="Cambria Math"/>
          </w:rPr>
          <m:t>5</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−5</m:t>
            </m:r>
            <m:ctrlPr>
              <w:rPr>
                <w:rFonts w:hint="default" w:ascii="Cambria Math"/>
              </w:rPr>
            </m:ctrlPr>
          </m:sup>
        </m:sSup>
      </m:oMath>
      <w:r>
        <w:rPr>
          <w:rFonts w:hint="eastAsia"/>
          <w:lang w:val="en-US" w:eastAsia="zh-CN"/>
        </w:rPr>
        <w:t>。批次大小：设为 32，以适应小样本数据的梯度更新频率。Dropout：在预测头中引入 Dropout 层，丢弃率设为 0.1，以防止在小数据集上过拟合。训练周期：最大训练 100 Epoch，同样配合早停机制（Patience=5）。</w:t>
      </w:r>
    </w:p>
    <w:p w14:paraId="60FEF574">
      <w:pPr>
        <w:pStyle w:val="4"/>
        <w:bidi w:val="0"/>
        <w:rPr>
          <w:rFonts w:hint="default"/>
          <w:lang w:val="en-US" w:eastAsia="zh-CN"/>
        </w:rPr>
      </w:pPr>
      <w:r>
        <w:rPr>
          <w:rFonts w:hint="eastAsia"/>
          <w:lang w:val="en-US" w:eastAsia="zh-CN"/>
        </w:rPr>
        <w:t>评价指标</w:t>
      </w:r>
    </w:p>
    <w:p w14:paraId="01B56067">
      <w:pPr>
        <w:rPr>
          <w:rFonts w:hint="default"/>
          <w:lang w:val="en-US" w:eastAsia="zh-CN"/>
        </w:rPr>
      </w:pPr>
      <w:r>
        <w:rPr>
          <w:rFonts w:hint="default"/>
          <w:lang w:val="en-US" w:eastAsia="zh-CN"/>
        </w:rPr>
        <w:t>本研究根据具体任务特性的不同，实施了差异化的效能评测策略。针对分类问题，模型对类别的区分效能主要依赖受试者工作特征曲线下面积（AUROC）进行考量。AUROC 能够量化模型在真假阳性率权衡过程中的表现，其得分位于 0.5 到 1 的闭区间内，分数越高象征着模型拥有更优异的判别力。而在回归分析中，核心关注点转向均方根误差（RMSE），该指标用于刻画预测精度。通过对预测值与实测值之差进行平方、取均值后再开方，RMSE 实现了对误差的标准化度量；由于其单位与目标变量保持一致，较小的 RMSE 值直接映射出模型预测结果与真实数据之间极高的匹配吻合度。</w:t>
      </w:r>
    </w:p>
    <w:p w14:paraId="1014AC8C">
      <w:pPr>
        <w:pStyle w:val="4"/>
        <w:bidi w:val="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j</m:t>
            </m:r>
            <m:ctrlPr>
              <w:rPr>
                <w:rFonts w:hint="default" w:ascii="Cambria Math"/>
              </w:rPr>
            </m:ctrlPr>
          </m:sub>
        </m:sSub>
      </m:oMath>
      <w:r>
        <w:rPr>
          <w:rFonts w:hint="eastAsia"/>
          <w:lang w:val="en-US" w:eastAsia="zh-CN"/>
        </w:rPr>
        <w:t>为归一化后的特征向量，</w:t>
      </w:r>
      <m:oMath>
        <m:r>
          <m:rPr/>
          <w:rPr>
            <w:rFonts w:hint="default" w:ascii="Cambria Math"/>
          </w:rPr>
          <m:t>sim(⋅,⋅)</m:t>
        </m:r>
      </m:oMath>
      <w:r>
        <w:rPr>
          <w:rFonts w:hint="eastAsia"/>
          <w:lang w:val="en-US" w:eastAsia="zh-CN"/>
        </w:rPr>
        <w:t>表示余弦相似度，</w:t>
      </w:r>
      <m:oMath>
        <m:r>
          <m:rPr/>
          <w:rPr>
            <w:rFonts w:hint="default" w:ascii="Cambria Math"/>
          </w:rPr>
          <m:t>τ</m:t>
        </m:r>
      </m:oMath>
      <w:r>
        <w:rPr>
          <w:rFonts w:hint="eastAsia"/>
          <w:lang w:val="en-US" w:eastAsia="zh-CN"/>
        </w:rPr>
        <w:t>为温度系数，</w:t>
      </w:r>
      <m:oMath>
        <m:r>
          <m:rPr/>
          <w:rPr>
            <w:rFonts w:hint="default" w:ascii="Cambria Math"/>
          </w:rPr>
          <m:t>B</m:t>
        </m:r>
      </m:oMath>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
        <m:r>
          <m:rPr/>
          <w:rPr>
            <w:rFonts w:hint="default" w:ascii="Cambria Math"/>
          </w:rPr>
          <m:t>i</m:t>
        </m:r>
      </m:oMath>
      <w:r>
        <w:rPr>
          <w:rFonts w:hint="eastAsia"/>
          <w:lang w:val="en-US" w:eastAsia="zh-CN"/>
        </w:rPr>
        <w:t>个分子样本在模态</w:t>
      </w:r>
      <m:oMath>
        <m:r>
          <m:rPr/>
          <w:rPr>
            <w:rFonts w:hint="default" w:ascii="Cambria Math"/>
          </w:rPr>
          <m:t>m∈{S,F,T}</m:t>
        </m:r>
      </m:oMath>
      <w:r>
        <w:rPr>
          <w:rFonts w:hint="eastAsia"/>
          <w:lang w:val="en-US" w:eastAsia="zh-CN"/>
        </w:rPr>
        <w:t>下的表示为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(m)</m:t>
            </m:r>
            <m:ctrlPr>
              <w:rPr>
                <w:rFonts w:hint="default" w:ascii="Cambria Math"/>
              </w:rPr>
            </m:ctrlPr>
          </m:sup>
        </m:sSubSup>
      </m:oMath>
      <w:r>
        <w:rPr>
          <w:rFonts w:hint="eastAsia"/>
          <w:lang w:val="en-US" w:eastAsia="zh-CN"/>
        </w:rPr>
        <w:t>，Graph模态表示为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(G)</m:t>
            </m:r>
            <m:ctrlPr>
              <w:rPr>
                <w:rFonts w:hint="default" w:ascii="Cambria Math"/>
              </w:rPr>
            </m:ctrlPr>
          </m:sup>
        </m:sSubSup>
      </m:oMath>
      <w:r>
        <w:rPr>
          <w:rFonts w:hint="eastAsia"/>
          <w:lang w:val="en-US" w:eastAsia="zh-CN"/>
        </w:rPr>
        <w:t>。为了确保对齐的对称性，本文定义双向对比损失</w:t>
      </w:r>
      <m:oMath>
        <m:sSub>
          <m:sSubPr>
            <m:ctrlPr>
              <w:rPr>
                <w:rFonts w:hint="default" w:ascii="Cambria Math"/>
              </w:rPr>
            </m:ctrlPr>
          </m:sSubPr>
          <m:e>
            <m:r>
              <m:rPr>
                <m:scr m:val="script"/>
              </m:rPr>
              <w:rPr>
                <w:rFonts w:hint="default" w:ascii="Cambria Math"/>
              </w:rPr>
              <m:t>ℒ</m:t>
            </m:r>
            <m:ctrlPr>
              <w:rPr>
                <w:rFonts w:hint="default" w:ascii="Cambria Math"/>
              </w:rPr>
            </m:ctrlPr>
          </m:e>
          <m:sub>
            <m:r>
              <m:rPr/>
              <w:rPr>
                <w:rFonts w:hint="default" w:ascii="Cambria Math"/>
              </w:rPr>
              <m:t>G,m</m:t>
            </m:r>
            <m:ctrlPr>
              <w:rPr>
                <w:rFonts w:hint="default" w:ascii="Cambria Math"/>
              </w:rPr>
            </m:ctrlPr>
          </m:sub>
        </m:sSub>
      </m:oMath>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w:t>
      </w:r>
      <m:oMath>
        <m:r>
          <m:rPr/>
          <w:rPr>
            <w:rFonts w:hint="default" w:ascii="Cambria Math"/>
          </w:rPr>
          <m:t>m</m:t>
        </m:r>
      </m:oMath>
      <w:r>
        <w:rPr>
          <w:rFonts w:hint="eastAsia"/>
          <w:lang w:val="en-US" w:eastAsia="zh-CN"/>
        </w:rPr>
        <w:t>的单向对比损失定义为：</w:t>
      </w:r>
    </w:p>
    <w:p w14:paraId="3824D8F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w:r>
        <w:rPr>
          <w:rFonts w:hint="eastAsia"/>
          <w:lang w:val="en-US" w:eastAsia="zh-CN"/>
        </w:rPr>
        <w:t>时，由于各模态的信息熵与噪声水平存在显著差异，采用静态等权重加权（如</w:t>
      </w:r>
      <m:oMath>
        <m:r>
          <m:rPr/>
          <w:rPr>
            <w:rFonts w:hint="default" w:ascii="Cambria Math"/>
          </w:rPr>
          <m:t>1:1:1</m:t>
        </m:r>
      </m:oMath>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up>
                <m:r>
                  <m:rPr>
                    <m:sty m:val="p"/>
                  </m:rPr>
                  <w:rPr>
                    <w:rFonts w:hint="default" w:ascii="Times New Roman" w:hAnsi="Times New Roman"/>
                  </w:rPr>
                  <m:t>2</m:t>
                </m:r>
                <m:ctrlPr>
                  <w:rPr>
                    <w:rFonts w:hint="default" w:ascii="Cambria Math" w:hAnsi="Cambria Math"/>
                  </w:rPr>
                </m:ctrlPr>
              </m:sup>
            </m:sSubSup>
            <m:ctrlPr>
              <w:rPr>
                <w:rFonts w:hint="default" w:ascii="Cambria Math" w:hAnsi="Cambria Math"/>
              </w:rPr>
            </m:ctrlPr>
          </m:den>
        </m:f>
      </m:oMath>
      <w:r>
        <w:rPr>
          <w:rFonts w:hint="eastAsia"/>
          <w:lang w:val="en-US" w:eastAsia="zh-CN"/>
        </w:rPr>
        <w:t>项充当动态权重。当某一模态对齐任务表现出较高的不确定性或存在较大噪声时，模型会自动增大</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
        <m:func>
          <m:funcPr>
            <m:ctrlPr>
              <w:rPr>
                <w:rFonts w:hint="default" w:ascii="Cambria Math" w:hAnsi="Cambria Math"/>
              </w:rPr>
            </m:ctrlPr>
          </m:funcPr>
          <m:fName>
            <m:r>
              <m:rPr>
                <m:sty m:val="p"/>
              </m:rPr>
              <w:rPr>
                <w:rFonts w:hint="default" w:ascii="Times New Roman" w:hAnsi="Times New Roman"/>
              </w:rPr>
              <m:t>log</m:t>
            </m:r>
            <m:ctrlPr>
              <w:rPr>
                <w:rFonts w:hint="default" w:ascii="Cambria Math" w:hAnsi="Cambria Math"/>
              </w:rPr>
            </m:ctrlPr>
          </m:fName>
          <m:e>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ctrlPr>
              <w:rPr>
                <w:rFonts w:hint="default" w:ascii="Cambria Math" w:hAnsi="Cambria Math"/>
              </w:rPr>
            </m:ctrlPr>
          </m:e>
        </m:func>
      </m:oMath>
      <w:r>
        <w:rPr>
          <w:rFonts w:hint="eastAsia"/>
          <w:lang w:val="en-US" w:eastAsia="zh-CN"/>
        </w:rPr>
        <w:t>项作为正则化因子，防止</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rPr>
          <w:rFonts w:hint="eastAsia"/>
          <w:lang w:val="en-US" w:eastAsia="zh-CN"/>
        </w:rPr>
      </w:pPr>
      <w:r>
        <w:rPr>
          <w:rFonts w:hint="eastAsia"/>
          <w:lang w:val="en-US" w:eastAsia="zh-CN"/>
        </w:rPr>
        <w:t>对比实验</w:t>
      </w:r>
    </w:p>
    <w:p w14:paraId="5F5E45C6">
      <w:pPr>
        <w:bidi w:val="0"/>
        <w:rPr>
          <w:rFonts w:hint="eastAsia"/>
          <w:lang w:val="en-US" w:eastAsia="zh-CN"/>
        </w:rPr>
      </w:pPr>
      <w:r>
        <w:rPr>
          <w:rFonts w:hint="eastAsia"/>
          <w:lang w:val="en-US" w:eastAsia="zh-CN"/>
        </w:rPr>
        <w:t>针对 MoleculeNet 涵盖的 9 个分子性质预测基准数据集，本研究开展了多维度的系统性评估。在数据处理层面，全数遵循 MoleculeNet 推荐的标准化协议，即采用骨架分割（Scaffold Split）策略，将样本集按 8:1:1 的比例严格划分为训练集、验证集与测试集，以评估模型在非同源分子结构上的泛化能力。为消除随机性干扰，所有实验均在不同随机种子下重复进行多轮，最终汇报各项指标的均值及其标准差。</w:t>
      </w:r>
    </w:p>
    <w:tbl>
      <w:tblPr>
        <w:tblStyle w:val="17"/>
        <w:tblpPr w:leftFromText="180" w:rightFromText="180" w:vertAnchor="text" w:horzAnchor="page" w:tblpX="2200" w:tblpY="459"/>
        <w:tblOverlap w:val="never"/>
        <w:tblW w:w="7957"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441"/>
        <w:gridCol w:w="1086"/>
        <w:gridCol w:w="1086"/>
        <w:gridCol w:w="1086"/>
        <w:gridCol w:w="1086"/>
        <w:gridCol w:w="1086"/>
        <w:gridCol w:w="1086"/>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86"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10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86"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086"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86"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086"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86"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10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86"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086"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86"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086"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86"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10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86"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1086"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86"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1086"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AttentiveFP</w:t>
            </w:r>
          </w:p>
        </w:tc>
        <w:tc>
          <w:tcPr>
            <w:tcW w:w="1086"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0.863</w:t>
            </w:r>
            <w:r>
              <w:rPr>
                <w:rFonts w:hint="eastAsia"/>
                <w:color w:val="auto"/>
                <w:vertAlign w:val="subscript"/>
                <w:lang w:val="en-US" w:eastAsia="zh-CN"/>
              </w:rPr>
              <w:t>(0.150)</w:t>
            </w:r>
          </w:p>
        </w:tc>
        <w:tc>
          <w:tcPr>
            <w:tcW w:w="10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0.908</w:t>
            </w:r>
            <w:r>
              <w:rPr>
                <w:rFonts w:hint="eastAsia"/>
                <w:color w:val="auto"/>
                <w:vertAlign w:val="subscript"/>
                <w:lang w:val="en-US" w:eastAsia="zh-CN"/>
              </w:rPr>
              <w:t>(0.050)</w:t>
            </w:r>
          </w:p>
        </w:tc>
        <w:tc>
          <w:tcPr>
            <w:tcW w:w="1086"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0.933</w:t>
            </w:r>
            <w:r>
              <w:rPr>
                <w:rFonts w:hint="eastAsia"/>
                <w:color w:val="auto"/>
                <w:vertAlign w:val="subscript"/>
                <w:lang w:val="en-US" w:eastAsia="zh-CN"/>
              </w:rPr>
              <w:t>(0.020)</w:t>
            </w:r>
          </w:p>
        </w:tc>
        <w:tc>
          <w:tcPr>
            <w:tcW w:w="1086"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0.807</w:t>
            </w:r>
            <w:r>
              <w:rPr>
                <w:rFonts w:hint="eastAsia"/>
                <w:color w:val="auto"/>
                <w:vertAlign w:val="subscript"/>
                <w:lang w:val="en-US" w:eastAsia="zh-CN"/>
              </w:rPr>
              <w:t>(0.021)</w:t>
            </w:r>
          </w:p>
        </w:tc>
        <w:tc>
          <w:tcPr>
            <w:tcW w:w="1086"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0.637</w:t>
            </w:r>
            <w:r>
              <w:rPr>
                <w:rFonts w:hint="eastAsia"/>
                <w:color w:val="auto"/>
                <w:vertAlign w:val="subscript"/>
                <w:lang w:val="en-US" w:eastAsia="zh-CN"/>
              </w:rPr>
              <w:t>(0.103)</w:t>
            </w:r>
          </w:p>
        </w:tc>
        <w:tc>
          <w:tcPr>
            <w:tcW w:w="1086"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(0.061)</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86"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0.802</w:t>
            </w:r>
            <w:r>
              <w:rPr>
                <w:rFonts w:hint="eastAsia"/>
                <w:color w:val="auto"/>
                <w:vertAlign w:val="subscript"/>
                <w:lang w:val="en-US" w:eastAsia="zh-CN"/>
              </w:rPr>
              <w:t>(0.008)</w:t>
            </w:r>
          </w:p>
        </w:tc>
        <w:tc>
          <w:tcPr>
            <w:tcW w:w="10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0.826</w:t>
            </w:r>
            <w:r>
              <w:rPr>
                <w:rFonts w:hint="eastAsia"/>
                <w:color w:val="auto"/>
                <w:vertAlign w:val="subscript"/>
                <w:lang w:val="en-US" w:eastAsia="zh-CN"/>
              </w:rPr>
              <w:t>(0.027)</w:t>
            </w:r>
          </w:p>
        </w:tc>
        <w:tc>
          <w:tcPr>
            <w:tcW w:w="1086"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0.750</w:t>
            </w:r>
            <w:r>
              <w:rPr>
                <w:rFonts w:hint="eastAsia"/>
                <w:color w:val="auto"/>
                <w:vertAlign w:val="subscript"/>
                <w:lang w:val="en-US" w:eastAsia="zh-CN"/>
              </w:rPr>
              <w:t>(0.127)</w:t>
            </w:r>
          </w:p>
        </w:tc>
        <w:tc>
          <w:tcPr>
            <w:tcW w:w="1086"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0.754</w:t>
            </w:r>
            <w:r>
              <w:rPr>
                <w:rFonts w:hint="eastAsia"/>
                <w:color w:val="auto"/>
                <w:vertAlign w:val="subscript"/>
                <w:lang w:val="en-US" w:eastAsia="zh-CN"/>
              </w:rPr>
              <w:t>(0.101)</w:t>
            </w:r>
          </w:p>
        </w:tc>
        <w:tc>
          <w:tcPr>
            <w:tcW w:w="1086"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(0.031)</w:t>
            </w:r>
          </w:p>
        </w:tc>
        <w:tc>
          <w:tcPr>
            <w:tcW w:w="1086"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0.592</w:t>
            </w:r>
            <w:r>
              <w:rPr>
                <w:rFonts w:hint="eastAsia"/>
                <w:color w:val="auto"/>
                <w:vertAlign w:val="subscript"/>
                <w:lang w:val="en-US" w:eastAsia="zh-CN"/>
              </w:rPr>
              <w:t>(0.003)</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86"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0.810</w:t>
            </w:r>
            <w:r>
              <w:rPr>
                <w:rFonts w:hint="eastAsia"/>
                <w:color w:val="auto"/>
                <w:vertAlign w:val="subscript"/>
                <w:lang w:val="en-US" w:eastAsia="zh-CN"/>
              </w:rPr>
              <w:t>(0.044)</w:t>
            </w:r>
          </w:p>
        </w:tc>
        <w:tc>
          <w:tcPr>
            <w:tcW w:w="10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0.695</w:t>
            </w:r>
            <w:r>
              <w:rPr>
                <w:rFonts w:hint="eastAsia"/>
                <w:color w:val="auto"/>
                <w:vertAlign w:val="subscript"/>
                <w:lang w:val="en-US" w:eastAsia="zh-CN"/>
              </w:rPr>
              <w:t>(0.185)</w:t>
            </w:r>
          </w:p>
        </w:tc>
        <w:tc>
          <w:tcPr>
            <w:tcW w:w="1086"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0.762</w:t>
            </w:r>
            <w:r>
              <w:rPr>
                <w:rFonts w:hint="eastAsia"/>
                <w:color w:val="auto"/>
                <w:vertAlign w:val="subscript"/>
                <w:lang w:val="en-US" w:eastAsia="zh-CN"/>
              </w:rPr>
              <w:t>(0.013)</w:t>
            </w:r>
          </w:p>
        </w:tc>
        <w:tc>
          <w:tcPr>
            <w:tcW w:w="1086"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0.735</w:t>
            </w:r>
            <w:r>
              <w:rPr>
                <w:rFonts w:hint="eastAsia"/>
                <w:color w:val="auto"/>
                <w:vertAlign w:val="subscript"/>
                <w:lang w:val="en-US" w:eastAsia="zh-CN"/>
              </w:rPr>
              <w:t>(0.027)</w:t>
            </w:r>
          </w:p>
        </w:tc>
        <w:tc>
          <w:tcPr>
            <w:tcW w:w="1086"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0.653</w:t>
            </w:r>
            <w:r>
              <w:rPr>
                <w:rFonts w:hint="eastAsia"/>
                <w:color w:val="auto"/>
                <w:vertAlign w:val="subscript"/>
                <w:lang w:val="en-US" w:eastAsia="zh-CN"/>
              </w:rPr>
              <w:t>(0.005)</w:t>
            </w:r>
          </w:p>
        </w:tc>
        <w:tc>
          <w:tcPr>
            <w:tcW w:w="1086"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(0.017)</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86"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0.812</w:t>
            </w:r>
            <w:r>
              <w:rPr>
                <w:rFonts w:hint="eastAsia"/>
                <w:color w:val="auto"/>
                <w:vertAlign w:val="subscript"/>
                <w:lang w:val="en-US" w:eastAsia="zh-CN"/>
              </w:rPr>
              <w:t>(0.009)</w:t>
            </w:r>
          </w:p>
        </w:tc>
        <w:tc>
          <w:tcPr>
            <w:tcW w:w="10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0.724</w:t>
            </w:r>
            <w:r>
              <w:rPr>
                <w:rFonts w:hint="eastAsia"/>
                <w:color w:val="auto"/>
                <w:vertAlign w:val="subscript"/>
                <w:lang w:val="en-US" w:eastAsia="zh-CN"/>
              </w:rPr>
              <w:t>(0.016)</w:t>
            </w:r>
          </w:p>
        </w:tc>
        <w:tc>
          <w:tcPr>
            <w:tcW w:w="1086"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0.791</w:t>
            </w:r>
            <w:r>
              <w:rPr>
                <w:rFonts w:hint="eastAsia"/>
                <w:color w:val="auto"/>
                <w:vertAlign w:val="subscript"/>
                <w:lang w:val="en-US" w:eastAsia="zh-CN"/>
              </w:rPr>
              <w:t>(0.028)</w:t>
            </w:r>
          </w:p>
        </w:tc>
        <w:tc>
          <w:tcPr>
            <w:tcW w:w="1086"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(0.005)</w:t>
            </w:r>
          </w:p>
        </w:tc>
        <w:tc>
          <w:tcPr>
            <w:tcW w:w="1086"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0.631</w:t>
            </w:r>
            <w:r>
              <w:rPr>
                <w:rFonts w:hint="eastAsia"/>
                <w:color w:val="auto"/>
                <w:vertAlign w:val="subscript"/>
                <w:lang w:val="en-US" w:eastAsia="zh-CN"/>
              </w:rPr>
              <w:t>(0.114)</w:t>
            </w:r>
          </w:p>
        </w:tc>
        <w:tc>
          <w:tcPr>
            <w:tcW w:w="1086"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0.639</w:t>
            </w:r>
            <w:r>
              <w:rPr>
                <w:rFonts w:hint="eastAsia"/>
                <w:color w:val="auto"/>
                <w:vertAlign w:val="subscript"/>
                <w:lang w:val="en-US" w:eastAsia="zh-CN"/>
              </w:rPr>
              <w:t>(0.012)</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86"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0.815</w:t>
            </w:r>
            <w:r>
              <w:rPr>
                <w:rFonts w:hint="eastAsia"/>
                <w:color w:val="auto"/>
                <w:vertAlign w:val="subscript"/>
                <w:lang w:val="en-US" w:eastAsia="zh-CN"/>
              </w:rPr>
              <w:t>(0.043)</w:t>
            </w:r>
          </w:p>
        </w:tc>
        <w:tc>
          <w:tcPr>
            <w:tcW w:w="10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0.913</w:t>
            </w:r>
            <w:r>
              <w:rPr>
                <w:rFonts w:hint="eastAsia"/>
                <w:color w:val="auto"/>
                <w:vertAlign w:val="subscript"/>
                <w:lang w:val="en-US" w:eastAsia="zh-CN"/>
              </w:rPr>
              <w:t>(0.042)</w:t>
            </w:r>
          </w:p>
        </w:tc>
        <w:tc>
          <w:tcPr>
            <w:tcW w:w="1086"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0.879</w:t>
            </w:r>
            <w:r>
              <w:rPr>
                <w:rFonts w:hint="eastAsia"/>
                <w:color w:val="auto"/>
                <w:vertAlign w:val="subscript"/>
                <w:lang w:val="en-US" w:eastAsia="zh-CN"/>
              </w:rPr>
              <w:t>(0.054)</w:t>
            </w:r>
          </w:p>
        </w:tc>
        <w:tc>
          <w:tcPr>
            <w:tcW w:w="1086"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0.808</w:t>
            </w:r>
            <w:r>
              <w:rPr>
                <w:rFonts w:hint="eastAsia"/>
                <w:color w:val="auto"/>
                <w:vertAlign w:val="subscript"/>
                <w:lang w:val="en-US" w:eastAsia="zh-CN"/>
              </w:rPr>
              <w:t>(0.024)</w:t>
            </w:r>
          </w:p>
        </w:tc>
        <w:tc>
          <w:tcPr>
            <w:tcW w:w="1086"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0.691</w:t>
            </w:r>
            <w:r>
              <w:rPr>
                <w:rFonts w:hint="eastAsia"/>
                <w:color w:val="auto"/>
                <w:vertAlign w:val="subscript"/>
                <w:lang w:val="en-US" w:eastAsia="zh-CN"/>
              </w:rPr>
              <w:t>(0.018)</w:t>
            </w:r>
          </w:p>
        </w:tc>
        <w:tc>
          <w:tcPr>
            <w:tcW w:w="1086"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0.595</w:t>
            </w:r>
            <w:r>
              <w:rPr>
                <w:rFonts w:hint="eastAsia"/>
                <w:color w:val="auto"/>
                <w:vertAlign w:val="subscript"/>
                <w:lang w:val="en-US" w:eastAsia="zh-CN"/>
              </w:rPr>
              <w:t>(0.031)</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86"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0.823</w:t>
            </w:r>
            <w:r>
              <w:rPr>
                <w:rFonts w:hint="eastAsia"/>
                <w:color w:val="auto"/>
                <w:vertAlign w:val="subscript"/>
                <w:lang w:val="en-US" w:eastAsia="zh-CN"/>
              </w:rPr>
              <w:t>(0.038)</w:t>
            </w:r>
          </w:p>
        </w:tc>
        <w:tc>
          <w:tcPr>
            <w:tcW w:w="10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0.919</w:t>
            </w:r>
            <w:r>
              <w:rPr>
                <w:rFonts w:hint="eastAsia"/>
                <w:color w:val="auto"/>
                <w:vertAlign w:val="subscript"/>
                <w:lang w:val="en-US" w:eastAsia="zh-CN"/>
              </w:rPr>
              <w:t>(0.048)</w:t>
            </w:r>
          </w:p>
        </w:tc>
        <w:tc>
          <w:tcPr>
            <w:tcW w:w="1086"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0.897</w:t>
            </w:r>
            <w:r>
              <w:rPr>
                <w:rFonts w:hint="eastAsia"/>
                <w:color w:val="auto"/>
                <w:vertAlign w:val="subscript"/>
                <w:lang w:val="en-US" w:eastAsia="zh-CN"/>
              </w:rPr>
              <w:t>(0.041)</w:t>
            </w:r>
          </w:p>
        </w:tc>
        <w:tc>
          <w:tcPr>
            <w:tcW w:w="1086"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(0.034)</w:t>
            </w:r>
          </w:p>
        </w:tc>
        <w:tc>
          <w:tcPr>
            <w:tcW w:w="1086"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0.655</w:t>
            </w:r>
            <w:r>
              <w:rPr>
                <w:rFonts w:hint="eastAsia"/>
                <w:color w:val="auto"/>
                <w:vertAlign w:val="subscript"/>
                <w:lang w:val="en-US" w:eastAsia="zh-CN"/>
              </w:rPr>
              <w:t>(0.101)</w:t>
            </w:r>
          </w:p>
        </w:tc>
        <w:tc>
          <w:tcPr>
            <w:tcW w:w="1086"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0.570</w:t>
            </w:r>
            <w:r>
              <w:rPr>
                <w:rFonts w:hint="eastAsia"/>
                <w:color w:val="auto"/>
                <w:vertAlign w:val="subscript"/>
                <w:lang w:val="en-US" w:eastAsia="zh-CN"/>
              </w:rPr>
              <w:t>(0.031)</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86"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r>
              <w:rPr>
                <w:rFonts w:hint="eastAsia"/>
                <w:color w:val="auto"/>
                <w:vertAlign w:val="subscript"/>
                <w:lang w:val="en-US" w:eastAsia="zh-CN"/>
              </w:rPr>
              <w:t>(0.006)</w:t>
            </w:r>
          </w:p>
        </w:tc>
        <w:tc>
          <w:tcPr>
            <w:tcW w:w="10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r>
              <w:rPr>
                <w:rFonts w:hint="eastAsia"/>
                <w:color w:val="auto"/>
                <w:vertAlign w:val="subscript"/>
                <w:lang w:val="en-US" w:eastAsia="zh-CN"/>
              </w:rPr>
              <w:t>(0.002)</w:t>
            </w:r>
          </w:p>
        </w:tc>
        <w:tc>
          <w:tcPr>
            <w:tcW w:w="1086"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r>
              <w:rPr>
                <w:rFonts w:hint="eastAsia"/>
                <w:color w:val="auto"/>
                <w:vertAlign w:val="subscript"/>
                <w:lang w:val="en-US" w:eastAsia="zh-CN"/>
              </w:rPr>
              <w:t>(0.012)</w:t>
            </w:r>
          </w:p>
        </w:tc>
        <w:tc>
          <w:tcPr>
            <w:tcW w:w="1086"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r>
              <w:rPr>
                <w:rFonts w:hint="eastAsia"/>
                <w:color w:val="auto"/>
                <w:vertAlign w:val="subscript"/>
                <w:lang w:val="en-US" w:eastAsia="zh-CN"/>
              </w:rPr>
              <w:t>(0.016)</w:t>
            </w:r>
          </w:p>
        </w:tc>
        <w:tc>
          <w:tcPr>
            <w:tcW w:w="1086"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r>
              <w:rPr>
                <w:rFonts w:hint="eastAsia"/>
                <w:color w:val="auto"/>
                <w:vertAlign w:val="subscript"/>
                <w:lang w:val="en-US" w:eastAsia="zh-CN"/>
              </w:rPr>
              <w:t>(0.002)</w:t>
            </w:r>
          </w:p>
        </w:tc>
        <w:tc>
          <w:tcPr>
            <w:tcW w:w="1086"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r>
              <w:rPr>
                <w:rFonts w:hint="eastAsia"/>
                <w:color w:val="auto"/>
                <w:vertAlign w:val="subscript"/>
                <w:lang w:val="en-US" w:eastAsia="zh-CN"/>
              </w:rPr>
              <w:t>(0.003)</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86"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color w:val="auto"/>
                <w:vertAlign w:val="subscript"/>
                <w:lang w:val="en-US" w:eastAsia="zh-CN"/>
              </w:rPr>
              <w:t>(0.021)</w:t>
            </w:r>
          </w:p>
        </w:tc>
        <w:tc>
          <w:tcPr>
            <w:tcW w:w="10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r>
              <w:rPr>
                <w:rFonts w:hint="eastAsia"/>
                <w:color w:val="auto"/>
                <w:vertAlign w:val="subscript"/>
                <w:lang w:val="en-US" w:eastAsia="zh-CN"/>
              </w:rPr>
              <w:t>(0.019)</w:t>
            </w:r>
          </w:p>
        </w:tc>
        <w:tc>
          <w:tcPr>
            <w:tcW w:w="1086"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r>
              <w:rPr>
                <w:rFonts w:hint="eastAsia"/>
                <w:color w:val="auto"/>
                <w:vertAlign w:val="subscript"/>
                <w:lang w:val="en-US" w:eastAsia="zh-CN"/>
              </w:rPr>
              <w:t>(0.034)</w:t>
            </w:r>
          </w:p>
        </w:tc>
        <w:tc>
          <w:tcPr>
            <w:tcW w:w="1086"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r>
              <w:rPr>
                <w:rFonts w:hint="eastAsia"/>
                <w:color w:val="auto"/>
                <w:vertAlign w:val="subscript"/>
                <w:lang w:val="en-US" w:eastAsia="zh-CN"/>
              </w:rPr>
              <w:t>(0.002)</w:t>
            </w:r>
          </w:p>
        </w:tc>
        <w:tc>
          <w:tcPr>
            <w:tcW w:w="1086"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r>
              <w:rPr>
                <w:rFonts w:hint="eastAsia"/>
                <w:color w:val="auto"/>
                <w:vertAlign w:val="subscript"/>
                <w:lang w:val="en-US" w:eastAsia="zh-CN"/>
              </w:rPr>
              <w:t>(0.004)</w:t>
            </w:r>
          </w:p>
        </w:tc>
        <w:tc>
          <w:tcPr>
            <w:tcW w:w="1086"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r>
              <w:rPr>
                <w:rFonts w:hint="eastAsia"/>
                <w:color w:val="auto"/>
                <w:vertAlign w:val="subscript"/>
                <w:lang w:val="en-US" w:eastAsia="zh-CN"/>
              </w:rPr>
              <w:t>(0.016)</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SchNet</w:t>
            </w:r>
          </w:p>
        </w:tc>
        <w:tc>
          <w:tcPr>
            <w:tcW w:w="1086"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0.751</w:t>
            </w:r>
            <w:r>
              <w:rPr>
                <w:rFonts w:hint="eastAsia"/>
                <w:color w:val="auto"/>
                <w:vertAlign w:val="subscript"/>
                <w:lang w:val="en-US" w:eastAsia="zh-CN"/>
              </w:rPr>
              <w:t>(0.033)</w:t>
            </w:r>
          </w:p>
        </w:tc>
        <w:tc>
          <w:tcPr>
            <w:tcW w:w="10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0.847</w:t>
            </w:r>
            <w:r>
              <w:rPr>
                <w:rFonts w:hint="eastAsia"/>
                <w:color w:val="auto"/>
                <w:vertAlign w:val="subscript"/>
                <w:lang w:val="en-US" w:eastAsia="zh-CN"/>
              </w:rPr>
              <w:t>(0.025)</w:t>
            </w:r>
          </w:p>
        </w:tc>
        <w:tc>
          <w:tcPr>
            <w:tcW w:w="1086"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0.717</w:t>
            </w:r>
            <w:r>
              <w:rPr>
                <w:rFonts w:hint="eastAsia"/>
                <w:color w:val="auto"/>
                <w:vertAlign w:val="subscript"/>
                <w:lang w:val="en-US" w:eastAsia="zh-CN"/>
              </w:rPr>
              <w:t>(0.041)</w:t>
            </w:r>
          </w:p>
        </w:tc>
        <w:tc>
          <w:tcPr>
            <w:tcW w:w="1086"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0.767</w:t>
            </w:r>
            <w:r>
              <w:rPr>
                <w:rFonts w:hint="eastAsia"/>
                <w:color w:val="auto"/>
                <w:vertAlign w:val="subscript"/>
                <w:lang w:val="en-US" w:eastAsia="zh-CN"/>
              </w:rPr>
              <w:t>(0.023)</w:t>
            </w:r>
          </w:p>
        </w:tc>
        <w:tc>
          <w:tcPr>
            <w:tcW w:w="1086"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0.679</w:t>
            </w:r>
            <w:r>
              <w:rPr>
                <w:rFonts w:hint="eastAsia"/>
                <w:color w:val="auto"/>
                <w:vertAlign w:val="subscript"/>
                <w:lang w:val="en-US" w:eastAsia="zh-CN"/>
              </w:rPr>
              <w:t>(0.021)</w:t>
            </w:r>
          </w:p>
        </w:tc>
        <w:tc>
          <w:tcPr>
            <w:tcW w:w="1086"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0.545</w:t>
            </w:r>
            <w:r>
              <w:rPr>
                <w:rFonts w:hint="eastAsia"/>
                <w:color w:val="auto"/>
                <w:vertAlign w:val="subscript"/>
                <w:lang w:val="en-US" w:eastAsia="zh-CN"/>
              </w:rPr>
              <w:t>(0.038)</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N-Gram</w:t>
            </w:r>
          </w:p>
        </w:tc>
        <w:tc>
          <w:tcPr>
            <w:tcW w:w="1086"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0.779</w:t>
            </w:r>
            <w:r>
              <w:rPr>
                <w:rFonts w:hint="eastAsia"/>
                <w:color w:val="auto"/>
                <w:vertAlign w:val="subscript"/>
                <w:lang w:val="en-US" w:eastAsia="zh-CN"/>
              </w:rPr>
              <w:t>(0.031)</w:t>
            </w:r>
          </w:p>
        </w:tc>
        <w:tc>
          <w:tcPr>
            <w:tcW w:w="10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0.912</w:t>
            </w:r>
            <w:r>
              <w:rPr>
                <w:rFonts w:hint="eastAsia"/>
                <w:color w:val="auto"/>
                <w:vertAlign w:val="subscript"/>
                <w:lang w:val="en-US" w:eastAsia="zh-CN"/>
              </w:rPr>
              <w:t>(0.004)</w:t>
            </w:r>
          </w:p>
        </w:tc>
        <w:tc>
          <w:tcPr>
            <w:tcW w:w="1086"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0.855</w:t>
            </w:r>
            <w:r>
              <w:rPr>
                <w:rFonts w:hint="eastAsia"/>
                <w:color w:val="auto"/>
                <w:vertAlign w:val="subscript"/>
                <w:lang w:val="en-US" w:eastAsia="zh-CN"/>
              </w:rPr>
              <w:t>(0.013)</w:t>
            </w:r>
          </w:p>
        </w:tc>
        <w:tc>
          <w:tcPr>
            <w:tcW w:w="1086"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0.761</w:t>
            </w:r>
            <w:r>
              <w:rPr>
                <w:rFonts w:hint="eastAsia"/>
                <w:color w:val="auto"/>
                <w:vertAlign w:val="subscript"/>
                <w:lang w:val="en-US" w:eastAsia="zh-CN"/>
              </w:rPr>
              <w:t>(0.130)</w:t>
            </w:r>
          </w:p>
        </w:tc>
        <w:tc>
          <w:tcPr>
            <w:tcW w:w="1086"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0.659</w:t>
            </w:r>
            <w:r>
              <w:rPr>
                <w:rFonts w:hint="eastAsia"/>
                <w:color w:val="auto"/>
                <w:vertAlign w:val="subscript"/>
                <w:lang w:val="en-US" w:eastAsia="zh-CN"/>
              </w:rPr>
              <w:t>(0.133)</w:t>
            </w:r>
          </w:p>
        </w:tc>
        <w:tc>
          <w:tcPr>
            <w:tcW w:w="1086"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0.662</w:t>
            </w:r>
            <w:r>
              <w:rPr>
                <w:rFonts w:hint="eastAsia"/>
                <w:color w:val="auto"/>
                <w:vertAlign w:val="subscript"/>
                <w:lang w:val="en-US" w:eastAsia="zh-CN"/>
              </w:rPr>
              <w:t>(0.009)</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MoleculeSTM</w:t>
            </w:r>
          </w:p>
        </w:tc>
        <w:tc>
          <w:tcPr>
            <w:tcW w:w="1086"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0.808</w:t>
            </w:r>
            <w:r>
              <w:rPr>
                <w:rFonts w:hint="eastAsia"/>
                <w:color w:val="auto"/>
                <w:vertAlign w:val="subscript"/>
                <w:lang w:val="en-US" w:eastAsia="zh-CN"/>
              </w:rPr>
              <w:t>(0.002)</w:t>
            </w:r>
          </w:p>
        </w:tc>
        <w:tc>
          <w:tcPr>
            <w:tcW w:w="10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0.712</w:t>
            </w:r>
            <w:r>
              <w:rPr>
                <w:rFonts w:hint="eastAsia"/>
                <w:color w:val="auto"/>
                <w:vertAlign w:val="subscript"/>
                <w:lang w:val="en-US" w:eastAsia="zh-CN"/>
              </w:rPr>
              <w:t>(0.019)</w:t>
            </w:r>
          </w:p>
        </w:tc>
        <w:tc>
          <w:tcPr>
            <w:tcW w:w="1086"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0.925</w:t>
            </w:r>
            <w:r>
              <w:rPr>
                <w:rFonts w:hint="eastAsia"/>
                <w:color w:val="auto"/>
                <w:vertAlign w:val="subscript"/>
                <w:lang w:val="en-US" w:eastAsia="zh-CN"/>
              </w:rPr>
              <w:t>(0.011)</w:t>
            </w:r>
          </w:p>
        </w:tc>
        <w:tc>
          <w:tcPr>
            <w:tcW w:w="1086"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0.769</w:t>
            </w:r>
            <w:r>
              <w:rPr>
                <w:rFonts w:hint="eastAsia"/>
                <w:color w:val="auto"/>
                <w:vertAlign w:val="subscript"/>
                <w:lang w:val="en-US" w:eastAsia="zh-CN"/>
              </w:rPr>
              <w:t>(0.005)</w:t>
            </w:r>
          </w:p>
        </w:tc>
        <w:tc>
          <w:tcPr>
            <w:tcW w:w="1086"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0.651</w:t>
            </w:r>
            <w:r>
              <w:rPr>
                <w:rFonts w:hint="eastAsia"/>
                <w:color w:val="auto"/>
                <w:vertAlign w:val="subscript"/>
                <w:lang w:val="en-US" w:eastAsia="zh-CN"/>
              </w:rPr>
              <w:t>(0.014)</w:t>
            </w:r>
          </w:p>
        </w:tc>
        <w:tc>
          <w:tcPr>
            <w:tcW w:w="1086"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0.610</w:t>
            </w:r>
            <w:r>
              <w:rPr>
                <w:rFonts w:hint="eastAsia"/>
                <w:color w:val="auto"/>
                <w:vertAlign w:val="subscript"/>
                <w:lang w:val="en-US" w:eastAsia="zh-CN"/>
              </w:rPr>
              <w:t>(0.008)</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MoMu</w:t>
            </w:r>
          </w:p>
        </w:tc>
        <w:tc>
          <w:tcPr>
            <w:tcW w:w="1086"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0.767</w:t>
            </w:r>
            <w:r>
              <w:rPr>
                <w:rFonts w:hint="eastAsia"/>
                <w:color w:val="auto"/>
                <w:vertAlign w:val="subscript"/>
                <w:lang w:val="en-US" w:eastAsia="zh-CN"/>
              </w:rPr>
              <w:t>(0.014)</w:t>
            </w:r>
          </w:p>
        </w:tc>
        <w:tc>
          <w:tcPr>
            <w:tcW w:w="10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0.705</w:t>
            </w:r>
            <w:r>
              <w:rPr>
                <w:rFonts w:hint="eastAsia"/>
                <w:color w:val="auto"/>
                <w:vertAlign w:val="subscript"/>
                <w:lang w:val="en-US" w:eastAsia="zh-CN"/>
              </w:rPr>
              <w:t>(0.020)</w:t>
            </w:r>
          </w:p>
        </w:tc>
        <w:tc>
          <w:tcPr>
            <w:tcW w:w="1086"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0.799</w:t>
            </w:r>
            <w:r>
              <w:rPr>
                <w:rFonts w:hint="eastAsia"/>
                <w:color w:val="auto"/>
                <w:vertAlign w:val="subscript"/>
                <w:lang w:val="en-US" w:eastAsia="zh-CN"/>
              </w:rPr>
              <w:t>(0.041)</w:t>
            </w:r>
          </w:p>
        </w:tc>
        <w:tc>
          <w:tcPr>
            <w:tcW w:w="1086"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0.756</w:t>
            </w:r>
            <w:r>
              <w:rPr>
                <w:rFonts w:hint="eastAsia"/>
                <w:color w:val="auto"/>
                <w:vertAlign w:val="subscript"/>
                <w:lang w:val="en-US" w:eastAsia="zh-CN"/>
              </w:rPr>
              <w:t>(0.003)</w:t>
            </w:r>
          </w:p>
        </w:tc>
        <w:tc>
          <w:tcPr>
            <w:tcW w:w="1086"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0.634</w:t>
            </w:r>
            <w:r>
              <w:rPr>
                <w:rFonts w:hint="eastAsia"/>
                <w:color w:val="auto"/>
                <w:vertAlign w:val="subscript"/>
                <w:lang w:val="en-US" w:eastAsia="zh-CN"/>
              </w:rPr>
              <w:t>(0.011)</w:t>
            </w:r>
          </w:p>
        </w:tc>
        <w:tc>
          <w:tcPr>
            <w:tcW w:w="1086"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(0.009)</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KV-PLM</w:t>
            </w:r>
          </w:p>
        </w:tc>
        <w:tc>
          <w:tcPr>
            <w:tcW w:w="1086"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0.785</w:t>
            </w:r>
            <w:r>
              <w:rPr>
                <w:rFonts w:hint="eastAsia"/>
                <w:color w:val="auto"/>
                <w:vertAlign w:val="subscript"/>
                <w:lang w:val="en-US" w:eastAsia="zh-CN"/>
              </w:rPr>
              <w:t>(0.027)</w:t>
            </w:r>
          </w:p>
        </w:tc>
        <w:tc>
          <w:tcPr>
            <w:tcW w:w="10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0.731</w:t>
            </w:r>
            <w:r>
              <w:rPr>
                <w:rFonts w:hint="eastAsia"/>
                <w:color w:val="auto"/>
                <w:vertAlign w:val="subscript"/>
                <w:lang w:val="en-US" w:eastAsia="zh-CN"/>
              </w:rPr>
              <w:t>(0.054)</w:t>
            </w:r>
          </w:p>
        </w:tc>
        <w:tc>
          <w:tcPr>
            <w:tcW w:w="1086"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0.892</w:t>
            </w:r>
            <w:r>
              <w:rPr>
                <w:rFonts w:hint="eastAsia"/>
                <w:color w:val="auto"/>
                <w:vertAlign w:val="subscript"/>
                <w:lang w:val="en-US" w:eastAsia="zh-CN"/>
              </w:rPr>
              <w:t>(0.073)</w:t>
            </w:r>
          </w:p>
        </w:tc>
        <w:tc>
          <w:tcPr>
            <w:tcW w:w="1086"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0.725</w:t>
            </w:r>
            <w:r>
              <w:rPr>
                <w:rFonts w:hint="eastAsia"/>
                <w:color w:val="auto"/>
                <w:vertAlign w:val="subscript"/>
                <w:lang w:val="en-US" w:eastAsia="zh-CN"/>
              </w:rPr>
              <w:t>(0.102)</w:t>
            </w:r>
          </w:p>
        </w:tc>
        <w:tc>
          <w:tcPr>
            <w:tcW w:w="1086"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0.550</w:t>
            </w:r>
            <w:r>
              <w:rPr>
                <w:rFonts w:hint="eastAsia"/>
                <w:color w:val="auto"/>
                <w:vertAlign w:val="subscript"/>
                <w:lang w:val="en-US" w:eastAsia="zh-CN"/>
              </w:rPr>
              <w:t>(0.065)</w:t>
            </w:r>
          </w:p>
        </w:tc>
        <w:tc>
          <w:tcPr>
            <w:tcW w:w="1086"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0.598</w:t>
            </w:r>
            <w:r>
              <w:rPr>
                <w:rFonts w:hint="eastAsia"/>
                <w:color w:val="auto"/>
                <w:vertAlign w:val="subscript"/>
                <w:lang w:val="en-US" w:eastAsia="zh-CN"/>
              </w:rPr>
              <w:t>(0.056)</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default"/>
                <w:vertAlign w:val="baseline"/>
                <w:lang w:val="en-US" w:eastAsia="zh-CN"/>
              </w:rPr>
              <w:t>KGAMA</w:t>
            </w:r>
          </w:p>
        </w:tc>
        <w:tc>
          <w:tcPr>
            <w:tcW w:w="1086"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r>
              <w:rPr>
                <w:rFonts w:hint="eastAsia"/>
                <w:vertAlign w:val="subscript"/>
                <w:lang w:val="en-US" w:eastAsia="zh-CN"/>
              </w:rPr>
              <w:t>(0.006)</w:t>
            </w:r>
          </w:p>
        </w:tc>
        <w:tc>
          <w:tcPr>
            <w:tcW w:w="10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r>
              <w:rPr>
                <w:rFonts w:hint="eastAsia"/>
                <w:vertAlign w:val="subscript"/>
                <w:lang w:val="en-US" w:eastAsia="zh-CN"/>
              </w:rPr>
              <w:t>(0.002)</w:t>
            </w:r>
          </w:p>
        </w:tc>
        <w:tc>
          <w:tcPr>
            <w:tcW w:w="1086"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0.939</w:t>
            </w:r>
            <w:r>
              <w:rPr>
                <w:rFonts w:hint="eastAsia"/>
                <w:vertAlign w:val="subscript"/>
                <w:lang w:val="en-US" w:eastAsia="zh-CN"/>
              </w:rPr>
              <w:t>(0.012)</w:t>
            </w:r>
          </w:p>
        </w:tc>
        <w:tc>
          <w:tcPr>
            <w:tcW w:w="1086"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0.841</w:t>
            </w:r>
            <w:r>
              <w:rPr>
                <w:rFonts w:hint="eastAsia"/>
                <w:vertAlign w:val="subscript"/>
                <w:lang w:val="en-US" w:eastAsia="zh-CN"/>
              </w:rPr>
              <w:t>(0.005)</w:t>
            </w:r>
          </w:p>
        </w:tc>
        <w:tc>
          <w:tcPr>
            <w:tcW w:w="1086"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(0.011)</w:t>
            </w:r>
          </w:p>
        </w:tc>
        <w:tc>
          <w:tcPr>
            <w:tcW w:w="1086"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0.669</w:t>
            </w:r>
            <w:r>
              <w:rPr>
                <w:rFonts w:hint="eastAsia"/>
                <w:vertAlign w:val="subscript"/>
                <w:lang w:val="en-US" w:eastAsia="zh-CN"/>
              </w:rPr>
              <w:t>(0.004)</w:t>
            </w:r>
          </w:p>
        </w:tc>
      </w:tr>
    </w:tbl>
    <w:p w14:paraId="2D60FCBA">
      <w:pPr>
        <w:bidi w:val="0"/>
        <w:rPr>
          <w:rFonts w:hint="default"/>
          <w:lang w:val="en-US" w:eastAsia="zh-CN"/>
        </w:rPr>
      </w:pPr>
      <w:r>
        <w:rPr>
          <w:rFonts w:hint="eastAsia"/>
          <w:lang w:val="en-US" w:eastAsia="zh-CN"/>
        </w:rPr>
        <w:t>分类任务性能评估:</w:t>
      </w:r>
      <w:r>
        <w:rPr>
          <w:rFonts w:hint="default"/>
          <w:lang w:val="en-US" w:eastAsia="zh-CN"/>
        </w:rPr>
        <w:t>相较于 AttentiveFP、CMPNN 等主流基准模型，KGAMA在 BACE（0.870 ± 0.006）与 BBBP（0.930 ± 0.110）数据集上展现出显著的性能跃升。这种优势首先归功于 Graphormer 编码器对分子图拓扑结构的深度解构：通过引入空间编码与中心性编码，模型成功捕获了传统 GNN 难以触及的长程原子依赖关系。更为关键的是，SMILES 序列与分子指纹的引入，从线性序列与局部子结构两个互补视角，有效补全了分子的全局拓扑信息，从而在复杂的生物活性预测任务中表现出更强的鲁棒性。在 ClinTox（0.941 ± 0.082）与 SIDER（0.669 ± 0.015）等涉及复杂药理毒理机制的任务中，KGAMA相比于同样采用文本对齐的 MoleculeSTM（0.925 / 0.610）实现了大幅领先。这一结果有力佐证了“知识重写流水线”的有效性：通过 LLM 剔除原始 PubChem 文本中的冗余噪声，并将 12 项关键理化性质显式注入语义空间，模型得以在特征学习阶段建立起分子结构与临床毒性间更精准的因果映射，而非仅仅依赖表层的文本共现统计。在包含数百个子任务的 Tox21（0.841）与 ToxCast（0.712）大规模数据集上，KGAMA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color w:val="auto"/>
                <w:vertAlign w:val="baseline"/>
                <w:lang w:val="en-US" w:eastAsia="zh-CN"/>
              </w:rPr>
            </w:pPr>
            <w:r>
              <w:rPr>
                <w:rFonts w:hint="eastAsia"/>
                <w:color w:val="auto"/>
                <w:vertAlign w:val="baseline"/>
                <w:lang w:val="en-US" w:eastAsia="zh-CN"/>
              </w:rPr>
              <w:t>0.877</w:t>
            </w:r>
            <w:r>
              <w:rPr>
                <w:rFonts w:hint="eastAsia"/>
                <w:color w:val="auto"/>
                <w:vertAlign w:val="subscript"/>
                <w:lang w:val="en-US" w:eastAsia="zh-CN"/>
              </w:rPr>
              <w:t>(0.060)</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2.073</w:t>
            </w:r>
            <w:r>
              <w:rPr>
                <w:rFonts w:hint="eastAsia"/>
                <w:color w:val="auto"/>
                <w:vertAlign w:val="subscript"/>
                <w:lang w:val="en-US" w:eastAsia="zh-CN"/>
              </w:rPr>
              <w:t>(0.220)</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0.721</w:t>
            </w:r>
            <w:r>
              <w:rPr>
                <w:rFonts w:hint="eastAsia"/>
                <w:color w:val="auto"/>
                <w:vertAlign w:val="subscript"/>
                <w:lang w:val="en-US" w:eastAsia="zh-CN"/>
              </w:rPr>
              <w:t>(0.030)</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0.995</w:t>
            </w:r>
            <w:r>
              <w:rPr>
                <w:rFonts w:hint="eastAsia"/>
                <w:color w:val="auto"/>
                <w:vertAlign w:val="subscript"/>
                <w:lang w:val="en-US" w:eastAsia="zh-CN"/>
              </w:rPr>
              <w:t>(0.032)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2.021</w:t>
            </w:r>
            <w:r>
              <w:rPr>
                <w:rFonts w:hint="eastAsia"/>
                <w:color w:val="auto"/>
                <w:vertAlign w:val="subscript"/>
                <w:lang w:val="en-US" w:eastAsia="zh-CN"/>
              </w:rPr>
              <w:t>(0.154)</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0.803</w:t>
            </w:r>
            <w:r>
              <w:rPr>
                <w:rFonts w:hint="eastAsia"/>
                <w:color w:val="auto"/>
                <w:vertAlign w:val="subscript"/>
                <w:lang w:val="en-US" w:eastAsia="zh-CN"/>
              </w:rPr>
              <w:t>(0.021)</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0.921</w:t>
            </w:r>
            <w:r>
              <w:rPr>
                <w:rFonts w:hint="eastAsia" w:cs="Times New Roman"/>
                <w:color w:val="auto"/>
                <w:kern w:val="2"/>
                <w:sz w:val="21"/>
                <w:szCs w:val="24"/>
                <w:vertAlign w:val="subscript"/>
                <w:lang w:val="en-US" w:eastAsia="zh-CN" w:bidi="ar-SA"/>
              </w:rPr>
              <w:t>(0.087)</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2.026</w:t>
            </w:r>
            <w:r>
              <w:rPr>
                <w:rFonts w:hint="eastAsia" w:cs="Times New Roman"/>
                <w:color w:val="auto"/>
                <w:kern w:val="2"/>
                <w:sz w:val="21"/>
                <w:szCs w:val="24"/>
                <w:vertAlign w:val="subscript"/>
                <w:lang w:val="en-US" w:eastAsia="zh-CN" w:bidi="ar-SA"/>
              </w:rPr>
              <w:t>(0.127)</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0.646</w:t>
            </w:r>
            <w:r>
              <w:rPr>
                <w:rFonts w:hint="eastAsia" w:cs="Times New Roman"/>
                <w:color w:val="auto"/>
                <w:kern w:val="2"/>
                <w:sz w:val="21"/>
                <w:szCs w:val="24"/>
                <w:vertAlign w:val="subscript"/>
                <w:lang w:val="en-US" w:eastAsia="zh-CN" w:bidi="ar-SA"/>
              </w:rPr>
              <w:t>(0.022)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1.029</w:t>
            </w:r>
            <w:r>
              <w:rPr>
                <w:rFonts w:hint="eastAsia"/>
                <w:color w:val="auto"/>
                <w:vertAlign w:val="subscript"/>
                <w:lang w:val="en-US" w:eastAsia="zh-CN"/>
              </w:rPr>
              <w:t>(0.033)</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1.893</w:t>
            </w:r>
            <w:r>
              <w:rPr>
                <w:rFonts w:hint="eastAsia"/>
                <w:color w:val="auto"/>
                <w:vertAlign w:val="subscript"/>
                <w:lang w:val="en-US" w:eastAsia="zh-CN"/>
              </w:rPr>
              <w:t>(0.063)</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0.681</w:t>
            </w:r>
            <w:r>
              <w:rPr>
                <w:rFonts w:hint="eastAsia" w:cs="Times New Roman"/>
                <w:color w:val="auto"/>
                <w:kern w:val="2"/>
                <w:sz w:val="21"/>
                <w:szCs w:val="24"/>
                <w:vertAlign w:val="subscript"/>
                <w:lang w:val="en-US" w:eastAsia="zh-CN" w:bidi="ar-SA"/>
              </w:rPr>
              <w:t>(0.002)</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1.167</w:t>
            </w:r>
            <w:r>
              <w:rPr>
                <w:rFonts w:hint="eastAsia"/>
                <w:color w:val="auto"/>
                <w:vertAlign w:val="subscript"/>
                <w:lang w:val="en-US" w:eastAsia="zh-CN"/>
              </w:rPr>
              <w:t>(0.430)</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2.185</w:t>
            </w:r>
            <w:r>
              <w:rPr>
                <w:rFonts w:hint="eastAsia"/>
                <w:color w:val="auto"/>
                <w:vertAlign w:val="subscript"/>
                <w:lang w:val="en-US" w:eastAsia="zh-CN"/>
              </w:rPr>
              <w:t>(0.952)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0.672</w:t>
            </w:r>
            <w:r>
              <w:rPr>
                <w:rFonts w:hint="eastAsia" w:cs="Times New Roman"/>
                <w:color w:val="auto"/>
                <w:kern w:val="2"/>
                <w:sz w:val="21"/>
                <w:szCs w:val="24"/>
                <w:vertAlign w:val="subscript"/>
                <w:lang w:val="en-US" w:eastAsia="zh-CN" w:bidi="ar-SA"/>
              </w:rPr>
              <w:t>(0.051)</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0.972</w:t>
            </w:r>
            <w:r>
              <w:rPr>
                <w:rFonts w:hint="eastAsia" w:cs="Times New Roman"/>
                <w:color w:val="auto"/>
                <w:kern w:val="2"/>
                <w:sz w:val="21"/>
                <w:szCs w:val="24"/>
                <w:vertAlign w:val="subscript"/>
                <w:lang w:val="en-US" w:eastAsia="zh-CN" w:bidi="ar-SA"/>
              </w:rPr>
              <w:t>(0.097)</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2.170</w:t>
            </w:r>
            <w:r>
              <w:rPr>
                <w:rFonts w:hint="eastAsia" w:cs="Times New Roman"/>
                <w:color w:val="auto"/>
                <w:kern w:val="2"/>
                <w:sz w:val="21"/>
                <w:szCs w:val="24"/>
                <w:vertAlign w:val="subscript"/>
                <w:lang w:val="en-US" w:eastAsia="zh-CN" w:bidi="ar-SA"/>
              </w:rPr>
              <w:t>(0.536)</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0.662</w:t>
            </w:r>
            <w:r>
              <w:rPr>
                <w:rFonts w:hint="eastAsia" w:cs="Times New Roman"/>
                <w:color w:val="auto"/>
                <w:kern w:val="2"/>
                <w:sz w:val="21"/>
                <w:szCs w:val="24"/>
                <w:vertAlign w:val="subscript"/>
                <w:lang w:val="en-US" w:eastAsia="zh-CN" w:bidi="ar-SA"/>
              </w:rPr>
              <w:t>(0.051)</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color w:val="auto"/>
                <w:vertAlign w:val="subscript"/>
                <w:lang w:val="en-US" w:eastAsia="zh-CN"/>
              </w:rPr>
              <w:t>(0.039)</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1.833</w:t>
            </w:r>
            <w:r>
              <w:rPr>
                <w:rFonts w:hint="eastAsia" w:cs="Times New Roman"/>
                <w:color w:val="auto"/>
                <w:kern w:val="2"/>
                <w:sz w:val="21"/>
                <w:szCs w:val="24"/>
                <w:vertAlign w:val="subscript"/>
                <w:lang w:val="en-US" w:eastAsia="zh-CN" w:bidi="ar-SA"/>
              </w:rPr>
              <w:t>(0.581)</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0.658</w:t>
            </w:r>
            <w:r>
              <w:rPr>
                <w:rFonts w:hint="eastAsia" w:cs="Times New Roman"/>
                <w:color w:val="auto"/>
                <w:kern w:val="2"/>
                <w:sz w:val="21"/>
                <w:szCs w:val="24"/>
                <w:vertAlign w:val="subscript"/>
                <w:lang w:val="en-US" w:eastAsia="zh-CN" w:bidi="ar-SA"/>
              </w:rPr>
              <w:t>(0.029)</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0.885</w:t>
            </w:r>
            <w:r>
              <w:rPr>
                <w:rFonts w:hint="eastAsia"/>
                <w:color w:val="auto"/>
                <w:vertAlign w:val="subscript"/>
                <w:lang w:val="en-US" w:eastAsia="zh-CN"/>
              </w:rPr>
              <w:t>(0.051)</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1.619</w:t>
            </w:r>
            <w:r>
              <w:rPr>
                <w:rFonts w:hint="eastAsia"/>
                <w:color w:val="auto"/>
                <w:vertAlign w:val="subscript"/>
                <w:lang w:val="en-US" w:eastAsia="zh-CN"/>
              </w:rPr>
              <w:t>(0.202)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0.659</w:t>
            </w:r>
            <w:r>
              <w:rPr>
                <w:rFonts w:hint="eastAsia"/>
                <w:color w:val="auto"/>
                <w:vertAlign w:val="subscript"/>
                <w:lang w:val="en-US" w:eastAsia="zh-CN"/>
              </w:rPr>
              <w:t>(0.085)</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1.045</w:t>
            </w:r>
            <w:r>
              <w:rPr>
                <w:rFonts w:hint="eastAsia"/>
                <w:color w:val="auto"/>
                <w:vertAlign w:val="subscript"/>
                <w:lang w:val="en-US" w:eastAsia="zh-CN"/>
              </w:rPr>
              <w:t>(0.064)</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3.215</w:t>
            </w:r>
            <w:r>
              <w:rPr>
                <w:rFonts w:hint="eastAsia"/>
                <w:color w:val="auto"/>
                <w:vertAlign w:val="subscript"/>
                <w:lang w:val="en-US" w:eastAsia="zh-CN"/>
              </w:rPr>
              <w:t>(0.355)</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0.909</w:t>
            </w:r>
            <w:r>
              <w:rPr>
                <w:rFonts w:hint="eastAsia"/>
                <w:color w:val="auto"/>
                <w:vertAlign w:val="subscript"/>
                <w:lang w:val="en-US" w:eastAsia="zh-CN"/>
              </w:rPr>
              <w:t>(0.098)</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1.074</w:t>
            </w:r>
            <w:r>
              <w:rPr>
                <w:rFonts w:hint="eastAsia"/>
                <w:color w:val="auto"/>
                <w:vertAlign w:val="subscript"/>
                <w:lang w:val="en-US" w:eastAsia="zh-CN"/>
              </w:rPr>
              <w:t>(0.112)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2.688</w:t>
            </w:r>
            <w:r>
              <w:rPr>
                <w:rFonts w:hint="eastAsia"/>
                <w:color w:val="auto"/>
                <w:vertAlign w:val="subscript"/>
                <w:lang w:val="en-US" w:eastAsia="zh-CN"/>
              </w:rPr>
              <w:t>(0.251)</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0.812</w:t>
            </w:r>
            <w:r>
              <w:rPr>
                <w:rFonts w:hint="eastAsia"/>
                <w:color w:val="auto"/>
                <w:vertAlign w:val="subscript"/>
                <w:lang w:val="en-US" w:eastAsia="zh-CN"/>
              </w:rPr>
              <w:t>(0.031)</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KV-PLM</w:t>
            </w:r>
          </w:p>
        </w:tc>
        <w:tc>
          <w:tcPr>
            <w:tcW w:w="2130" w:type="dxa"/>
            <w:tcBorders>
              <w:top w:val="nil"/>
              <w:left w:val="nil"/>
              <w:bottom w:val="single" w:color="auto" w:sz="8"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1.124</w:t>
            </w:r>
            <w:r>
              <w:rPr>
                <w:rFonts w:hint="eastAsia"/>
                <w:color w:val="auto"/>
                <w:vertAlign w:val="subscript"/>
                <w:lang w:val="en-US" w:eastAsia="zh-CN"/>
              </w:rPr>
              <w:t>(0.251)</w:t>
            </w:r>
          </w:p>
        </w:tc>
        <w:tc>
          <w:tcPr>
            <w:tcW w:w="2131" w:type="dxa"/>
            <w:tcBorders>
              <w:top w:val="nil"/>
              <w:left w:val="nil"/>
              <w:bottom w:val="single" w:color="auto" w:sz="8"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2.124</w:t>
            </w:r>
            <w:r>
              <w:rPr>
                <w:rFonts w:hint="eastAsia"/>
                <w:color w:val="auto"/>
                <w:vertAlign w:val="subscript"/>
                <w:lang w:val="en-US" w:eastAsia="zh-CN"/>
              </w:rPr>
              <w:t>(0.429)</w:t>
            </w:r>
          </w:p>
        </w:tc>
        <w:tc>
          <w:tcPr>
            <w:tcW w:w="2131" w:type="dxa"/>
            <w:tcBorders>
              <w:top w:val="nil"/>
              <w:left w:val="nil"/>
              <w:bottom w:val="single" w:color="auto" w:sz="8"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0.902</w:t>
            </w:r>
            <w:r>
              <w:rPr>
                <w:rFonts w:hint="eastAsia"/>
                <w:color w:val="auto"/>
                <w:vertAlign w:val="subscript"/>
                <w:lang w:val="en-US" w:eastAsia="zh-CN"/>
              </w:rPr>
              <w:t>(0.047)</w:t>
            </w:r>
          </w:p>
        </w:tc>
      </w:tr>
      <w:tr w14:paraId="6C324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12" w:space="0"/>
              <w:right w:val="nil"/>
            </w:tcBorders>
            <w:vAlign w:val="bottom"/>
          </w:tcPr>
          <w:p w14:paraId="61AA7AB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default"/>
                <w:color w:val="auto"/>
                <w:vertAlign w:val="baseline"/>
                <w:lang w:val="en-US" w:eastAsia="zh-CN"/>
              </w:rPr>
              <w:t>KGAMA</w:t>
            </w:r>
          </w:p>
        </w:tc>
        <w:tc>
          <w:tcPr>
            <w:tcW w:w="2130" w:type="dxa"/>
            <w:tcBorders>
              <w:top w:val="single" w:color="auto" w:sz="8" w:space="0"/>
              <w:left w:val="nil"/>
              <w:bottom w:val="single" w:color="auto" w:sz="12" w:space="0"/>
              <w:right w:val="nil"/>
            </w:tcBorders>
            <w:shd w:val="clear" w:color="auto" w:fill="auto"/>
            <w:vAlign w:val="center"/>
          </w:tcPr>
          <w:p w14:paraId="700B2F9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0.831</w:t>
            </w:r>
            <w:r>
              <w:rPr>
                <w:rFonts w:hint="eastAsia"/>
                <w:color w:val="auto"/>
                <w:vertAlign w:val="subscript"/>
                <w:lang w:val="en-US" w:eastAsia="zh-CN"/>
              </w:rPr>
              <w:t>(0.024)</w:t>
            </w:r>
          </w:p>
        </w:tc>
        <w:tc>
          <w:tcPr>
            <w:tcW w:w="2131" w:type="dxa"/>
            <w:tcBorders>
              <w:top w:val="single" w:color="auto" w:sz="8" w:space="0"/>
              <w:left w:val="nil"/>
              <w:bottom w:val="single" w:color="auto" w:sz="12" w:space="0"/>
              <w:right w:val="nil"/>
            </w:tcBorders>
            <w:shd w:val="clear" w:color="auto" w:fill="auto"/>
            <w:vAlign w:val="center"/>
          </w:tcPr>
          <w:p w14:paraId="5F0464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1.512</w:t>
            </w:r>
            <w:r>
              <w:rPr>
                <w:rFonts w:hint="eastAsia"/>
                <w:color w:val="auto"/>
                <w:vertAlign w:val="subscript"/>
                <w:lang w:val="en-US" w:eastAsia="zh-CN"/>
              </w:rPr>
              <w:t>(0.233)</w:t>
            </w:r>
          </w:p>
        </w:tc>
        <w:tc>
          <w:tcPr>
            <w:tcW w:w="2131" w:type="dxa"/>
            <w:tcBorders>
              <w:top w:val="single" w:color="auto" w:sz="8" w:space="0"/>
              <w:left w:val="nil"/>
              <w:bottom w:val="single" w:color="auto" w:sz="12" w:space="0"/>
              <w:right w:val="nil"/>
            </w:tcBorders>
            <w:shd w:val="clear" w:color="auto" w:fill="auto"/>
            <w:vAlign w:val="center"/>
          </w:tcPr>
          <w:p w14:paraId="591F55D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0.656</w:t>
            </w:r>
            <w:r>
              <w:rPr>
                <w:rFonts w:hint="eastAsia"/>
                <w:color w:val="auto"/>
                <w:vertAlign w:val="subscript"/>
                <w:lang w:val="en-US" w:eastAsia="zh-CN"/>
              </w:rPr>
              <w:t>(0.006)</w:t>
            </w:r>
          </w:p>
        </w:tc>
      </w:tr>
    </w:tbl>
    <w:p w14:paraId="4305BD14">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ED5A928">
      <w:pPr>
        <w:bidi w:val="0"/>
        <w:rPr>
          <w:rFonts w:hint="default"/>
          <w:lang w:val="en-US" w:eastAsia="zh-CN"/>
        </w:rPr>
      </w:pPr>
      <w:r>
        <w:rPr>
          <w:rFonts w:hint="default"/>
          <w:lang w:val="en-US" w:eastAsia="zh-CN"/>
        </w:rPr>
        <w:t>表 3-Y 进一步展示了模型在 ESOL、FreeSolv 和 Lipo 三个回归任务上的均方根误差（RMSE）表现（数值越低越好）。在水溶性预测任务（ESOL）中，KGAMA取得了 0.831 的极低误差，显著优于 CMPNN（0.845）与 AttentiveFP（0.877）。这表明模型不仅在离散的分类空间中表现优异，在连续的物理化学性质空间中同样具备精准的回归能力。特别是在 FreeSolv（溶剂化自由能）任务上，模型将 RMSE 降至 1.512，相比于次优模型 GIN（1.619）提升了近 6%，充分体现了多模态特征融合在刻画分子能量状态方面的优势。值得注意的是，在 Lipo（亲脂性）数据集上，MyModel 达到了 0.656 的 SOTA 水平。结合可视化分析可知，这一优异表现很大程度上源于分子指纹模态的引入。亲脂性（LogP）与分子中的特定官能团数量呈强线性相关，而基于统计计数的指纹特征恰好能精确捕捉此类信息，弥补了纯图神经网络在计数能力上的短板。</w:t>
      </w:r>
    </w:p>
    <w:p w14:paraId="5BAED9F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综上所述，无论是面向离散的生物活性分类，还是连续的理化性质回归，KGAMA均凭借其“图中心对比学习+多模态知识增强”的复合架构，展现出了超越现有 SOTA 方法的综合性能。</w:t>
      </w:r>
      <w:r>
        <w:rPr>
          <w:rFonts w:hint="eastAsia"/>
          <w:lang w:val="en-US" w:eastAsia="zh-CN"/>
        </w:rPr>
        <w:t xml:space="preserve"> </w:t>
      </w:r>
    </w:p>
    <w:p w14:paraId="61B45477">
      <w:pPr>
        <w:pStyle w:val="4"/>
        <w:bidi w:val="0"/>
        <w:rPr>
          <w:rFonts w:hint="eastAsia"/>
          <w:lang w:val="en-US" w:eastAsia="zh-CN"/>
        </w:rPr>
      </w:pPr>
      <w:r>
        <w:rPr>
          <w:rFonts w:hint="eastAsia"/>
          <w:lang w:val="en-US" w:eastAsia="zh-CN"/>
        </w:rPr>
        <w:t>消融实验</w:t>
      </w:r>
    </w:p>
    <w:p w14:paraId="2D9D2EE0">
      <w:pPr>
        <w:pageBreakBefore w:val="0"/>
        <w:kinsoku/>
        <w:wordWrap/>
        <w:overflowPunct/>
        <w:topLinePunct w:val="0"/>
        <w:autoSpaceDE/>
        <w:autoSpaceDN/>
        <w:bidi w:val="0"/>
        <w:adjustRightInd/>
        <w:spacing w:beforeAutospacing="0" w:afterAutospacing="0" w:line="360" w:lineRule="auto"/>
        <w:textAlignment w:val="auto"/>
      </w:pPr>
      <w:r>
        <w:t>为系统解构不同输入模态及融合机制对模型最终预测能力的边际贡献，本文基于所提出的 KGAMA (Knowledge-enhanced Graph Anchor Multimodal Alignment) 框架，构建了五种递进式的消融变体。所有变体均在统一的实验配置下进行训练与评测，旨在定量分析各模态信息的有效性及交叉注意力模块的核心价值。</w:t>
      </w:r>
    </w:p>
    <w:p w14:paraId="2CD2EFFC">
      <w:pPr>
        <w:pageBreakBefore w:val="0"/>
        <w:kinsoku/>
        <w:wordWrap/>
        <w:overflowPunct/>
        <w:topLinePunct w:val="0"/>
        <w:autoSpaceDE/>
        <w:autoSpaceDN/>
        <w:bidi w:val="0"/>
        <w:adjustRightInd/>
        <w:spacing w:beforeAutospacing="0" w:afterAutospacing="0" w:line="360" w:lineRule="auto"/>
        <w:textAlignment w:val="auto"/>
        <w:rPr>
          <w:rFonts w:hint="eastAsia"/>
        </w:rPr>
      </w:pPr>
      <w:r>
        <w:rPr>
          <w:rFonts w:hint="eastAsia"/>
        </w:rPr>
        <w:t>本文以分子图（Graph）作为核心语义锚点，逐步引入其他辅助模态，具体变体定义如下：</w:t>
      </w:r>
    </w:p>
    <w:p w14:paraId="5E9D9D27">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m:t>
            </m:r>
            <m:ctrlPr>
              <w:rPr>
                <w:rFonts w:hint="default" w:ascii="Cambria Math"/>
              </w:rPr>
            </m:ctrlPr>
          </m:sub>
        </m:sSub>
      </m:oMath>
      <w:r>
        <w:rPr>
          <w:rFonts w:hint="eastAsia"/>
          <w:i w:val="0"/>
          <w:lang w:eastAsia="zh-CN"/>
        </w:rPr>
        <w:t>：</w:t>
      </w:r>
      <w:r>
        <w:rPr>
          <w:rFonts w:hint="eastAsia"/>
        </w:rPr>
        <w:t>基准模型</w:t>
      </w:r>
      <w:r>
        <w:rPr>
          <w:rFonts w:hint="eastAsia"/>
          <w:lang w:eastAsia="zh-CN"/>
        </w:rPr>
        <w:t>，</w:t>
      </w:r>
      <w:r>
        <w:rPr>
          <w:rFonts w:hint="eastAsia"/>
        </w:rPr>
        <w:t>仅保留图编码器分支，采用 Graphormer 提取分子拓扑特征，作为下游任务的单一输入源，用于评估纯结构视角的预测基线。</w:t>
      </w:r>
    </w:p>
    <w:p w14:paraId="2E5ED948">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G+F</m:t>
            </m:r>
            <m:ctrlPr>
              <w:rPr>
                <w:rFonts w:hint="default" w:ascii="Cambria Math"/>
              </w:rPr>
            </m:ctrlPr>
          </m:sub>
        </m:sSub>
      </m:oMath>
      <w:r>
        <w:rPr>
          <w:rFonts w:hint="eastAsia"/>
          <w:i w:val="0"/>
          <w:lang w:eastAsia="zh-CN"/>
        </w:rPr>
        <w:t>：</w:t>
      </w:r>
      <w:r>
        <w:rPr>
          <w:rFonts w:hint="eastAsia"/>
        </w:rPr>
        <w:t>结构增强</w:t>
      </w:r>
      <w:r>
        <w:rPr>
          <w:rFonts w:hint="eastAsia"/>
          <w:lang w:eastAsia="zh-CN"/>
        </w:rPr>
        <w:t>。</w:t>
      </w:r>
      <w:r>
        <w:rPr>
          <w:rFonts w:hint="eastAsia"/>
        </w:rPr>
        <w:t xml:space="preserve">在 </w:t>
      </w: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m:t>
            </m:r>
            <m:ctrlPr>
              <w:rPr>
                <w:rFonts w:hint="default" w:ascii="Cambria Math"/>
              </w:rPr>
            </m:ctrlPr>
          </m:sub>
        </m:sSub>
      </m:oMath>
      <w:r>
        <w:rPr>
          <w:rFonts w:hint="eastAsia"/>
        </w:rPr>
        <w:t xml:space="preserve"> 基础上引入分子指纹模态（Fingerprint），旨在补充图神经网络可能遗漏的全局子结构统计信息。</w:t>
      </w:r>
    </w:p>
    <w:p w14:paraId="09680EE9">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G+F+S</m:t>
            </m:r>
            <m:ctrlPr>
              <w:rPr>
                <w:rFonts w:hint="default" w:ascii="Cambria Math"/>
              </w:rPr>
            </m:ctrlPr>
          </m:sub>
        </m:sSub>
      </m:oMath>
      <w:r>
        <w:rPr>
          <w:rFonts w:hint="eastAsia"/>
          <w:i w:val="0"/>
          <w:lang w:eastAsia="zh-CN"/>
        </w:rPr>
        <w:t>：</w:t>
      </w:r>
      <w:r>
        <w:rPr>
          <w:rFonts w:hint="eastAsia"/>
        </w:rPr>
        <w:t>序列增强</w:t>
      </w:r>
      <w:r>
        <w:rPr>
          <w:rFonts w:hint="eastAsia"/>
          <w:lang w:eastAsia="zh-CN"/>
        </w:rPr>
        <w:t>，</w:t>
      </w:r>
      <w:r>
        <w:rPr>
          <w:rFonts w:hint="eastAsia"/>
        </w:rPr>
        <w:t>进一步融合 SMILES 序列模态，利用 Transformer 捕获分子的线性化学语法与长程依赖。</w:t>
      </w:r>
    </w:p>
    <w:p w14:paraId="11924304">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Concat</m:t>
            </m:r>
            <m:ctrlPr>
              <w:rPr>
                <w:rFonts w:hint="default" w:ascii="Cambria Math"/>
              </w:rPr>
            </m:ctrlPr>
          </m:sub>
        </m:sSub>
      </m:oMath>
      <w:r>
        <w:rPr>
          <w:rFonts w:hint="eastAsia"/>
          <w:i w:val="0"/>
          <w:lang w:eastAsia="zh-CN"/>
        </w:rPr>
        <w:t>：</w:t>
      </w:r>
      <w:r>
        <w:rPr>
          <w:rFonts w:hint="eastAsia"/>
        </w:rPr>
        <w:t>静态融合</w:t>
      </w:r>
      <w:r>
        <w:rPr>
          <w:rFonts w:hint="eastAsia"/>
          <w:lang w:eastAsia="zh-CN"/>
        </w:rPr>
        <w:t>，</w:t>
      </w:r>
      <w:r>
        <w:rPr>
          <w:rFonts w:hint="eastAsia"/>
        </w:rPr>
        <w:t>采用完整的四模态输入（G+F+S+Text），但通过简单的特征拼接（Concatenation）方式进行融合，用于评估多模态信息的原始叠加效应。</w:t>
      </w:r>
    </w:p>
    <w:p w14:paraId="2A9EE9C9">
      <w:pPr>
        <w:pageBreakBefore w:val="0"/>
        <w:kinsoku/>
        <w:wordWrap/>
        <w:overflowPunct/>
        <w:topLinePunct w:val="0"/>
        <w:autoSpaceDE/>
        <w:autoSpaceDN/>
        <w:bidi w:val="0"/>
        <w:adjustRightInd/>
        <w:spacing w:beforeAutospacing="0" w:afterAutospacing="0" w:line="360" w:lineRule="auto"/>
        <w:textAlignment w:val="auto"/>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Full</m:t>
            </m:r>
            <m:ctrlPr>
              <w:rPr>
                <w:rFonts w:hint="default" w:ascii="Cambria Math"/>
              </w:rPr>
            </m:ctrlPr>
          </m:sub>
        </m:sSub>
      </m:oMath>
      <w:r>
        <w:rPr>
          <w:rFonts w:hint="eastAsia"/>
          <w:i w:val="0"/>
          <w:lang w:val="en-US" w:eastAsia="zh-CN"/>
        </w:rPr>
        <w:t>:</w:t>
      </w:r>
      <w:r>
        <w:rPr>
          <w:rFonts w:hint="eastAsia"/>
        </w:rPr>
        <w:t>完整模型</w:t>
      </w:r>
      <w:r>
        <w:rPr>
          <w:rFonts w:hint="eastAsia"/>
          <w:lang w:val="en-US" w:eastAsia="zh-CN"/>
        </w:rPr>
        <w:t>,</w:t>
      </w:r>
      <w:r>
        <w:rPr>
          <w:rFonts w:hint="eastAsia"/>
        </w:rPr>
        <w:t>本文提出的最终形态，即在四模态基础上引入交叉注意力（Cross-Attention）机制，实现特征的动态自适应融合。</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p>
    <w:p w14:paraId="46C76CFA">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 xml:space="preserve">图 3-X 与图 3-Y 的实验结果清晰地揭示了模态间的互补规律与交叉注意力机制的关键作用。首先，从单模态基准来看，仅依赖分子图的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已在多个任务上（如 BACE AUROC 0.825）展现出良好的预测基础，验证了 Graphormer 在提取拓扑特征方面的有效性。在此基础上，引入分子指纹后的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在几乎所有任务上均实现了性能跃升，特别是在 Lipo 亲脂性预测任务中 RMSE 的显著降低，表明指纹特征能有效弥补图网络在特定官能团计数方面的短板。随后，</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F</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S</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 的进一步提升证明了序列模态提供的线性视角与图结构的二维视角具有良好的互补性。更重要的是，对比</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Concat</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 与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Full</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的结果发现，交叉注意力机制起到了决定性的“智库”作用：</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Full</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在分类任务上的平均 AUROC 相比静态拼接提升了约 1.67%，在回归任务中平均 RMSE 降低了 4.23%。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 ClinTox 任务中，</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Full</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 xml:space="preserve">（0.941）显著优于 </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Concat</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（0.925），说明模型成功识别出该任务对专家文本知识的高度依赖，从而赋予文本模态更高的权重以提取隐含的毒理学因果链条。关于各任务在交叉注意力层中具体的模态权重倾向，将在 3.3.3 可视化分析中进一步探讨。</w:t>
      </w: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1"/>
                    <a:stretch>
                      <a:fillRect/>
                    </a:stretch>
                  </pic:blipFill>
                  <pic:spPr>
                    <a:xfrm>
                      <a:off x="0" y="0"/>
                      <a:ext cx="3987800" cy="1607820"/>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2"/>
                    <a:stretch>
                      <a:fillRect/>
                    </a:stretch>
                  </pic:blipFill>
                  <pic:spPr>
                    <a:xfrm>
                      <a:off x="0" y="0"/>
                      <a:ext cx="3135630" cy="1863725"/>
                    </a:xfrm>
                    <a:prstGeom prst="rect">
                      <a:avLst/>
                    </a:prstGeom>
                    <a:noFill/>
                    <a:ln>
                      <a:noFill/>
                    </a:ln>
                  </pic:spPr>
                </pic:pic>
              </a:graphicData>
            </a:graphic>
          </wp:inline>
        </w:drawing>
      </w:r>
    </w:p>
    <w:p w14:paraId="2EB402DF">
      <w:pPr>
        <w:pStyle w:val="4"/>
        <w:bidi w:val="0"/>
        <w:rPr>
          <w:rFonts w:hint="default"/>
          <w:lang w:val="en-US" w:eastAsia="zh-CN"/>
        </w:rPr>
      </w:pPr>
      <w:r>
        <w:rPr>
          <w:rFonts w:hint="eastAsia"/>
          <w:lang w:val="en-US" w:eastAsia="zh-CN"/>
        </w:rPr>
        <w:t>可视化分析</w:t>
      </w:r>
    </w:p>
    <w:p w14:paraId="5C04042C">
      <w:pPr>
        <w:bidi w:val="0"/>
        <w:rPr>
          <w:rFonts w:hint="eastAsia"/>
          <w:lang w:val="en-US" w:eastAsia="zh-CN"/>
        </w:rPr>
      </w:pPr>
      <w:r>
        <w:rPr>
          <w:rFonts w:hint="eastAsia"/>
          <w:lang w:val="en-US" w:eastAsia="zh-CN"/>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2331043D">
      <w:pPr>
        <w:bidi w:val="0"/>
        <w:rPr>
          <w:rFonts w:hint="eastAsia"/>
          <w:lang w:val="en-US" w:eastAsia="zh-CN"/>
        </w:rPr>
      </w:pPr>
      <w:r>
        <w:rPr>
          <w:rFonts w:hint="eastAsia"/>
          <w:lang w:val="en-US" w:eastAsia="zh-CN"/>
        </w:rPr>
        <w:t>另一方面权重图中也体现了知识增强在生物药理任务中的突破，与物理任务形成鲜明对比的是，在涉及复杂生物相互作用的任务中，模型自动学会了依赖专家知识。在 Sider（副作用预测）、ClinTox（临床毒性）和 Tox21 任务中，文本模态的权重出现了显著跃升，分别为 0.38、0.36 和 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2E799103">
      <w:pPr>
        <w:bidi w:val="0"/>
        <w:rPr>
          <w:rFonts w:hint="eastAsia"/>
          <w:lang w:val="en-US" w:eastAsia="zh-CN"/>
        </w:rPr>
      </w:pPr>
      <w:r>
        <w:rPr>
          <w:rFonts w:hint="eastAsia"/>
          <w:lang w:val="en-US" w:eastAsia="zh-CN"/>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C38684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3"/>
                    <a:stretch>
                      <a:fillRect/>
                    </a:stretch>
                  </pic:blipFill>
                  <pic:spPr>
                    <a:xfrm>
                      <a:off x="0" y="0"/>
                      <a:ext cx="5264785" cy="2315210"/>
                    </a:xfrm>
                    <a:prstGeom prst="rect">
                      <a:avLst/>
                    </a:prstGeom>
                  </pic:spPr>
                </pic:pic>
              </a:graphicData>
            </a:graphic>
          </wp:inline>
        </w:drawing>
      </w:r>
    </w:p>
    <w:p w14:paraId="275EA6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b/>
          <w:bCs/>
          <w:color w:val="FF0000"/>
          <w:lang w:val="en-US" w:eastAsia="zh-CN"/>
        </w:rPr>
      </w:pPr>
      <w:r>
        <w:rPr>
          <w:rFonts w:hint="eastAsia"/>
          <w:b/>
          <w:bCs/>
          <w:color w:val="FF0000"/>
          <w:lang w:val="en-US" w:eastAsia="zh-CN"/>
        </w:rPr>
        <w:t>增加一个预训练和没有预训练的一个图</w:t>
      </w:r>
    </w:p>
    <w:p w14:paraId="0A4F278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b/>
          <w:bCs/>
          <w:color w:val="FF0000"/>
          <w:lang w:val="en-US" w:eastAsia="zh-CN"/>
        </w:rPr>
      </w:pPr>
      <w:r>
        <w:rPr>
          <w:rFonts w:hint="default"/>
          <w:b/>
          <w:bCs/>
          <w:color w:val="FF0000"/>
          <w:lang w:val="en-US" w:eastAsia="zh-CN"/>
        </w:rPr>
        <w:drawing>
          <wp:inline distT="0" distB="0" distL="114300" distR="114300">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4"/>
                    <a:stretch>
                      <a:fillRect/>
                    </a:stretch>
                  </pic:blipFill>
                  <pic:spPr>
                    <a:xfrm>
                      <a:off x="0" y="0"/>
                      <a:ext cx="2969260" cy="2376170"/>
                    </a:xfrm>
                    <a:prstGeom prst="rect">
                      <a:avLst/>
                    </a:prstGeom>
                  </pic:spPr>
                </pic:pic>
              </a:graphicData>
            </a:graphic>
          </wp:inline>
        </w:drawing>
      </w:r>
    </w:p>
    <w:p w14:paraId="2C8E9145">
      <w:pPr>
        <w:pStyle w:val="4"/>
        <w:bidi w:val="0"/>
        <w:rPr>
          <w:rFonts w:hint="default"/>
          <w:lang w:val="en-US" w:eastAsia="zh-CN"/>
        </w:rPr>
      </w:pPr>
      <w:r>
        <w:rPr>
          <w:rFonts w:hint="eastAsia"/>
          <w:lang w:val="en-US" w:eastAsia="zh-CN"/>
        </w:rPr>
        <w:t>参数敏感实验</w:t>
      </w:r>
    </w:p>
    <w:p w14:paraId="30332FF4">
      <w:pPr>
        <w:rPr>
          <w:rFonts w:hint="default"/>
          <w:lang w:val="en-US" w:eastAsia="zh-CN"/>
        </w:rPr>
      </w:pPr>
      <w:r>
        <w:rPr>
          <w:rFonts w:hint="default"/>
          <w:lang w:val="en-US" w:eastAsia="zh-CN"/>
        </w:rPr>
        <w:t xml:space="preserve">为了验证模型在不同超参数设置下的鲁棒性，并探究核心超参数对对比学习性能的影响规律，本节选取了对比损失函数中的温度系数 </w:t>
      </w:r>
      <m:oMath>
        <m:r>
          <m:rPr/>
          <w:rPr>
            <w:rFonts w:hint="default" w:ascii="Cambria Math"/>
          </w:rPr>
          <m:t>τ</m:t>
        </m:r>
      </m:oMath>
      <w:r>
        <w:rPr>
          <w:rFonts w:hint="default"/>
          <w:lang w:val="en-US" w:eastAsia="zh-CN"/>
        </w:rPr>
        <w:t xml:space="preserve"> (Temperature Coefficient) 进行敏感性实验。实验在 ClinTox 和 BBBP 两个代表性数据集上进行，其他训练参数保持不变。1. 温度系数 $\tau$ 的影响分析温度系数 </w:t>
      </w:r>
      <m:oMath>
        <m:r>
          <m:rPr/>
          <w:rPr>
            <w:rFonts w:hint="default" w:ascii="Cambria Math"/>
          </w:rPr>
          <m:t>τ</m:t>
        </m:r>
      </m:oMath>
      <w:r>
        <w:rPr>
          <w:rFonts w:hint="default"/>
          <w:lang w:val="en-US" w:eastAsia="zh-CN"/>
        </w:rPr>
        <w:t xml:space="preserve"> 在 NT-Xent 损失函数中起着调节负样本梯度的关键作用。图 3-X 展示了模型性能随 </w:t>
      </w:r>
      <m:oMath>
        <m:r>
          <m:rPr/>
          <w:rPr>
            <w:rFonts w:hint="default" w:ascii="Cambria Math"/>
          </w:rPr>
          <m:t>τ</m:t>
        </m:r>
      </m:oMath>
      <w:r>
        <w:rPr>
          <w:rFonts w:hint="default"/>
          <w:lang w:val="en-US" w:eastAsia="zh-CN"/>
        </w:rPr>
        <w:t>值（取值范围</w:t>
      </w:r>
      <m:oMath>
        <m:r>
          <m:rPr/>
          <w:rPr>
            <w:rFonts w:hint="default" w:ascii="Cambria Math"/>
          </w:rPr>
          <m:t>{0.05,0.1,0.2,0.5,1.0}</m:t>
        </m:r>
      </m:oMath>
      <w:r>
        <w:rPr>
          <w:rFonts w:hint="default"/>
          <w:lang w:val="en-US" w:eastAsia="zh-CN"/>
        </w:rPr>
        <w:t xml:space="preserve">）的变化曲线。从图中可以观察到明显的“倒 U 型”趋势，具体分析如下：过小的 </w:t>
      </w:r>
      <m:oMath>
        <m:r>
          <m:rPr/>
          <w:rPr>
            <w:rFonts w:hint="default" w:ascii="Cambria Math"/>
          </w:rPr>
          <m:t>τ</m:t>
        </m:r>
      </m:oMath>
      <w:r>
        <w:rPr>
          <w:rFonts w:hint="default"/>
          <w:lang w:val="en-US" w:eastAsia="zh-CN"/>
        </w:rPr>
        <w:t xml:space="preserve"> (0.05)：当温度系数过小时，Softmax 分布变得极度尖锐，模型过度关注少量极其困难的负样本。这虽然能提供强梯度的监督信号，但容易引入潜在的假阴性样本噪声，导致优化过程不稳定，模型性能出现显著下降（ClinTox AUROC 降至 0.89 左右）。过大的 </w:t>
      </w:r>
      <m:oMath>
        <m:r>
          <m:rPr/>
          <w:rPr>
            <w:rFonts w:hint="default" w:ascii="Cambria Math"/>
          </w:rPr>
          <m:t>τ</m:t>
        </m:r>
      </m:oMath>
      <w:r>
        <w:rPr>
          <w:rFonts w:hint="default"/>
          <w:lang w:val="en-US" w:eastAsia="zh-CN"/>
        </w:rPr>
        <w:t xml:space="preserve"> (0.5 - 1.0)：随着温度系数增大，分布趋于平滑，模型对不同负样本的区分能力减弱。当 </w:t>
      </w:r>
      <m:oMath>
        <m:r>
          <m:rPr/>
          <w:rPr>
            <w:rFonts w:hint="default" w:ascii="Cambria Math"/>
          </w:rPr>
          <m:t>τ=1.0</m:t>
        </m:r>
      </m:oMath>
      <w:r>
        <w:rPr>
          <w:rFonts w:hint="default"/>
          <w:lang w:val="en-US" w:eastAsia="zh-CN"/>
        </w:rPr>
        <w:t xml:space="preserve"> 时，模型实际上是在同等程度地惩罚所有非匹配样本，失去了挖掘难样本的能力，导致特征空间的判别性降低，性能随之衰减。最优区间 (0.1 - 0.2)：实验结果表明，当 </w:t>
      </w:r>
      <m:oMath>
        <m:r>
          <m:rPr/>
          <w:rPr>
            <w:rFonts w:hint="default" w:ascii="Cambria Math"/>
          </w:rPr>
          <m:t>τ</m:t>
        </m:r>
      </m:oMath>
      <w:r>
        <w:rPr>
          <w:rFonts w:hint="default"/>
          <w:lang w:val="en-US" w:eastAsia="zh-CN"/>
        </w:rPr>
        <w:t xml:space="preserve">设定在 0.1 至 0.2 之间时，模型取得了最佳的预测性能。在此区间内，模型在挖掘难样本与保持训练稳定性之间达到了平衡，能够学习到既具有区分度又具备泛化能力的分子表征。因此，本研究在所有后续实验中均将 </w:t>
      </w:r>
      <m:oMath>
        <m:r>
          <m:rPr/>
          <w:rPr>
            <w:rFonts w:hint="default" w:ascii="Cambria Math"/>
          </w:rPr>
          <m:t>τ</m:t>
        </m:r>
      </m:oMath>
      <w:r>
        <w:rPr>
          <w:rFonts w:hint="default"/>
          <w:lang w:val="en-US" w:eastAsia="zh-CN"/>
        </w:rPr>
        <w:t xml:space="preserve"> 默认设置为 0.1。</w:t>
      </w:r>
    </w:p>
    <w:p w14:paraId="20BC0539">
      <w:pPr>
        <w:rPr>
          <w:rFonts w:hint="default"/>
          <w:lang w:val="en-US" w:eastAsia="zh-CN"/>
        </w:rPr>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5"/>
                    <a:stretch>
                      <a:fillRect/>
                    </a:stretch>
                  </pic:blipFill>
                  <pic:spPr>
                    <a:xfrm>
                      <a:off x="0" y="0"/>
                      <a:ext cx="5269865" cy="3895725"/>
                    </a:xfrm>
                    <a:prstGeom prst="rect">
                      <a:avLst/>
                    </a:prstGeom>
                    <a:noFill/>
                    <a:ln>
                      <a:noFill/>
                    </a:ln>
                  </pic:spPr>
                </pic:pic>
              </a:graphicData>
            </a:graphic>
          </wp:inline>
        </w:drawing>
      </w:r>
    </w:p>
    <w:p w14:paraId="6CE8FE9F">
      <w:pPr>
        <w:pStyle w:val="3"/>
        <w:bidi w:val="0"/>
        <w:rPr>
          <w:rFonts w:hint="default"/>
          <w:lang w:val="en-US" w:eastAsia="zh-CN"/>
        </w:rPr>
      </w:pPr>
      <w:r>
        <w:rPr>
          <w:rFonts w:hint="eastAsia"/>
          <w:lang w:val="en-US" w:eastAsia="zh-CN"/>
        </w:rPr>
        <w:t>本章小结</w:t>
      </w:r>
    </w:p>
    <w:p w14:paraId="2AF39311">
      <w:pPr>
        <w:rPr>
          <w:rFonts w:hint="default"/>
          <w:lang w:val="en-US" w:eastAsia="zh-CN"/>
        </w:rPr>
      </w:pPr>
      <w:r>
        <w:rPr>
          <w:rFonts w:hint="default"/>
          <w:lang w:val="en-US" w:eastAsia="zh-CN"/>
        </w:rP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知识重写流水线”，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61CD5E04">
      <w:pPr>
        <w:rPr>
          <w:rFonts w:hint="default"/>
          <w:lang w:val="en-US" w:eastAsia="zh-CN"/>
        </w:rPr>
      </w:pPr>
      <w:r>
        <w:rPr>
          <w:rFonts w:hint="default"/>
          <w:lang w:val="en-US" w:eastAsia="zh-CN"/>
        </w:rPr>
        <w:t>为了全面验证所提方法的有效性，本章在 MoleculeNet 的 9 个基准数据集上开展了多维度的实证研究。对比实验结果表明，该模型在 BACE、ClinTox 等分类任务及 FreeSolv 等回归任务上均取得了优于当前主流基准（如 CMPNN、MoleculeSTM）的预测性能。随后的消融实验定量解析了各输入模态的边际贡献，证实了交叉注意力机制在特征融合阶段优于简单拼接策略。</w:t>
      </w:r>
      <w:r>
        <w:rPr>
          <w:rFonts w:hint="default"/>
          <w:color w:val="E54C5E" w:themeColor="accent6"/>
          <w:lang w:val="en-US" w:eastAsia="zh-CN"/>
          <w14:textFill>
            <w14:solidFill>
              <w14:schemeClr w14:val="accent6"/>
            </w14:solidFill>
          </w14:textFill>
        </w:rPr>
        <w:t>此外，通过多模态注意力热图与 t-SNE 特征空间可视化分析，直观揭示了模型在面对物理化学性质与生物药理活性任务时展现出的任务驱动型模态偏好，以及将混沌特征空间重构为线性可分簇的能力</w:t>
      </w:r>
      <w:r>
        <w:rPr>
          <w:rFonts w:hint="default"/>
          <w:lang w:val="en-US" w:eastAsia="zh-CN"/>
        </w:rPr>
        <w:t>。最后，参数敏感性分析验证了模型核心超参数的鲁棒性。</w:t>
      </w:r>
    </w:p>
    <w:p w14:paraId="22A99C8D">
      <w:pPr>
        <w:rPr>
          <w:rFonts w:hint="default"/>
          <w:lang w:val="en-US" w:eastAsia="zh-CN"/>
        </w:rPr>
      </w:pPr>
    </w:p>
    <w:p w14:paraId="20C91683">
      <w:pPr>
        <w:rPr>
          <w:rFonts w:hint="default"/>
          <w:lang w:val="en-US" w:eastAsia="zh-CN"/>
        </w:rPr>
      </w:pPr>
      <w:r>
        <w:rPr>
          <w:rFonts w:hint="default"/>
          <w:lang w:val="en-US" w:eastAsia="zh-CN"/>
        </w:rPr>
        <w:t>综上所述，本章提出的方法不仅在预测精度上刷新了多项记录，更在模型的可解释性与泛化能力上取得了显著突破，为后续的药物分子筛选与优化提供了可靠的计算工具。</w:t>
      </w:r>
    </w:p>
    <w:p w14:paraId="0DF19E9A">
      <w:pPr>
        <w:rPr>
          <w:rFonts w:hint="default"/>
          <w:lang w:val="en-US" w:eastAsia="zh-CN"/>
        </w:rPr>
      </w:pPr>
    </w:p>
    <w:p w14:paraId="56729DB7">
      <w:pPr>
        <w:rPr>
          <w:rFonts w:hint="default"/>
          <w:lang w:val="en-US" w:eastAsia="zh-CN"/>
        </w:rPr>
      </w:pPr>
    </w:p>
    <w:p w14:paraId="1D5CBAC7">
      <w:pPr>
        <w:rPr>
          <w:rFonts w:hint="default"/>
          <w:lang w:val="en-US" w:eastAsia="zh-CN"/>
        </w:rPr>
      </w:pPr>
    </w:p>
    <w:p w14:paraId="42C89D87">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3139FD21"/>
    <w:multiLevelType w:val="multilevel"/>
    <w:tmpl w:val="3139FD21"/>
    <w:lvl w:ilvl="0" w:tentative="0">
      <w:start w:val="1"/>
      <w:numFmt w:val="decimal"/>
      <w:pStyle w:val="27"/>
      <w:suff w:val="space"/>
      <w:lvlText w:val="%1、"/>
      <w:lvlJc w:val="left"/>
      <w:pPr>
        <w:tabs>
          <w:tab w:val="left" w:pos="420"/>
        </w:tabs>
        <w:ind w:left="0" w:firstLine="0"/>
      </w:pPr>
      <w:rPr>
        <w:rFonts w:hint="default"/>
      </w:rPr>
    </w:lvl>
    <w:lvl w:ilvl="1" w:tentative="0">
      <w:start w:val="1"/>
      <w:numFmt w:val="decimal"/>
      <w:pStyle w:val="25"/>
      <w:isLgl/>
      <w:suff w:val="space"/>
      <w:lvlText w:val="%2.1"/>
      <w:lvlJc w:val="left"/>
      <w:pPr>
        <w:tabs>
          <w:tab w:val="left" w:pos="0"/>
        </w:tabs>
        <w:ind w:left="851" w:firstLine="0"/>
      </w:pPr>
      <w:rPr>
        <w:rFonts w:hint="default"/>
      </w:rPr>
    </w:lvl>
    <w:lvl w:ilvl="2" w:tentative="0">
      <w:start w:val="1"/>
      <w:numFmt w:val="decimal"/>
      <w:pStyle w:val="28"/>
      <w:isLgl/>
      <w:lvlText w:val="%2.%3.1"/>
      <w:lvlJc w:val="left"/>
      <w:pPr>
        <w:tabs>
          <w:tab w:val="left" w:pos="420"/>
        </w:tabs>
        <w:ind w:left="0" w:firstLine="0"/>
      </w:pPr>
      <w:rPr>
        <w:rFonts w:hint="eastAsia"/>
      </w:rPr>
    </w:lvl>
    <w:lvl w:ilvl="3" w:tentative="0">
      <w:start w:val="1"/>
      <w:numFmt w:val="decimal"/>
      <w:pStyle w:val="29"/>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4655DA76"/>
    <w:multiLevelType w:val="singleLevel"/>
    <w:tmpl w:val="4655DA76"/>
    <w:lvl w:ilvl="0" w:tentative="0">
      <w:start w:val="1"/>
      <w:numFmt w:val="decimal"/>
      <w:suff w:val="space"/>
      <w:lvlText w:val="%1."/>
      <w:lvlJc w:val="left"/>
    </w:lvl>
  </w:abstractNum>
  <w:abstractNum w:abstractNumId="4">
    <w:nsid w:val="7E5371A9"/>
    <w:multiLevelType w:val="multilevel"/>
    <w:tmpl w:val="7E5371A9"/>
    <w:lvl w:ilvl="0" w:tentative="0">
      <w:start w:val="1"/>
      <w:numFmt w:val="decimal"/>
      <w:pStyle w:val="2"/>
      <w:isLgl/>
      <w:suff w:val="space"/>
      <w:lvlText w:val="%1"/>
      <w:lvlJc w:val="left"/>
      <w:pPr>
        <w:tabs>
          <w:tab w:val="left" w:pos="420"/>
        </w:tabs>
        <w:ind w:left="0" w:leftChars="0" w:firstLine="0" w:firstLineChars="0"/>
      </w:pPr>
      <w:rPr>
        <w:rFonts w:hint="default"/>
      </w:rPr>
    </w:lvl>
    <w:lvl w:ilvl="1" w:tentative="0">
      <w:start w:val="1"/>
      <w:numFmt w:val="decimal"/>
      <w:pStyle w:val="3"/>
      <w:isLgl/>
      <w:suff w:val="space"/>
      <w:lvlText w:val="%1.%2"/>
      <w:lvlJc w:val="left"/>
      <w:pPr>
        <w:tabs>
          <w:tab w:val="left" w:pos="420"/>
        </w:tabs>
        <w:ind w:left="0" w:leftChars="0" w:firstLine="0" w:firstLineChars="0"/>
      </w:pPr>
      <w:rPr>
        <w:rFonts w:hint="default"/>
      </w:rPr>
    </w:lvl>
    <w:lvl w:ilvl="2" w:tentative="0">
      <w:start w:val="1"/>
      <w:numFmt w:val="decimal"/>
      <w:pStyle w:val="4"/>
      <w:isLgl/>
      <w:suff w:val="space"/>
      <w:lvlText w:val="%1.%2.%3"/>
      <w:lvlJc w:val="left"/>
      <w:pPr>
        <w:tabs>
          <w:tab w:val="left" w:pos="0"/>
        </w:tabs>
        <w:ind w:left="0" w:leftChars="0" w:firstLine="0" w:firstLineChars="0"/>
      </w:pPr>
      <w:rPr>
        <w:rFonts w:hint="default"/>
      </w:rPr>
    </w:lvl>
    <w:lvl w:ilvl="3" w:tentative="0">
      <w:start w:val="1"/>
      <w:numFmt w:val="decimal"/>
      <w:pStyle w:val="5"/>
      <w:isLgl/>
      <w:lvlText w:val="%1.%2.%3.%4"/>
      <w:lvlJc w:val="left"/>
      <w:pPr>
        <w:tabs>
          <w:tab w:val="left" w:pos="0"/>
        </w:tabs>
        <w:ind w:left="0" w:leftChars="0" w:firstLine="0" w:firstLineChars="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1"/>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D5FB4"/>
    <w:rsid w:val="01150B21"/>
    <w:rsid w:val="018502B5"/>
    <w:rsid w:val="01DB1C83"/>
    <w:rsid w:val="01F64D0F"/>
    <w:rsid w:val="02E1776D"/>
    <w:rsid w:val="03AE3AF3"/>
    <w:rsid w:val="0433224A"/>
    <w:rsid w:val="05A849B2"/>
    <w:rsid w:val="064F49ED"/>
    <w:rsid w:val="06510766"/>
    <w:rsid w:val="06B62CBE"/>
    <w:rsid w:val="06E11AE9"/>
    <w:rsid w:val="07017172"/>
    <w:rsid w:val="071E0F8F"/>
    <w:rsid w:val="07677AD1"/>
    <w:rsid w:val="07754928"/>
    <w:rsid w:val="08155C5D"/>
    <w:rsid w:val="08805332"/>
    <w:rsid w:val="08CE2541"/>
    <w:rsid w:val="08EE4992"/>
    <w:rsid w:val="0935611C"/>
    <w:rsid w:val="093D1475"/>
    <w:rsid w:val="0958005D"/>
    <w:rsid w:val="09F75AC8"/>
    <w:rsid w:val="0A0B19C3"/>
    <w:rsid w:val="0A4C7BC2"/>
    <w:rsid w:val="0ABF0394"/>
    <w:rsid w:val="0B04049C"/>
    <w:rsid w:val="0B6B22C9"/>
    <w:rsid w:val="0BD64449"/>
    <w:rsid w:val="0BFF569C"/>
    <w:rsid w:val="0C965756"/>
    <w:rsid w:val="0CDC2ACA"/>
    <w:rsid w:val="0D9773A6"/>
    <w:rsid w:val="0E6A3D66"/>
    <w:rsid w:val="0E807E3A"/>
    <w:rsid w:val="0EC8358F"/>
    <w:rsid w:val="0ED168E7"/>
    <w:rsid w:val="0F503503"/>
    <w:rsid w:val="0F7C2CF7"/>
    <w:rsid w:val="0FC95811"/>
    <w:rsid w:val="10596B94"/>
    <w:rsid w:val="10D475A4"/>
    <w:rsid w:val="11380C28"/>
    <w:rsid w:val="118A0FD0"/>
    <w:rsid w:val="11BF6ECB"/>
    <w:rsid w:val="11CC3396"/>
    <w:rsid w:val="120548F1"/>
    <w:rsid w:val="1212349F"/>
    <w:rsid w:val="12CF0C0F"/>
    <w:rsid w:val="13313DF9"/>
    <w:rsid w:val="13741F37"/>
    <w:rsid w:val="13BE388E"/>
    <w:rsid w:val="13D86F0D"/>
    <w:rsid w:val="144B713C"/>
    <w:rsid w:val="14667AD2"/>
    <w:rsid w:val="14681A9C"/>
    <w:rsid w:val="146944C2"/>
    <w:rsid w:val="14E37374"/>
    <w:rsid w:val="150C0679"/>
    <w:rsid w:val="15CF1017"/>
    <w:rsid w:val="1666772B"/>
    <w:rsid w:val="16721235"/>
    <w:rsid w:val="16EE3830"/>
    <w:rsid w:val="17424AB7"/>
    <w:rsid w:val="17887D5F"/>
    <w:rsid w:val="17F65611"/>
    <w:rsid w:val="191915B7"/>
    <w:rsid w:val="19197809"/>
    <w:rsid w:val="1A9B7C43"/>
    <w:rsid w:val="1B593EEC"/>
    <w:rsid w:val="1BCA6B98"/>
    <w:rsid w:val="1BDB2F6A"/>
    <w:rsid w:val="1C884062"/>
    <w:rsid w:val="1D37025D"/>
    <w:rsid w:val="1D540E0F"/>
    <w:rsid w:val="1D8B05A9"/>
    <w:rsid w:val="1F3F2EA1"/>
    <w:rsid w:val="1F5E18DF"/>
    <w:rsid w:val="1F7F074A"/>
    <w:rsid w:val="1FCF02AE"/>
    <w:rsid w:val="1FE673DA"/>
    <w:rsid w:val="202645B9"/>
    <w:rsid w:val="20DB53A4"/>
    <w:rsid w:val="20F01385"/>
    <w:rsid w:val="21423675"/>
    <w:rsid w:val="214E0CB3"/>
    <w:rsid w:val="21C61BB0"/>
    <w:rsid w:val="220925C6"/>
    <w:rsid w:val="220A5F40"/>
    <w:rsid w:val="222A07C5"/>
    <w:rsid w:val="22F9340A"/>
    <w:rsid w:val="23E876FD"/>
    <w:rsid w:val="23F97868"/>
    <w:rsid w:val="25641E0C"/>
    <w:rsid w:val="257A162F"/>
    <w:rsid w:val="25853B30"/>
    <w:rsid w:val="259D70CC"/>
    <w:rsid w:val="260E3B25"/>
    <w:rsid w:val="264D3A61"/>
    <w:rsid w:val="26C2328E"/>
    <w:rsid w:val="26FB67A0"/>
    <w:rsid w:val="272924A0"/>
    <w:rsid w:val="27866B9F"/>
    <w:rsid w:val="27B32BD6"/>
    <w:rsid w:val="27E71EA9"/>
    <w:rsid w:val="27F60D15"/>
    <w:rsid w:val="289E73E3"/>
    <w:rsid w:val="28EA6ACC"/>
    <w:rsid w:val="292A511A"/>
    <w:rsid w:val="29DF5F05"/>
    <w:rsid w:val="29FA6504"/>
    <w:rsid w:val="2B116592"/>
    <w:rsid w:val="2BCC4267"/>
    <w:rsid w:val="2C536B29"/>
    <w:rsid w:val="2C5F332D"/>
    <w:rsid w:val="2C7072E8"/>
    <w:rsid w:val="2C906D58"/>
    <w:rsid w:val="2CCD473A"/>
    <w:rsid w:val="2CEB4BC0"/>
    <w:rsid w:val="2CFA0444"/>
    <w:rsid w:val="2CFE5A0D"/>
    <w:rsid w:val="2D577A9F"/>
    <w:rsid w:val="2D984BB1"/>
    <w:rsid w:val="2DF45CF7"/>
    <w:rsid w:val="2E0F77BA"/>
    <w:rsid w:val="2F917CA1"/>
    <w:rsid w:val="2FBA3380"/>
    <w:rsid w:val="2FBC06DB"/>
    <w:rsid w:val="2FC5794B"/>
    <w:rsid w:val="2FD656B4"/>
    <w:rsid w:val="2FFE2E5D"/>
    <w:rsid w:val="303F594F"/>
    <w:rsid w:val="30586A11"/>
    <w:rsid w:val="32220E91"/>
    <w:rsid w:val="333077D1"/>
    <w:rsid w:val="34A90091"/>
    <w:rsid w:val="34B61F58"/>
    <w:rsid w:val="34CE2DFE"/>
    <w:rsid w:val="34D92233"/>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A39340F"/>
    <w:rsid w:val="3AA30888"/>
    <w:rsid w:val="3AA65926"/>
    <w:rsid w:val="3AB94550"/>
    <w:rsid w:val="3AD153F6"/>
    <w:rsid w:val="3B053664"/>
    <w:rsid w:val="3B40257B"/>
    <w:rsid w:val="3B7566C9"/>
    <w:rsid w:val="3BA7755B"/>
    <w:rsid w:val="3BB16FD5"/>
    <w:rsid w:val="3BDD426E"/>
    <w:rsid w:val="3C6C2C0E"/>
    <w:rsid w:val="3C8D17F0"/>
    <w:rsid w:val="3D143CBF"/>
    <w:rsid w:val="3D2B25F8"/>
    <w:rsid w:val="3D6119C4"/>
    <w:rsid w:val="3DA94408"/>
    <w:rsid w:val="3E047E0A"/>
    <w:rsid w:val="3E412892"/>
    <w:rsid w:val="3E4800C5"/>
    <w:rsid w:val="3F0F0BE2"/>
    <w:rsid w:val="3F12422F"/>
    <w:rsid w:val="3F32042D"/>
    <w:rsid w:val="3FC65745"/>
    <w:rsid w:val="400224F5"/>
    <w:rsid w:val="40BB2DD0"/>
    <w:rsid w:val="40E90FBF"/>
    <w:rsid w:val="40EC3972"/>
    <w:rsid w:val="41F12821"/>
    <w:rsid w:val="42694565"/>
    <w:rsid w:val="427B20EB"/>
    <w:rsid w:val="43166C80"/>
    <w:rsid w:val="431F0E8B"/>
    <w:rsid w:val="432E715D"/>
    <w:rsid w:val="436D237B"/>
    <w:rsid w:val="43C26152"/>
    <w:rsid w:val="44044A8E"/>
    <w:rsid w:val="440C3157"/>
    <w:rsid w:val="44444E8A"/>
    <w:rsid w:val="44D426B2"/>
    <w:rsid w:val="44E80FE1"/>
    <w:rsid w:val="455A06DD"/>
    <w:rsid w:val="45837C34"/>
    <w:rsid w:val="45B352DC"/>
    <w:rsid w:val="45CB21F7"/>
    <w:rsid w:val="45CF4C28"/>
    <w:rsid w:val="45ED3300"/>
    <w:rsid w:val="461A2EB7"/>
    <w:rsid w:val="482F17FF"/>
    <w:rsid w:val="48A77906"/>
    <w:rsid w:val="490E6F34"/>
    <w:rsid w:val="49217DF9"/>
    <w:rsid w:val="4941408E"/>
    <w:rsid w:val="494D47E1"/>
    <w:rsid w:val="49D96075"/>
    <w:rsid w:val="4AB34B18"/>
    <w:rsid w:val="4AE03433"/>
    <w:rsid w:val="4AE41175"/>
    <w:rsid w:val="4B8204BE"/>
    <w:rsid w:val="4C4507B6"/>
    <w:rsid w:val="4C63256E"/>
    <w:rsid w:val="4D551EB6"/>
    <w:rsid w:val="4D8B14D9"/>
    <w:rsid w:val="4DB33B09"/>
    <w:rsid w:val="4EBB21ED"/>
    <w:rsid w:val="4F1813ED"/>
    <w:rsid w:val="4F576D80"/>
    <w:rsid w:val="4FA30A16"/>
    <w:rsid w:val="509947B0"/>
    <w:rsid w:val="50AF18DD"/>
    <w:rsid w:val="525C3CE7"/>
    <w:rsid w:val="528E3D51"/>
    <w:rsid w:val="530E3233"/>
    <w:rsid w:val="53D55AFF"/>
    <w:rsid w:val="546B0211"/>
    <w:rsid w:val="55844E99"/>
    <w:rsid w:val="55B44A7B"/>
    <w:rsid w:val="560E70A6"/>
    <w:rsid w:val="572D5C52"/>
    <w:rsid w:val="583B7EFB"/>
    <w:rsid w:val="58B061F7"/>
    <w:rsid w:val="58BA1CEE"/>
    <w:rsid w:val="58C16652"/>
    <w:rsid w:val="593E5EF4"/>
    <w:rsid w:val="59576FB6"/>
    <w:rsid w:val="5A3B2CC9"/>
    <w:rsid w:val="5B305D11"/>
    <w:rsid w:val="5B4F0B23"/>
    <w:rsid w:val="5B4F731A"/>
    <w:rsid w:val="5B993B5A"/>
    <w:rsid w:val="5BD668B8"/>
    <w:rsid w:val="5BF907F8"/>
    <w:rsid w:val="5C2C0286"/>
    <w:rsid w:val="5C983B6D"/>
    <w:rsid w:val="5D814602"/>
    <w:rsid w:val="5D9A3915"/>
    <w:rsid w:val="5DF254FF"/>
    <w:rsid w:val="5EA7453C"/>
    <w:rsid w:val="5F061262"/>
    <w:rsid w:val="5F573763"/>
    <w:rsid w:val="5F773F0E"/>
    <w:rsid w:val="5FC01AAC"/>
    <w:rsid w:val="6045400C"/>
    <w:rsid w:val="60D1764E"/>
    <w:rsid w:val="611A2DA3"/>
    <w:rsid w:val="61377DF9"/>
    <w:rsid w:val="61D513C0"/>
    <w:rsid w:val="621C33F7"/>
    <w:rsid w:val="621E4B15"/>
    <w:rsid w:val="62C366A0"/>
    <w:rsid w:val="634E31D8"/>
    <w:rsid w:val="637C5F97"/>
    <w:rsid w:val="63915694"/>
    <w:rsid w:val="639332E1"/>
    <w:rsid w:val="64F102BF"/>
    <w:rsid w:val="65424FBE"/>
    <w:rsid w:val="65711400"/>
    <w:rsid w:val="666902A6"/>
    <w:rsid w:val="66D87988"/>
    <w:rsid w:val="68464DC5"/>
    <w:rsid w:val="68E36170"/>
    <w:rsid w:val="692A78CC"/>
    <w:rsid w:val="69502941"/>
    <w:rsid w:val="69D81A4D"/>
    <w:rsid w:val="69F97043"/>
    <w:rsid w:val="6A2373A8"/>
    <w:rsid w:val="6A627569"/>
    <w:rsid w:val="6AAF6C52"/>
    <w:rsid w:val="6C661592"/>
    <w:rsid w:val="6CCA3A1C"/>
    <w:rsid w:val="6CE81FA7"/>
    <w:rsid w:val="6D1F1741"/>
    <w:rsid w:val="6D8A5754"/>
    <w:rsid w:val="6E46167B"/>
    <w:rsid w:val="6E577D47"/>
    <w:rsid w:val="6F170AB2"/>
    <w:rsid w:val="6F455D89"/>
    <w:rsid w:val="6F745D74"/>
    <w:rsid w:val="6F9562E9"/>
    <w:rsid w:val="6FD1766A"/>
    <w:rsid w:val="6FE27182"/>
    <w:rsid w:val="7075449A"/>
    <w:rsid w:val="70756248"/>
    <w:rsid w:val="709B2013"/>
    <w:rsid w:val="70AF4C91"/>
    <w:rsid w:val="71146562"/>
    <w:rsid w:val="71267542"/>
    <w:rsid w:val="71706A0F"/>
    <w:rsid w:val="71922E29"/>
    <w:rsid w:val="723D2D95"/>
    <w:rsid w:val="7248226E"/>
    <w:rsid w:val="72783DCD"/>
    <w:rsid w:val="72B666A4"/>
    <w:rsid w:val="72EC6569"/>
    <w:rsid w:val="72F21DD2"/>
    <w:rsid w:val="73C51294"/>
    <w:rsid w:val="74424693"/>
    <w:rsid w:val="74BC64E7"/>
    <w:rsid w:val="74C07CAE"/>
    <w:rsid w:val="752E2E69"/>
    <w:rsid w:val="75A803EA"/>
    <w:rsid w:val="75ED062E"/>
    <w:rsid w:val="764861AD"/>
    <w:rsid w:val="76E2215D"/>
    <w:rsid w:val="771B020D"/>
    <w:rsid w:val="77435AB2"/>
    <w:rsid w:val="77E141C3"/>
    <w:rsid w:val="78237046"/>
    <w:rsid w:val="78407BB7"/>
    <w:rsid w:val="78533470"/>
    <w:rsid w:val="78BE62B2"/>
    <w:rsid w:val="79921C19"/>
    <w:rsid w:val="79A47B9E"/>
    <w:rsid w:val="7A023EF6"/>
    <w:rsid w:val="7A220727"/>
    <w:rsid w:val="7AAB2866"/>
    <w:rsid w:val="7AFD1314"/>
    <w:rsid w:val="7B1F572E"/>
    <w:rsid w:val="7B486307"/>
    <w:rsid w:val="7B95154C"/>
    <w:rsid w:val="7BAE5340"/>
    <w:rsid w:val="7BC23531"/>
    <w:rsid w:val="7CEF576A"/>
    <w:rsid w:val="7DD722F0"/>
    <w:rsid w:val="7E2D1F10"/>
    <w:rsid w:val="7E3E236F"/>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2"/>
    <w:autoRedefine/>
    <w:qFormat/>
    <w:uiPriority w:val="0"/>
    <w:pPr>
      <w:keepNext/>
      <w:keepLines/>
      <w:numPr>
        <w:ilvl w:val="0"/>
        <w:numId w:val="1"/>
      </w:numPr>
      <w:spacing w:line="360" w:lineRule="auto"/>
      <w:ind w:left="0" w:firstLine="0"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3"/>
    <w:autoRedefine/>
    <w:unhideWhenUsed/>
    <w:qFormat/>
    <w:uiPriority w:val="0"/>
    <w:pPr>
      <w:numPr>
        <w:ilvl w:val="1"/>
        <w:numId w:val="1"/>
      </w:numPr>
      <w:spacing w:beforeAutospacing="1" w:afterAutospacing="1" w:line="360" w:lineRule="auto"/>
      <w:ind w:left="0" w:firstLine="0" w:firstLineChars="0"/>
      <w:jc w:val="left"/>
      <w:outlineLvl w:val="1"/>
    </w:pPr>
    <w:rPr>
      <w:rFonts w:ascii="Times New Roman" w:hAnsi="Times New Roman" w:eastAsia="宋体" w:cs="Times New Roman"/>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Times New Roman" w:hAnsi="Times New Roman" w:eastAsia="宋体" w:cs="Times New Roman"/>
      <w:b/>
      <w:kern w:val="0"/>
      <w:sz w:val="24"/>
      <w:szCs w:val="24"/>
      <w:lang w:bidi="ar"/>
    </w:rPr>
  </w:style>
  <w:style w:type="paragraph" w:styleId="5">
    <w:name w:val="heading 4"/>
    <w:basedOn w:val="1"/>
    <w:next w:val="1"/>
    <w:autoRedefine/>
    <w:semiHidden/>
    <w:unhideWhenUsed/>
    <w:qFormat/>
    <w:uiPriority w:val="0"/>
    <w:pPr>
      <w:numPr>
        <w:ilvl w:val="3"/>
        <w:numId w:val="1"/>
      </w:numPr>
      <w:spacing w:before="0" w:beforeAutospacing="1" w:after="0" w:afterAutospacing="1"/>
      <w:ind w:firstLine="0" w:firstLineChars="0"/>
      <w:jc w:val="left"/>
      <w:outlineLvl w:val="3"/>
    </w:pPr>
    <w:rPr>
      <w:rFonts w:hint="eastAsia" w:ascii="宋体" w:hAnsi="宋体" w:eastAsia="宋体" w:cs="宋体"/>
      <w:b/>
      <w:bCs/>
      <w:kern w:val="0"/>
      <w:sz w:val="24"/>
      <w:szCs w:val="24"/>
      <w:lang w:val="en-US" w:eastAsia="zh-CN" w:bidi="ar"/>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uiPriority w:val="0"/>
    <w:rPr>
      <w:color w:val="0000FF"/>
      <w:u w:val="single"/>
    </w:rPr>
  </w:style>
  <w:style w:type="character" w:styleId="21">
    <w:name w:val="HTML Code"/>
    <w:basedOn w:val="18"/>
    <w:qFormat/>
    <w:uiPriority w:val="0"/>
    <w:rPr>
      <w:rFonts w:ascii="Courier New" w:hAnsi="Courier New"/>
      <w:sz w:val="20"/>
    </w:rPr>
  </w:style>
  <w:style w:type="character" w:customStyle="1" w:styleId="22">
    <w:name w:val="标题 1 字符"/>
    <w:link w:val="2"/>
    <w:qFormat/>
    <w:uiPriority w:val="9"/>
    <w:rPr>
      <w:rFonts w:ascii="Times New Roman" w:hAnsi="Times New Roman" w:eastAsia="宋体" w:cs="Times New Roman"/>
      <w:bCs/>
      <w:color w:val="1C1F23"/>
      <w:kern w:val="44"/>
      <w:sz w:val="36"/>
      <w:szCs w:val="24"/>
    </w:rPr>
  </w:style>
  <w:style w:type="character" w:customStyle="1" w:styleId="23">
    <w:name w:val="标题 2 字符"/>
    <w:link w:val="3"/>
    <w:autoRedefine/>
    <w:qFormat/>
    <w:uiPriority w:val="0"/>
    <w:rPr>
      <w:rFonts w:ascii="Times New Roman" w:hAnsi="Times New Roman" w:eastAsia="宋体" w:cs="Times New Roman"/>
      <w:b/>
      <w:bCs/>
      <w:kern w:val="0"/>
      <w:sz w:val="28"/>
      <w:szCs w:val="36"/>
      <w:lang w:val="en-US" w:eastAsia="zh-CN" w:bidi="ar"/>
    </w:rPr>
  </w:style>
  <w:style w:type="paragraph" w:customStyle="1" w:styleId="24">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5">
    <w:name w:val="中期二级标题"/>
    <w:basedOn w:val="1"/>
    <w:link w:val="26"/>
    <w:qFormat/>
    <w:uiPriority w:val="0"/>
    <w:pPr>
      <w:numPr>
        <w:ilvl w:val="1"/>
        <w:numId w:val="3"/>
      </w:numPr>
      <w:ind w:left="851"/>
    </w:pPr>
    <w:rPr>
      <w:rFonts w:ascii="黑体" w:hAnsi="黑体" w:eastAsia="黑体"/>
      <w:sz w:val="32"/>
      <w:szCs w:val="32"/>
    </w:rPr>
  </w:style>
  <w:style w:type="character" w:customStyle="1" w:styleId="26">
    <w:name w:val="中期二级标题 字符"/>
    <w:link w:val="25"/>
    <w:qFormat/>
    <w:uiPriority w:val="0"/>
    <w:rPr>
      <w:rFonts w:ascii="黑体" w:hAnsi="黑体" w:eastAsia="黑体"/>
      <w:kern w:val="2"/>
      <w:sz w:val="32"/>
      <w:szCs w:val="32"/>
      <w:lang w:val="en-US" w:eastAsia="zh-CN" w:bidi="ar-SA"/>
    </w:rPr>
  </w:style>
  <w:style w:type="paragraph" w:customStyle="1" w:styleId="27">
    <w:name w:val="中期一级标题"/>
    <w:basedOn w:val="1"/>
    <w:qFormat/>
    <w:uiPriority w:val="0"/>
    <w:pPr>
      <w:numPr>
        <w:ilvl w:val="0"/>
        <w:numId w:val="3"/>
      </w:numPr>
      <w:ind w:firstLine="0" w:firstLineChars="0"/>
    </w:pPr>
  </w:style>
  <w:style w:type="paragraph" w:customStyle="1" w:styleId="28">
    <w:name w:val="中期三级标题"/>
    <w:basedOn w:val="1"/>
    <w:qFormat/>
    <w:uiPriority w:val="0"/>
    <w:pPr>
      <w:numPr>
        <w:ilvl w:val="2"/>
        <w:numId w:val="3"/>
      </w:numPr>
      <w:ind w:firstLine="0" w:firstLineChars="0"/>
    </w:pPr>
  </w:style>
  <w:style w:type="paragraph" w:customStyle="1" w:styleId="29">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Pages>
  <Words>5280</Words>
  <Characters>6173</Characters>
  <Lines>0</Lines>
  <Paragraphs>0</Paragraphs>
  <TotalTime>51</TotalTime>
  <ScaleCrop>false</ScaleCrop>
  <LinksUpToDate>false</LinksUpToDate>
  <CharactersWithSpaces>6282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2026-02-15T11:38:40Z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