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1FD5EA5">
      <w:pPr>
        <w:pStyle w:val="2"/>
        <w:pageBreakBefore w:val="0"/>
        <w:numPr>
          <w:ilvl w:val="0"/>
          <w:numId w:val="0"/>
        </w:numPr>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eastAsia"/>
          <w:lang w:val="en-US" w:eastAsia="zh-CN"/>
        </w:rPr>
      </w:pPr>
      <w:r>
        <w:rPr>
          <w:rFonts w:hint="eastAsia"/>
          <w:lang w:val="en-US" w:eastAsia="zh-CN"/>
        </w:rPr>
        <w:t>摘要</w:t>
      </w:r>
    </w:p>
    <w:p w14:paraId="13E27006">
      <w:pPr>
        <w:pStyle w:val="2"/>
        <w:pageBreakBefore w:val="0"/>
        <w:numPr>
          <w:ilvl w:val="0"/>
          <w:numId w:val="0"/>
        </w:numPr>
        <w:kinsoku/>
        <w:wordWrap/>
        <w:overflowPunct/>
        <w:topLinePunct w:val="0"/>
        <w:autoSpaceDE/>
        <w:autoSpaceDN/>
        <w:bidi w:val="0"/>
        <w:adjustRightInd/>
        <w:spacing w:beforeAutospacing="0" w:afterAutospacing="0" w:line="360" w:lineRule="auto"/>
        <w:ind w:leftChars="0"/>
        <w:jc w:val="center"/>
        <w:textAlignment w:val="auto"/>
        <w:rPr>
          <w:rFonts w:hint="default"/>
          <w:lang w:val="en-US" w:eastAsia="zh-CN"/>
        </w:rPr>
      </w:pPr>
      <w:r>
        <w:rPr>
          <w:rFonts w:hint="default"/>
          <w:lang w:val="en-US" w:eastAsia="zh-CN"/>
        </w:rPr>
        <w:t>Abstract</w:t>
      </w:r>
    </w:p>
    <w:p w14:paraId="25468181">
      <w:pPr>
        <w:pStyle w:val="2"/>
        <w:pageBreakBefore w:val="0"/>
        <w:kinsoku/>
        <w:wordWrap/>
        <w:overflowPunct/>
        <w:topLinePunct w:val="0"/>
        <w:autoSpaceDE/>
        <w:autoSpaceDN/>
        <w:bidi w:val="0"/>
        <w:adjustRightInd/>
        <w:spacing w:beforeAutospacing="0" w:afterAutospacing="0" w:line="360" w:lineRule="auto"/>
        <w:ind w:left="425" w:leftChars="0" w:hanging="425" w:firstLineChars="0"/>
        <w:jc w:val="both"/>
        <w:textAlignment w:val="auto"/>
        <w:rPr>
          <w:rFonts w:hint="default"/>
          <w:lang w:val="en-US" w:eastAsia="zh-CN"/>
        </w:rPr>
      </w:pPr>
      <w:r>
        <w:rPr>
          <w:rFonts w:hint="eastAsia"/>
          <w:lang w:val="en-US" w:eastAsia="zh-CN"/>
        </w:rPr>
        <w:t>引言</w:t>
      </w:r>
    </w:p>
    <w:p w14:paraId="10176C5D">
      <w:pPr>
        <w:pStyle w:val="3"/>
        <w:pageBreakBefore w:val="0"/>
        <w:kinsoku/>
        <w:wordWrap/>
        <w:overflowPunct/>
        <w:topLinePunct w:val="0"/>
        <w:autoSpaceDE/>
        <w:autoSpaceDN/>
        <w:bidi w:val="0"/>
        <w:adjustRightInd/>
        <w:spacing w:beforeAutospacing="0" w:afterAutospacing="0" w:line="360" w:lineRule="auto"/>
        <w:textAlignment w:val="auto"/>
        <w:rPr>
          <w:rFonts w:hint="eastAsia"/>
          <w:lang w:val="en-US" w:eastAsia="zh-CN"/>
        </w:rPr>
      </w:pPr>
      <w:r>
        <w:rPr>
          <w:rFonts w:hint="eastAsia"/>
          <w:lang w:val="en-US" w:eastAsia="zh-CN"/>
        </w:rPr>
        <w:t>研究背景及意义</w:t>
      </w:r>
    </w:p>
    <w:p w14:paraId="46205AEB">
      <w:pPr>
        <w:pageBreakBefore w:val="0"/>
        <w:kinsoku/>
        <w:wordWrap/>
        <w:overflowPunct/>
        <w:topLinePunct w:val="0"/>
        <w:autoSpaceDE/>
        <w:autoSpaceDN/>
        <w:bidi w:val="0"/>
        <w:adjustRightInd/>
        <w:spacing w:beforeAutospacing="0" w:afterAutospacing="0" w:line="360" w:lineRule="auto"/>
        <w:ind w:firstLine="480"/>
        <w:textAlignment w:val="auto"/>
      </w:pPr>
      <w:r>
        <w:rPr>
          <w:rFonts w:hint="eastAsia"/>
        </w:rPr>
        <w:t>药物研发是一个复杂且漫长的过程，面临着诸多挑战。其中，高成本、长周期和低成功率是最为突出的问题。对于</w:t>
      </w:r>
      <w:r>
        <w:t>药物</w:t>
      </w:r>
      <w:r>
        <w:rPr>
          <w:rFonts w:hint="eastAsia"/>
        </w:rPr>
        <w:t>分子</w:t>
      </w:r>
      <w:r>
        <w:t>的发现与优化，实质上是围绕“分子—性质—功能”三元关系的高强度迭代：给定一个候选分子，需要在极其广阔的化学空间中快速、可靠地推断其理化、生物活性与安全性属性（如溶解度、渗透性、代谢稳定性、毒性、结合/抑制活性等），以决定是否继续合成、筛选与优化。传统药物化学依赖实验驱动的高通量筛选与定向合成，这些流程耗时、昂贵且试错率高。如何在“湿实验”发生前，利用计算方法快速预测分子性质、缩小搜索空间，已成为现代药物研发的关键抓手之一。Therapeutics Data Commons（TDC）将性质预测定义为小分子在体内的吸收、分布、代谢、排泄与毒性相关指标的机器学习建模任务，这些指标直接关系到药效与安全窗，是候选药物能否走到临床前/临床阶段的“硬门槛”。</w:t>
      </w:r>
    </w:p>
    <w:p w14:paraId="13A38E77">
      <w:pPr>
        <w:pageBreakBefore w:val="0"/>
        <w:kinsoku/>
        <w:wordWrap/>
        <w:overflowPunct/>
        <w:topLinePunct w:val="0"/>
        <w:autoSpaceDE/>
        <w:autoSpaceDN/>
        <w:bidi w:val="0"/>
        <w:adjustRightInd/>
        <w:spacing w:beforeAutospacing="0" w:afterAutospacing="0" w:line="360" w:lineRule="auto"/>
        <w:ind w:firstLine="480"/>
        <w:textAlignment w:val="auto"/>
        <w:rPr>
          <w:b/>
        </w:rPr>
      </w:pPr>
      <w:r>
        <w:rPr>
          <w:rStyle w:val="19"/>
          <w:rFonts w:ascii="宋体" w:hAnsi="宋体"/>
          <w:b w:val="0"/>
          <w:bCs/>
        </w:rPr>
        <w:t>机器学习的兴起</w:t>
      </w:r>
      <w:r>
        <w:t>显著改变了分子性质预测的范式。早期QSAR/QSPR方法依赖人工构建的分子描述符与指纹；近年来，深度学习可以端到端地从序列（SMILES/SELFIES）、图结构（原子为点、键为边）乃至三维几何构象中自动学习表征。MoleculeNe</w:t>
      </w:r>
      <w:r>
        <w:rPr>
          <w:rFonts w:hint="eastAsia"/>
        </w:rPr>
        <w:t>t</w:t>
      </w:r>
      <w:r>
        <w:fldChar w:fldCharType="begin"/>
      </w:r>
      <w:r>
        <w:instrText xml:space="preserve"> </w:instrText>
      </w:r>
      <w:r>
        <w:rPr>
          <w:rFonts w:hint="eastAsia"/>
        </w:rPr>
        <w:instrText xml:space="preserve">REF _Ref209798639 \r \h</w:instrText>
      </w:r>
      <w:r>
        <w:instrText xml:space="preserve"> </w:instrText>
      </w:r>
      <w:r>
        <w:fldChar w:fldCharType="separate"/>
      </w:r>
      <w:r>
        <w:t>[1]</w:t>
      </w:r>
      <w:r>
        <w:fldChar w:fldCharType="end"/>
      </w:r>
      <w:r>
        <w:t>的提出，系统整合了多种公开数据集与评价指标，推动了可比性的算法评测，也明确了数据稀疏、类别不平衡、物理约束融入不足等难题。</w:t>
      </w:r>
    </w:p>
    <w:p w14:paraId="3D8C958F">
      <w:pPr>
        <w:pageBreakBefore w:val="0"/>
        <w:kinsoku/>
        <w:wordWrap/>
        <w:overflowPunct/>
        <w:topLinePunct w:val="0"/>
        <w:autoSpaceDE/>
        <w:autoSpaceDN/>
        <w:bidi w:val="0"/>
        <w:adjustRightInd/>
        <w:spacing w:beforeAutospacing="0" w:afterAutospacing="0" w:line="360" w:lineRule="auto"/>
        <w:ind w:firstLine="480"/>
        <w:textAlignment w:val="auto"/>
        <w:rPr>
          <w:rFonts w:hint="eastAsia"/>
        </w:rPr>
      </w:pPr>
      <w:r>
        <w:t>在模型形态上，图神经网络（GNN）</w:t>
      </w:r>
      <w:r>
        <w:fldChar w:fldCharType="begin"/>
      </w:r>
      <w:r>
        <w:instrText xml:space="preserve"> REF _Ref209798908 \r \h </w:instrText>
      </w:r>
      <w:r>
        <w:fldChar w:fldCharType="separate"/>
      </w:r>
      <w:r>
        <w:t>[3]</w:t>
      </w:r>
      <w:r>
        <w:fldChar w:fldCharType="end"/>
      </w:r>
      <w:r>
        <w:t>成为分子图学习的主力；其后，Graph</w:t>
      </w:r>
      <w:r>
        <w:rPr>
          <w:rFonts w:hint="eastAsia"/>
        </w:rPr>
        <w:t xml:space="preserve"> </w:t>
      </w:r>
      <w:r>
        <w:rPr>
          <w:rStyle w:val="19"/>
          <w:b w:val="0"/>
          <w:bCs/>
        </w:rPr>
        <w:t>Transformer</w:t>
      </w:r>
      <w:r>
        <w:rPr>
          <w:rStyle w:val="19"/>
          <w:b w:val="0"/>
          <w:bCs/>
        </w:rPr>
        <w:fldChar w:fldCharType="begin"/>
      </w:r>
      <w:r>
        <w:rPr>
          <w:rStyle w:val="19"/>
          <w:b w:val="0"/>
          <w:bCs/>
        </w:rPr>
        <w:instrText xml:space="preserve"> REF _Ref209798994 \r \h </w:instrText>
      </w:r>
      <w:r>
        <w:rPr>
          <w:rStyle w:val="19"/>
          <w:b w:val="0"/>
          <w:bCs/>
        </w:rPr>
        <w:fldChar w:fldCharType="separate"/>
      </w:r>
      <w:r>
        <w:rPr>
          <w:rStyle w:val="19"/>
          <w:b w:val="0"/>
          <w:bCs/>
        </w:rPr>
        <w:t>[4]</w:t>
      </w:r>
      <w:r>
        <w:rPr>
          <w:rStyle w:val="19"/>
          <w:b w:val="0"/>
          <w:bCs/>
        </w:rPr>
        <w:fldChar w:fldCharType="end"/>
      </w:r>
      <w:r>
        <w:t>与</w:t>
      </w:r>
      <w:r>
        <w:rPr>
          <w:rStyle w:val="19"/>
          <w:b w:val="0"/>
          <w:bCs/>
        </w:rPr>
        <w:t>等变网络</w:t>
      </w:r>
      <w:r>
        <w:t>（SE(3)-Equivariant Transformers）</w:t>
      </w:r>
      <w:r>
        <w:fldChar w:fldCharType="begin"/>
      </w:r>
      <w:r>
        <w:instrText xml:space="preserve"> REF _Ref209799120 \r \h </w:instrText>
      </w:r>
      <w:r>
        <w:fldChar w:fldCharType="separate"/>
      </w:r>
      <w:r>
        <w:t>[5]</w:t>
      </w:r>
      <w:r>
        <w:fldChar w:fldCharType="end"/>
      </w:r>
      <w:r>
        <w:t>进一步拉高了上限。例如Graphormer</w:t>
      </w:r>
      <w:r>
        <w:fldChar w:fldCharType="begin"/>
      </w:r>
      <w:r>
        <w:instrText xml:space="preserve"> REF _Ref209799135 \r \h </w:instrText>
      </w:r>
      <w:r>
        <w:fldChar w:fldCharType="separate"/>
      </w:r>
      <w:r>
        <w:t>[6]</w:t>
      </w:r>
      <w:r>
        <w:fldChar w:fldCharType="end"/>
      </w:r>
      <w:r>
        <w:t>在大规模分子性质任务上展现出强竞争力，并探索了面向3D建模的适配；而</w:t>
      </w:r>
      <w:r>
        <w:rPr>
          <w:rStyle w:val="19"/>
          <w:b w:val="0"/>
          <w:bCs/>
        </w:rPr>
        <w:t>Uni-Mol</w:t>
      </w:r>
      <w:r>
        <w:rPr>
          <w:rStyle w:val="19"/>
          <w:b w:val="0"/>
          <w:bCs/>
        </w:rPr>
        <w:fldChar w:fldCharType="begin"/>
      </w:r>
      <w:r>
        <w:rPr>
          <w:rStyle w:val="19"/>
          <w:b w:val="0"/>
          <w:bCs/>
        </w:rPr>
        <w:instrText xml:space="preserve"> REF _Ref209799332 \r \h </w:instrText>
      </w:r>
      <w:r>
        <w:rPr>
          <w:rStyle w:val="19"/>
          <w:b w:val="0"/>
          <w:bCs/>
        </w:rPr>
        <w:fldChar w:fldCharType="separate"/>
      </w:r>
      <w:r>
        <w:rPr>
          <w:rStyle w:val="19"/>
          <w:b w:val="0"/>
          <w:bCs/>
        </w:rPr>
        <w:t>[7]</w:t>
      </w:r>
      <w:r>
        <w:rPr>
          <w:rStyle w:val="19"/>
          <w:b w:val="0"/>
          <w:bCs/>
        </w:rPr>
        <w:fldChar w:fldCharType="end"/>
      </w:r>
      <w:r>
        <w:t>则以2.09亿三维分子构象与300万蛋白口袋数据进行预训练，显著扩展了下游任务适用性与表征能力，代表了“分子基础模型”的重要方向。2024年开始，面向分子图的基础模型（如MolE</w:t>
      </w:r>
      <w:r>
        <w:fldChar w:fldCharType="begin"/>
      </w:r>
      <w:r>
        <w:instrText xml:space="preserve"> REF _Ref209799418 \r \h </w:instrText>
      </w:r>
      <w:r>
        <w:fldChar w:fldCharType="separate"/>
      </w:r>
      <w:r>
        <w:t>[8]</w:t>
      </w:r>
      <w:r>
        <w:fldChar w:fldCharType="end"/>
      </w:r>
      <w:r>
        <w:t>）进一步强调可迁移性与通用性，凸显“预训练—微调”在化学空间的有效性</w:t>
      </w:r>
      <w:r>
        <w:rPr>
          <w:rFonts w:hint="eastAsia"/>
        </w:rPr>
        <w:t>。</w:t>
      </w:r>
    </w:p>
    <w:p w14:paraId="2D97B3DD">
      <w:pPr>
        <w:pageBreakBefore w:val="0"/>
        <w:kinsoku/>
        <w:wordWrap/>
        <w:overflowPunct/>
        <w:topLinePunct w:val="0"/>
        <w:autoSpaceDE/>
        <w:autoSpaceDN/>
        <w:bidi w:val="0"/>
        <w:adjustRightInd/>
        <w:spacing w:beforeAutospacing="0" w:afterAutospacing="0" w:line="360" w:lineRule="auto"/>
        <w:ind w:firstLine="480"/>
        <w:textAlignment w:val="auto"/>
      </w:pPr>
      <w:r>
        <w:rPr>
          <w:rStyle w:val="19"/>
          <w:rFonts w:ascii="宋体" w:hAnsi="宋体" w:cs="宋体"/>
          <w:b w:val="0"/>
          <w:bCs/>
        </w:rPr>
        <w:t>单一模态的表达难以穷尽分子的多尺度、多物理、多语义特征</w:t>
      </w:r>
      <w:r>
        <w:rPr>
          <w:rFonts w:cs="宋体"/>
          <w:b/>
          <w:bCs/>
        </w:rPr>
        <w:t>，</w:t>
      </w:r>
      <w:r>
        <w:rPr>
          <w:rFonts w:cs="宋体"/>
        </w:rPr>
        <w:t>在跨数据集泛化、模态缺失鲁棒与可解释审计方面均存在短板</w:t>
      </w:r>
      <w:r>
        <w:rPr>
          <w:rFonts w:hint="eastAsia" w:cs="宋体"/>
        </w:rPr>
        <w:t>。</w:t>
      </w:r>
      <w:r>
        <w:br w:type="textWrapping"/>
      </w:r>
      <w:r>
        <w:t>1）</w:t>
      </w:r>
      <w:r>
        <w:rPr>
          <w:rStyle w:val="19"/>
          <w:b w:val="0"/>
          <w:bCs/>
        </w:rPr>
        <w:t>模态表达互补性</w:t>
      </w:r>
      <w:r>
        <w:t>：序列便于规模化预训练但丢失几何约束；2D图反映键连拓扑却难显式捕获立体构型；3D几何提供构象级信息但对数据获取、等变建模提出挑战。</w:t>
      </w:r>
      <w:r>
        <w:br w:type="textWrapping"/>
      </w:r>
      <w:r>
        <w:t>2）</w:t>
      </w:r>
      <w:r>
        <w:rPr>
          <w:rStyle w:val="19"/>
          <w:b w:val="0"/>
          <w:bCs/>
        </w:rPr>
        <w:t>任务域迁移与模态缺失</w:t>
      </w:r>
      <w:r>
        <w:t>：下游场景中常缺乏某些辅助模态（如文本描述、谱图、蛋白口袋），导致“训练—推理模态不一致”。</w:t>
      </w:r>
      <w:r>
        <w:br w:type="textWrapping"/>
      </w:r>
      <w:r>
        <w:t>3）</w:t>
      </w:r>
      <w:r>
        <w:rPr>
          <w:rStyle w:val="19"/>
          <w:b w:val="0"/>
          <w:bCs/>
        </w:rPr>
        <w:t>数据质量与评测体系</w:t>
      </w:r>
      <w:r>
        <w:t>：不同实验条件/平台带来的标签噪声与域偏移，给模型泛化带来挑战；即便MoleculeNet带来了统一起点，仍有研究指出当前基准在构造、划分与现实贴合度上存在改进空间，需要更贴近真实药研流程的评测方案与拆分策略。</w:t>
      </w:r>
    </w:p>
    <w:p w14:paraId="218F2754">
      <w:pPr>
        <w:pageBreakBefore w:val="0"/>
        <w:kinsoku/>
        <w:wordWrap/>
        <w:overflowPunct/>
        <w:topLinePunct w:val="0"/>
        <w:autoSpaceDE/>
        <w:autoSpaceDN/>
        <w:bidi w:val="0"/>
        <w:adjustRightInd/>
        <w:spacing w:beforeAutospacing="0" w:afterAutospacing="0" w:line="360" w:lineRule="auto"/>
        <w:ind w:firstLine="480"/>
        <w:textAlignment w:val="auto"/>
      </w:pPr>
      <w:r>
        <w:t>为缓解上述问题，近</w:t>
      </w:r>
      <w:r>
        <w:rPr>
          <w:rFonts w:hint="eastAsia"/>
        </w:rPr>
        <w:t>些年来，有些</w:t>
      </w:r>
      <w:r>
        <w:t>研究沿两条主线推进：</w:t>
      </w:r>
    </w:p>
    <w:p w14:paraId="4CEFE05D">
      <w:pPr>
        <w:pageBreakBefore w:val="0"/>
        <w:kinsoku/>
        <w:wordWrap/>
        <w:overflowPunct/>
        <w:topLinePunct w:val="0"/>
        <w:autoSpaceDE/>
        <w:autoSpaceDN/>
        <w:bidi w:val="0"/>
        <w:adjustRightInd/>
        <w:spacing w:beforeAutospacing="0" w:afterAutospacing="0" w:line="360" w:lineRule="auto"/>
        <w:ind w:firstLine="480"/>
        <w:textAlignment w:val="auto"/>
      </w:pPr>
      <w:r>
        <w:t>多模态融合：将序列、2D图与3D几何</w:t>
      </w:r>
      <w:r>
        <w:rPr>
          <w:rFonts w:hint="eastAsia"/>
        </w:rPr>
        <w:t>、</w:t>
      </w:r>
      <w:r>
        <w:t>甚至谱学、性质文本、知识图谱进行联合表示学习，以获取更全面的分子刻画。SGGRL</w:t>
      </w:r>
      <w:r>
        <w:fldChar w:fldCharType="begin"/>
      </w:r>
      <w:r>
        <w:instrText xml:space="preserve"> REF _Ref209799621 \r \h </w:instrText>
      </w:r>
      <w:r>
        <w:fldChar w:fldCharType="separate"/>
      </w:r>
      <w:r>
        <w:t>[9]</w:t>
      </w:r>
      <w:r>
        <w:fldChar w:fldCharType="end"/>
      </w:r>
      <w:r>
        <w:t>即在融合层中对多模态表示进行统一，并通过对比学习实现“同分子跨模态一致、异分子可分”的目标；而</w:t>
      </w:r>
      <w:r>
        <w:rPr>
          <w:rFonts w:hint="eastAsia"/>
        </w:rPr>
        <w:t>MolFPG</w:t>
      </w:r>
      <w:r>
        <w:fldChar w:fldCharType="begin"/>
      </w:r>
      <w:r>
        <w:instrText xml:space="preserve"> </w:instrText>
      </w:r>
      <w:r>
        <w:rPr>
          <w:rFonts w:hint="eastAsia"/>
        </w:rPr>
        <w:instrText xml:space="preserve">REF _Ref209951133 \r \h</w:instrText>
      </w:r>
      <w:r>
        <w:instrText xml:space="preserve"> </w:instrText>
      </w:r>
      <w:r>
        <w:fldChar w:fldCharType="separate"/>
      </w:r>
      <w:r>
        <w:t>[10]</w:t>
      </w:r>
      <w:r>
        <w:fldChar w:fldCharType="end"/>
      </w:r>
      <w:r>
        <w:t>进一步将指纹、图、三维构象结合，引入自适应注意力与对抗式对比学习来提升鲁棒性与可解释性。</w:t>
      </w:r>
    </w:p>
    <w:p w14:paraId="599518B8">
      <w:pPr>
        <w:pageBreakBefore w:val="0"/>
        <w:kinsoku/>
        <w:wordWrap/>
        <w:overflowPunct/>
        <w:topLinePunct w:val="0"/>
        <w:autoSpaceDE/>
        <w:autoSpaceDN/>
        <w:bidi w:val="0"/>
        <w:adjustRightInd/>
        <w:spacing w:beforeAutospacing="0" w:afterAutospacing="0" w:line="360" w:lineRule="auto"/>
        <w:ind w:firstLine="480"/>
        <w:textAlignment w:val="auto"/>
        <w:rPr>
          <w:rFonts w:hint="eastAsia"/>
        </w:rPr>
      </w:pPr>
      <w:r>
        <w:t>知识增强与文本信号：MolPrompt</w:t>
      </w:r>
      <w:r>
        <w:fldChar w:fldCharType="begin"/>
      </w:r>
      <w:r>
        <w:instrText xml:space="preserve"> REF _Ref209951224 \r \h </w:instrText>
      </w:r>
      <w:r>
        <w:fldChar w:fldCharType="separate"/>
      </w:r>
      <w:r>
        <w:t>[11]</w:t>
      </w:r>
      <w:r>
        <w:fldChar w:fldCharType="end"/>
      </w:r>
      <w:r>
        <w:t>用图编码器（Graphormer）与文本编码器（BERT</w:t>
      </w:r>
      <w:r>
        <w:fldChar w:fldCharType="begin"/>
      </w:r>
      <w:r>
        <w:instrText xml:space="preserve"> REF _Ref209951395 \r \h </w:instrText>
      </w:r>
      <w:r>
        <w:fldChar w:fldCharType="separate"/>
      </w:r>
      <w:r>
        <w:t>[12]</w:t>
      </w:r>
      <w:r>
        <w:fldChar w:fldCharType="end"/>
      </w:r>
      <w:r>
        <w:t>）双塔对比，关键在于把理化描述符转写为“知识提示”并注入图侧，引导结构—知识的对齐，使模型更好地理解“结构—性质”的规律并提升可迁移性</w:t>
      </w:r>
      <w:r>
        <w:rPr>
          <w:rFonts w:hint="eastAsia"/>
        </w:rPr>
        <w:t>。</w:t>
      </w:r>
      <w:r>
        <w:t>与此同时，</w:t>
      </w:r>
      <w:r>
        <w:rPr>
          <w:rStyle w:val="19"/>
          <w:b w:val="0"/>
          <w:bCs/>
        </w:rPr>
        <w:t>GNN范式</w:t>
      </w:r>
      <w:r>
        <w:t>仍在快速演化，例如面向“最短链路传讯”的chain-aware GNN</w:t>
      </w:r>
      <w:r>
        <w:fldChar w:fldCharType="begin"/>
      </w:r>
      <w:r>
        <w:instrText xml:space="preserve"> REF _Ref209951506 \r \h </w:instrText>
      </w:r>
      <w:r>
        <w:fldChar w:fldCharType="separate"/>
      </w:r>
      <w:r>
        <w:t>[13]</w:t>
      </w:r>
      <w:r>
        <w:fldChar w:fldCharType="end"/>
      </w:r>
      <w:r>
        <w:t>、可解释性与参数效率并重的KA-GNN</w:t>
      </w:r>
      <w:r>
        <w:fldChar w:fldCharType="begin"/>
      </w:r>
      <w:r>
        <w:instrText xml:space="preserve"> REF _Ref209951522 \r \h </w:instrText>
      </w:r>
      <w:r>
        <w:fldChar w:fldCharType="separate"/>
      </w:r>
      <w:r>
        <w:t>[14]</w:t>
      </w:r>
      <w:r>
        <w:fldChar w:fldCharType="end"/>
      </w:r>
      <w:r>
        <w:t>等，体现出在几何学习、长程依赖与可解释方面的持续改良。</w:t>
      </w:r>
    </w:p>
    <w:p w14:paraId="7876C008">
      <w:pPr>
        <w:pageBreakBefore w:val="0"/>
        <w:kinsoku/>
        <w:wordWrap/>
        <w:overflowPunct/>
        <w:topLinePunct w:val="0"/>
        <w:autoSpaceDE/>
        <w:autoSpaceDN/>
        <w:bidi w:val="0"/>
        <w:adjustRightInd/>
        <w:spacing w:beforeAutospacing="0" w:afterAutospacing="0" w:line="360" w:lineRule="auto"/>
        <w:ind w:firstLine="480"/>
        <w:textAlignment w:val="auto"/>
      </w:pPr>
      <w:r>
        <w:t>综上，分子性质预测正从“单一模态与任务定制模型”加速迈向“多模态、知识增强与基础模型”的阶段：既追求准确率/鲁棒性提升，也强调可解释性、迁移性与现实可用性。</w:t>
      </w:r>
    </w:p>
    <w:p w14:paraId="0D64043A">
      <w:pPr>
        <w:pageBreakBefore w:val="0"/>
        <w:numPr>
          <w:ilvl w:val="0"/>
          <w:numId w:val="0"/>
        </w:numPr>
        <w:kinsoku/>
        <w:wordWrap/>
        <w:overflowPunct/>
        <w:topLinePunct w:val="0"/>
        <w:autoSpaceDE/>
        <w:autoSpaceDN/>
        <w:bidi w:val="0"/>
        <w:adjustRightInd/>
        <w:spacing w:beforeAutospacing="0" w:afterAutospacing="0" w:line="360" w:lineRule="auto"/>
        <w:ind w:leftChars="0"/>
        <w:textAlignment w:val="auto"/>
      </w:pPr>
      <w:r>
        <w:t>多模态预训练与跨模态对齐，有望把“序列法则—拓扑约束—三维物理”与“理化知识—文本先验”纳入统一表征空间，缩短“结构—性质”的语义鸿沟，为“化学语言学—图几何—物理先验”的综合建模提供路径。Uni-Mol</w:t>
      </w:r>
      <w:r>
        <w:fldChar w:fldCharType="begin"/>
      </w:r>
      <w:r>
        <w:instrText xml:space="preserve"> REF _Ref209951676 \r \h </w:instrText>
      </w:r>
      <w:r>
        <w:fldChar w:fldCharType="separate"/>
      </w:r>
      <w:r>
        <w:t>[15]</w:t>
      </w:r>
      <w:r>
        <w:fldChar w:fldCharType="end"/>
      </w:r>
      <w:r>
        <w:t>、MolE</w:t>
      </w:r>
      <w:r>
        <w:fldChar w:fldCharType="begin"/>
      </w:r>
      <w:r>
        <w:instrText xml:space="preserve"> REF _Ref209951740 \r \h </w:instrText>
      </w:r>
      <w:r>
        <w:fldChar w:fldCharType="separate"/>
      </w:r>
      <w:r>
        <w:t>[16]</w:t>
      </w:r>
      <w:r>
        <w:fldChar w:fldCharType="end"/>
      </w:r>
      <w:r>
        <w:t>等工作表明，一旦预训练语料与任务谱系足够广，模型对陌生化学子空间具备更强的可迁移性，这对于探索“暗化学空间”尤为关键。</w:t>
      </w:r>
      <w:r>
        <w:rPr>
          <w:rFonts w:hint="eastAsia"/>
        </w:rPr>
        <w:t>并且</w:t>
      </w:r>
      <w:r>
        <w:t>仅依赖统计相关性的黑箱模型难以经受药学验证。通过引入3D构象、等变约束、能量/相互作用先验与药理知识文本提示，模型可在一定程度上朝“结构—相互作用—性质”的</w:t>
      </w:r>
      <w:r>
        <w:rPr>
          <w:rStyle w:val="19"/>
          <w:b w:val="0"/>
          <w:bCs/>
        </w:rPr>
        <w:t>机制一致性</w:t>
      </w:r>
      <w:r>
        <w:t>逼近，提升外推能力与解释力。Graphormer适配3D建模、等变Transformer</w:t>
      </w:r>
      <w:r>
        <w:fldChar w:fldCharType="begin"/>
      </w:r>
      <w:r>
        <w:instrText xml:space="preserve"> REF _Ref209951814 \r \h </w:instrText>
      </w:r>
      <w:r>
        <w:fldChar w:fldCharType="separate"/>
      </w:r>
      <w:r>
        <w:t>[17]</w:t>
      </w:r>
      <w:r>
        <w:fldChar w:fldCharType="end"/>
      </w:r>
      <w:r>
        <w:t>实践以及知识提示注入，某种程度上都体现了“物理/知识一致性”的趋势。</w:t>
      </w:r>
      <w:r>
        <w:rPr>
          <w:rFonts w:hint="eastAsia"/>
        </w:rPr>
        <w:t>在基准数据集上，</w:t>
      </w:r>
      <w:r>
        <w:t>MoleculeNet奠定了评测基础，但也暴露了与真实流程的差距。围绕更合理的数据拆分（基于Murcko scaffold、时序拆分等）、更贴近研发生命线的指标组合（多任务、多目标权衡）、更严谨的统计检验，学界与业界正形成共识。对基准的持续打磨不仅防止“过拟合基准”，也将指引模型走向真正可用。</w:t>
      </w:r>
    </w:p>
    <w:p w14:paraId="48E58DF1">
      <w:pPr>
        <w:pStyle w:val="3"/>
        <w:pageBreakBefore w:val="0"/>
        <w:kinsoku/>
        <w:wordWrap/>
        <w:overflowPunct/>
        <w:topLinePunct w:val="0"/>
        <w:autoSpaceDE/>
        <w:autoSpaceDN/>
        <w:bidi w:val="0"/>
        <w:adjustRightInd/>
        <w:spacing w:beforeAutospacing="0" w:afterAutospacing="0" w:line="360" w:lineRule="auto"/>
        <w:ind w:left="567" w:leftChars="0" w:hanging="567" w:firstLineChars="0"/>
        <w:textAlignment w:val="auto"/>
        <w:rPr>
          <w:rFonts w:hint="default"/>
          <w:lang w:val="en-US" w:eastAsia="zh-CN"/>
        </w:rPr>
      </w:pPr>
      <w:r>
        <w:rPr>
          <w:rFonts w:hint="eastAsia"/>
          <w:lang w:val="en-US" w:eastAsia="zh-CN"/>
        </w:rPr>
        <w:t>国内外研究现状</w:t>
      </w:r>
    </w:p>
    <w:p w14:paraId="56844CE6">
      <w:pPr>
        <w:keepNext w:val="0"/>
        <w:keepLines w:val="0"/>
        <w:pageBreakBefore w:val="0"/>
        <w:widowControl w:val="0"/>
        <w:kinsoku/>
        <w:wordWrap/>
        <w:overflowPunct/>
        <w:topLinePunct w:val="0"/>
        <w:autoSpaceDE/>
        <w:autoSpaceDN/>
        <w:bidi w:val="0"/>
        <w:adjustRightInd/>
        <w:snapToGrid/>
        <w:spacing w:beforeAutospacing="0" w:afterAutospacing="0" w:line="360" w:lineRule="auto"/>
        <w:textAlignment w:val="auto"/>
        <w:rPr>
          <w:rFonts w:hint="eastAsia"/>
          <w:lang w:val="en-US" w:eastAsia="zh-CN"/>
        </w:rPr>
      </w:pPr>
      <w:r>
        <w:rPr>
          <w:rFonts w:hint="eastAsia"/>
          <w:lang w:val="en-US" w:eastAsia="zh-CN"/>
        </w:rPr>
        <w:t>这厮国内外现状这厮国内外现状这厮国内外现状这厮国内外现状这厮国内外现状这厮国内外现状。</w:t>
      </w:r>
    </w:p>
    <w:p w14:paraId="66A45F2E">
      <w:pPr>
        <w:pStyle w:val="3"/>
        <w:pageBreakBefore w:val="0"/>
        <w:kinsoku/>
        <w:wordWrap/>
        <w:overflowPunct/>
        <w:topLinePunct w:val="0"/>
        <w:autoSpaceDE/>
        <w:autoSpaceDN/>
        <w:bidi w:val="0"/>
        <w:adjustRightInd/>
        <w:spacing w:beforeAutospacing="0" w:afterAutospacing="0" w:line="360" w:lineRule="auto"/>
        <w:ind w:left="567" w:leftChars="0" w:hanging="567" w:firstLineChars="0"/>
        <w:textAlignment w:val="auto"/>
        <w:rPr>
          <w:rFonts w:hint="eastAsia"/>
          <w:lang w:val="en-US" w:eastAsia="zh-CN"/>
        </w:rPr>
      </w:pPr>
      <w:r>
        <w:rPr>
          <w:rFonts w:hint="eastAsia"/>
          <w:lang w:val="en-US" w:eastAsia="zh-CN"/>
        </w:rPr>
        <w:t>主要研究内容</w:t>
      </w:r>
    </w:p>
    <w:p w14:paraId="43E463B2">
      <w:pPr>
        <w:keepNext w:val="0"/>
        <w:keepLines w:val="0"/>
        <w:pageBreakBefore w:val="0"/>
        <w:widowControl w:val="0"/>
        <w:kinsoku/>
        <w:wordWrap/>
        <w:overflowPunct/>
        <w:topLinePunct w:val="0"/>
        <w:autoSpaceDE/>
        <w:autoSpaceDN/>
        <w:bidi w:val="0"/>
        <w:adjustRightInd/>
        <w:snapToGrid/>
        <w:spacing w:beforeAutospacing="0" w:afterAutospacing="0" w:line="360" w:lineRule="auto"/>
        <w:textAlignment w:val="auto"/>
        <w:rPr>
          <w:rFonts w:hint="eastAsia"/>
          <w:lang w:val="en-US" w:eastAsia="zh-CN"/>
        </w:rPr>
      </w:pPr>
      <w:r>
        <w:rPr>
          <w:rFonts w:hint="eastAsia"/>
          <w:lang w:val="en-US" w:eastAsia="zh-CN"/>
        </w:rPr>
        <w:t>这厮国内外现状这厮国内外现状这厮国内外现状这厮国内外现状这厮国内外现状这厮国内外现状。</w:t>
      </w:r>
    </w:p>
    <w:p w14:paraId="6E0F7636">
      <w:pPr>
        <w:pStyle w:val="3"/>
        <w:pageBreakBefore w:val="0"/>
        <w:kinsoku/>
        <w:wordWrap/>
        <w:overflowPunct/>
        <w:topLinePunct w:val="0"/>
        <w:autoSpaceDE/>
        <w:autoSpaceDN/>
        <w:bidi w:val="0"/>
        <w:adjustRightInd/>
        <w:spacing w:beforeAutospacing="0" w:afterAutospacing="0" w:line="360" w:lineRule="auto"/>
        <w:ind w:left="567" w:leftChars="0" w:hanging="567" w:firstLineChars="0"/>
        <w:textAlignment w:val="auto"/>
        <w:rPr>
          <w:rFonts w:hint="default"/>
          <w:lang w:val="en-US" w:eastAsia="zh-CN"/>
        </w:rPr>
      </w:pPr>
      <w:r>
        <w:rPr>
          <w:rFonts w:hint="eastAsia"/>
          <w:lang w:val="en-US" w:eastAsia="zh-CN"/>
        </w:rPr>
        <w:t>本文组织架构</w:t>
      </w:r>
    </w:p>
    <w:p w14:paraId="17FC1B27">
      <w:pPr>
        <w:keepNext w:val="0"/>
        <w:keepLines w:val="0"/>
        <w:pageBreakBefore w:val="0"/>
        <w:widowControl w:val="0"/>
        <w:kinsoku/>
        <w:wordWrap/>
        <w:overflowPunct/>
        <w:topLinePunct w:val="0"/>
        <w:autoSpaceDE/>
        <w:autoSpaceDN/>
        <w:bidi w:val="0"/>
        <w:adjustRightInd/>
        <w:snapToGrid/>
        <w:spacing w:beforeAutospacing="0" w:afterAutospacing="0" w:line="360" w:lineRule="auto"/>
        <w:textAlignment w:val="auto"/>
        <w:rPr>
          <w:rFonts w:hint="default"/>
          <w:lang w:val="en-US" w:eastAsia="zh-CN"/>
        </w:rPr>
      </w:pPr>
      <w:r>
        <w:rPr>
          <w:rFonts w:hint="eastAsia"/>
          <w:lang w:val="en-US" w:eastAsia="zh-CN"/>
        </w:rPr>
        <w:t>这厮国内外现状这厮国内外现状这厮国内外现状这厮国内外现状这厮国内外现状这厮国内外现状。</w:t>
      </w:r>
    </w:p>
    <w:p w14:paraId="55C3B04A">
      <w:pPr>
        <w:pStyle w:val="2"/>
        <w:pageBreakBefore w:val="0"/>
        <w:kinsoku/>
        <w:wordWrap/>
        <w:overflowPunct/>
        <w:topLinePunct w:val="0"/>
        <w:autoSpaceDE/>
        <w:autoSpaceDN/>
        <w:bidi w:val="0"/>
        <w:adjustRightInd/>
        <w:spacing w:beforeAutospacing="0" w:afterAutospacing="0" w:line="360" w:lineRule="auto"/>
        <w:ind w:left="425" w:leftChars="0" w:hanging="425" w:firstLineChars="0"/>
        <w:textAlignment w:val="auto"/>
        <w:rPr>
          <w:rFonts w:hint="default"/>
          <w:lang w:val="en-US" w:eastAsia="zh-CN"/>
        </w:rPr>
      </w:pPr>
      <w:r>
        <w:rPr>
          <w:rFonts w:hint="eastAsia"/>
          <w:lang w:val="en-US" w:eastAsia="zh-CN"/>
        </w:rPr>
        <w:t>相关理论基础</w:t>
      </w:r>
    </w:p>
    <w:p w14:paraId="69DBF46E">
      <w:pPr>
        <w:pStyle w:val="3"/>
        <w:pageBreakBefore w:val="0"/>
        <w:kinsoku/>
        <w:wordWrap/>
        <w:overflowPunct/>
        <w:topLinePunct w:val="0"/>
        <w:autoSpaceDE/>
        <w:autoSpaceDN/>
        <w:bidi w:val="0"/>
        <w:adjustRightInd/>
        <w:spacing w:beforeAutospacing="0" w:afterAutospacing="0" w:line="360" w:lineRule="auto"/>
        <w:ind w:left="567" w:leftChars="0" w:hanging="567" w:firstLineChars="0"/>
        <w:textAlignment w:val="auto"/>
        <w:rPr>
          <w:rFonts w:hint="default"/>
          <w:lang w:val="en-US" w:eastAsia="zh-CN"/>
        </w:rPr>
      </w:pPr>
      <w:r>
        <w:rPr>
          <w:rFonts w:hint="eastAsia"/>
          <w:lang w:val="en-US" w:eastAsia="zh-CN"/>
        </w:rPr>
        <w:t>多模态数据语义对齐</w:t>
      </w:r>
    </w:p>
    <w:p w14:paraId="49245498">
      <w:pPr>
        <w:keepNext w:val="0"/>
        <w:keepLines w:val="0"/>
        <w:pageBreakBefore w:val="0"/>
        <w:widowControl w:val="0"/>
        <w:kinsoku/>
        <w:wordWrap/>
        <w:overflowPunct/>
        <w:topLinePunct w:val="0"/>
        <w:autoSpaceDE/>
        <w:autoSpaceDN/>
        <w:bidi w:val="0"/>
        <w:adjustRightInd/>
        <w:snapToGrid/>
        <w:spacing w:beforeAutospacing="0" w:afterAutospacing="0" w:line="360" w:lineRule="auto"/>
        <w:textAlignment w:val="auto"/>
        <w:rPr>
          <w:rFonts w:hint="eastAsia"/>
          <w:lang w:val="en-US" w:eastAsia="zh-CN"/>
        </w:rPr>
      </w:pPr>
      <w:r>
        <w:rPr>
          <w:rFonts w:hint="eastAsia"/>
          <w:lang w:val="en-US" w:eastAsia="zh-CN"/>
        </w:rPr>
        <w:t>这厮国内外现状这厮国内外现状这厮国内外现状这厮国内外现状这厮国内外现状这厮国内外现状</w:t>
      </w:r>
    </w:p>
    <w:p w14:paraId="34CE5D4E">
      <w:pPr>
        <w:pStyle w:val="3"/>
        <w:pageBreakBefore w:val="0"/>
        <w:kinsoku/>
        <w:wordWrap/>
        <w:overflowPunct/>
        <w:topLinePunct w:val="0"/>
        <w:autoSpaceDE/>
        <w:autoSpaceDN/>
        <w:bidi w:val="0"/>
        <w:adjustRightInd/>
        <w:spacing w:beforeAutospacing="0" w:afterAutospacing="0" w:line="360" w:lineRule="auto"/>
        <w:ind w:left="567" w:leftChars="0" w:hanging="567" w:firstLineChars="0"/>
        <w:textAlignment w:val="auto"/>
        <w:rPr>
          <w:rFonts w:hint="default"/>
          <w:lang w:val="en-US" w:eastAsia="zh-CN"/>
        </w:rPr>
      </w:pPr>
      <w:r>
        <w:rPr>
          <w:rFonts w:hint="eastAsia"/>
          <w:lang w:val="en-US" w:eastAsia="zh-CN"/>
        </w:rPr>
        <w:t>图神经网络</w:t>
      </w:r>
    </w:p>
    <w:p w14:paraId="245B08E2">
      <w:pPr>
        <w:pStyle w:val="3"/>
        <w:bidi w:val="0"/>
        <w:rPr>
          <w:rFonts w:hint="default"/>
          <w:lang w:val="en-US" w:eastAsia="zh-CN"/>
        </w:rPr>
      </w:pPr>
      <w:r>
        <w:rPr>
          <w:rFonts w:hint="eastAsia"/>
          <w:lang w:val="en-US" w:eastAsia="zh-CN"/>
        </w:rPr>
        <w:t>消息传递协议</w:t>
      </w:r>
    </w:p>
    <w:p w14:paraId="49F8392A">
      <w:pPr>
        <w:pStyle w:val="3"/>
        <w:pageBreakBefore w:val="0"/>
        <w:kinsoku/>
        <w:wordWrap/>
        <w:overflowPunct/>
        <w:topLinePunct w:val="0"/>
        <w:autoSpaceDE/>
        <w:autoSpaceDN/>
        <w:bidi w:val="0"/>
        <w:adjustRightInd/>
        <w:spacing w:beforeAutospacing="0" w:afterAutospacing="0" w:line="360" w:lineRule="auto"/>
        <w:ind w:left="567" w:leftChars="0" w:hanging="567" w:firstLineChars="0"/>
        <w:textAlignment w:val="auto"/>
        <w:rPr>
          <w:rFonts w:hint="default"/>
          <w:lang w:val="en-US" w:eastAsia="zh-CN"/>
        </w:rPr>
      </w:pPr>
      <w:r>
        <w:rPr>
          <w:rFonts w:hint="eastAsia"/>
          <w:lang w:val="en-US" w:eastAsia="zh-CN"/>
        </w:rPr>
        <w:t>提示词工程</w:t>
      </w:r>
    </w:p>
    <w:p w14:paraId="744ADB0E">
      <w:pPr>
        <w:keepNext w:val="0"/>
        <w:keepLines w:val="0"/>
        <w:pageBreakBefore w:val="0"/>
        <w:widowControl w:val="0"/>
        <w:kinsoku/>
        <w:wordWrap/>
        <w:overflowPunct/>
        <w:topLinePunct w:val="0"/>
        <w:autoSpaceDE/>
        <w:autoSpaceDN/>
        <w:bidi w:val="0"/>
        <w:adjustRightInd/>
        <w:snapToGrid/>
        <w:spacing w:beforeAutospacing="0" w:afterAutospacing="0" w:line="360" w:lineRule="auto"/>
        <w:textAlignment w:val="auto"/>
        <w:rPr>
          <w:rFonts w:hint="default"/>
          <w:lang w:val="en-US" w:eastAsia="zh-CN"/>
        </w:rPr>
      </w:pPr>
      <w:r>
        <w:rPr>
          <w:rFonts w:hint="eastAsia"/>
          <w:lang w:val="en-US" w:eastAsia="zh-CN"/>
        </w:rPr>
        <w:t>这厮国内外现状这厮国内外现状这厮国内外现状这厮国内外现状这厮国内外现状这厮国内外现状</w:t>
      </w:r>
    </w:p>
    <w:p w14:paraId="5A840ED7">
      <w:pPr>
        <w:pStyle w:val="2"/>
        <w:bidi w:val="0"/>
        <w:rPr>
          <w:rFonts w:hint="eastAsia"/>
          <w:lang w:val="en-US" w:eastAsia="zh-CN"/>
        </w:rPr>
      </w:pPr>
      <w:r>
        <w:rPr>
          <w:rFonts w:hint="eastAsia"/>
          <w:lang w:val="en-US" w:eastAsia="zh-CN"/>
        </w:rPr>
        <w:t>基于思维链增强与交叉依赖图融合的分子性质预测方法</w:t>
      </w:r>
    </w:p>
    <w:p w14:paraId="61B6AE7E">
      <w:pPr>
        <w:pStyle w:val="3"/>
        <w:bidi w:val="0"/>
        <w:rPr>
          <w:rFonts w:hint="default"/>
          <w:lang w:val="en-US" w:eastAsia="zh-CN"/>
        </w:rPr>
      </w:pPr>
      <w:r>
        <w:rPr>
          <w:rFonts w:hint="eastAsia"/>
          <w:lang w:val="en-US" w:eastAsia="zh-CN"/>
        </w:rPr>
        <w:t>模型设计与描述</w:t>
      </w:r>
    </w:p>
    <w:p w14:paraId="68DD33CA">
      <w:pPr>
        <w:pStyle w:val="4"/>
        <w:bidi w:val="0"/>
        <w:rPr>
          <w:rFonts w:hint="default"/>
          <w:lang w:val="en-US" w:eastAsia="zh-CN"/>
        </w:rPr>
      </w:pPr>
      <w:r>
        <w:rPr>
          <w:rFonts w:hint="eastAsia"/>
          <w:lang w:val="en-US" w:eastAsia="zh-CN"/>
        </w:rPr>
        <w:t>CoT-MMP模型架构概述</w:t>
      </w:r>
    </w:p>
    <w:p w14:paraId="3DF5D0E5">
      <w:pPr>
        <w:bidi w:val="0"/>
        <w:rPr>
          <w:rFonts w:hint="default"/>
          <w:lang w:val="en-US" w:eastAsia="zh-CN"/>
        </w:rPr>
      </w:pPr>
      <w:r>
        <w:rPr>
          <w:rFonts w:hint="default"/>
          <w:lang w:val="en-US" w:eastAsia="zh-CN"/>
        </w:rPr>
        <w:t>针对 ADMET（吸收、分布、代谢、排泄、毒性）分子性质预测任务中存在的结构特征与语义逻辑之间的异构性挑战，本章提出了一种全新的端到端预测框架——基于思维链增强与交叉依赖图融合的分子性质预测模型（Knowledge-enhanced Graph Anchor Multimodal Alignment, KGAMA）。该框架的核心设计理念在于打破传统单一模态在信息表达上的局限性，通过构建“语义推理”与“拓扑交互”的双视角并行编码机制，实现对药物分子全方位特征的精准捕获。</w:t>
      </w:r>
    </w:p>
    <w:p w14:paraId="538CAA29">
      <w:pPr>
        <w:bidi w:val="0"/>
        <w:rPr>
          <w:rFonts w:hint="default"/>
          <w:lang w:val="en-US" w:eastAsia="zh-CN"/>
        </w:rPr>
      </w:pPr>
    </w:p>
    <w:p w14:paraId="4195FE81">
      <w:pPr>
        <w:bidi w:val="0"/>
        <w:rPr>
          <w:rFonts w:hint="eastAsia"/>
          <w:lang w:val="en-US" w:eastAsia="zh-CN"/>
        </w:rPr>
      </w:pPr>
      <w:r>
        <w:rPr>
          <w:rFonts w:hint="default"/>
          <w:lang w:val="en-US" w:eastAsia="zh-CN"/>
        </w:rPr>
        <w:t>具体而言，KGAMA 框架摒弃了传统的“预训练-微调”范式，转而采用更具针对性的下游任务直接微调策略，以适应 ADMET 数据集样本量少但领域特异性强的特点。如图 3-1 所示，模型的整体拓扑结构由三条核心处理链路耦合而成：首先是基于思维链（Chain-of-Thought, CoT）的大语言模型文本编码链路，该模块利用 LLaMA-3.1-8B 强大的广义知识库与逻辑推理能力，将分子的 SMILES 序列转化为蕴含丰富药理规则的显式推理文本，并通过低秩自适应（LoRA）技术提取高维语义特征；其次是交叉依赖多视图图编码链路，该模块引入了改进型的 CD-MVGNN 网络，突破了传统图神经网络仅关注原子节点更新而忽视化学键独立语义的瓶颈，通过构建原子中心视图与边中心视图的交叉依赖消息传递机制，捕捉分子内部深层的原子-键相互作用；最后是多模态交叉注意力融合链路，该模块以图表征为锚点，动态聚合文本推理特征，最终通过多层感知机实现对分子性质的高精度预测。这种设计不仅赋予了模型强大的预测能力，更通过思维链的生成显著提升了模型决策过程的可解释性</w:t>
      </w:r>
      <w:r>
        <w:rPr>
          <w:rFonts w:hint="eastAsia"/>
          <w:lang w:val="en-US" w:eastAsia="zh-CN"/>
        </w:rPr>
        <w:t>。</w:t>
      </w:r>
    </w:p>
    <w:p w14:paraId="0057F760">
      <w:pPr>
        <w:pStyle w:val="4"/>
        <w:bidi w:val="0"/>
        <w:rPr>
          <w:rFonts w:hint="default"/>
          <w:lang w:val="en-US" w:eastAsia="zh-CN"/>
        </w:rPr>
      </w:pPr>
      <w:r>
        <w:rPr>
          <w:rFonts w:ascii="宋体" w:hAnsi="宋体" w:eastAsia="宋体" w:cs="宋体"/>
          <w:sz w:val="24"/>
          <w:szCs w:val="24"/>
        </w:rPr>
        <w:t>基于思维链的大模型文本编码器</w:t>
      </w:r>
    </w:p>
    <w:p w14:paraId="34A126C5">
      <w:pPr>
        <w:rPr>
          <w:rFonts w:hint="default"/>
          <w:lang w:val="en-US" w:eastAsia="zh-CN"/>
        </w:rPr>
      </w:pPr>
      <w:r>
        <w:rPr>
          <w:rFonts w:hint="default"/>
          <w:lang w:val="en-US" w:eastAsia="zh-CN"/>
        </w:rPr>
        <w:t>在药物分子性质预测中，传统的文本编码方式往往仅将 SMILES 字符串视为无语义的符号序列，难以挖掘其中隐含的构效关系逻辑。为了解决这一问题，本研究引入了思维链（Chain-of-Thought, CoT）技术，旨在模拟药物化学家在分析分子时的逐步推理过程</w:t>
      </w:r>
      <w:r>
        <w:rPr>
          <w:rFonts w:hint="eastAsia"/>
          <w:lang w:val="en-US" w:eastAsia="zh-CN"/>
        </w:rPr>
        <w:t>，以便能够让模型输出更加合理的可解释性的推理结果</w:t>
      </w:r>
      <w:r>
        <w:rPr>
          <w:rFonts w:hint="default"/>
          <w:lang w:val="en-US" w:eastAsia="zh-CN"/>
        </w:rPr>
        <w:t>。文本编码器的首要任务是构建高质量的提示词工程。我们不再直接要求模型输出预测结果，而是设计了一种包含“分子描述+任务指令+推理引导”的复合提示模板。具体来说，输入的 SMILES 序列首先被转化为自然语言描述，并结合“Let's think step by step”的引导指令输入至大语言模型中。这一过程能够激发大模型内部潜藏的化学知识，使其自发地从分子量、氢键供受体数量、旋转键数等理化性质出发，逐步推导其对特定 ADMET 性质（如血脑屏障通透性或心脏毒性）的影响，最终生成一段逻辑严密的推理文本 。</w:t>
      </w:r>
    </w:p>
    <w:p w14:paraId="3A6746EA">
      <w:pPr>
        <w:rPr>
          <w:rFonts w:hint="default"/>
          <w:lang w:val="en-US" w:eastAsia="zh-CN"/>
        </w:rPr>
      </w:pPr>
      <w:r>
        <w:rPr>
          <w:rFonts w:hint="default"/>
          <w:lang w:val="en-US" w:eastAsia="zh-CN"/>
        </w:rPr>
        <w:t>在模型选择上，本研究选用了具有 80 亿参数的 LLaMA-3.1 模型作为文本编码的主干网络。鉴于全参数微调大模型对计算资源的需求极高且容易在小样本的 ADMET 数据集上发生过拟合，我们采用了低秩自适应（LoRA）微调策略 。LoRA 技术通过在预训练模型的每一层注入可训练的低秩分解矩阵，在保持预训练权重冻结的前提下，仅更新极少量的附加参数。这种方法不仅大幅降低了显存开销，更重要的是，它允许模型在保留通用化学知识的同时，能够快速适配下游特定的分子性质预测任务。生成的思维链文本与原始分子描述经过 LLaMA 模型的多层 Transformer 处理后，提取出最终的隐藏层状态作为分子的文本语义表征向量。这一表征不仅包含了分子的静态属性，更融合了动态的药理推理逻辑，为后续的多模态融合提供了高密度的语义信息补充。</w:t>
      </w:r>
    </w:p>
    <w:p w14:paraId="408A4960">
      <w:pPr>
        <w:pStyle w:val="4"/>
        <w:bidi w:val="0"/>
        <w:rPr>
          <w:rFonts w:hint="default"/>
          <w:lang w:val="en-US" w:eastAsia="zh-CN"/>
        </w:rPr>
      </w:pPr>
      <w:r>
        <w:rPr>
          <w:rFonts w:hint="default"/>
          <w:lang w:val="en-US" w:eastAsia="zh-CN"/>
        </w:rPr>
        <w:t>交叉依赖多视图图编码器</w:t>
      </w:r>
    </w:p>
    <w:p w14:paraId="011010FB">
      <w:pPr>
        <w:rPr>
          <w:rFonts w:hint="default"/>
          <w:lang w:val="en-US" w:eastAsia="zh-CN"/>
        </w:rPr>
      </w:pPr>
      <w:r>
        <w:rPr>
          <w:rFonts w:hint="default"/>
          <w:lang w:val="en-US" w:eastAsia="zh-CN"/>
        </w:rPr>
        <w:t>虽然大语言模型在语义推理方面表现出色，但其对分子微观拓扑结构的感知能力相对较弱。为了弥补这一短板，本研究设计了交叉依赖多视图图神经网络（Cross-Dependent Multi-View Graph Neural Network, CD-MVGNN）作为图编码器，以替代传统的 AttentiveFP 或 MPNN 模型 。传统的图神经网络通常采用“原子中心（Node-Central）”的消息传递机制，即将化学键仅作为边缘属性进行聚合，这在一定程度上忽略了化学键作为独立实体在决定分子性质（如共轭效应、键能稳定性）中的关键作用 。</w:t>
      </w:r>
    </w:p>
    <w:p w14:paraId="6AD4D49C">
      <w:pPr>
        <w:rPr>
          <w:rFonts w:hint="default"/>
          <w:lang w:val="en-US" w:eastAsia="zh-CN"/>
        </w:rPr>
      </w:pPr>
      <w:r>
        <w:rPr>
          <w:rFonts w:hint="default"/>
          <w:lang w:val="en-US" w:eastAsia="zh-CN"/>
        </w:rPr>
        <w:t>CD-MVGNN 编码器创新性地构建了两个并行的视图处理通道：原子视图通道与化学键视图通道。在消息传递的每一次迭代过程中，模型引入了交叉依赖机制 。具体而言，原子状态的更新不仅依赖于其邻居原子的特征，还强制依赖于连接这些原子的化学键的最新状态表征；反之，化学键状态的更新也必须融合其所连接原子的最新特征信息。这种双向的、交叉的信息流动机制，使得模型能够模拟出“原子性质改变导致化学键极化”以及“化学键类型决定原子局部环境”的动</w:t>
      </w:r>
      <w:bookmarkStart w:id="0" w:name="_GoBack"/>
      <w:bookmarkEnd w:id="0"/>
      <w:r>
        <w:rPr>
          <w:rFonts w:hint="default"/>
          <w:lang w:val="en-US" w:eastAsia="zh-CN"/>
        </w:rPr>
        <w:t>态交互过程，从而捕捉到更为细腻的分子拓扑特征。为了获得图级别的全局表征，我们并未采用简单的平均池化，而是引入了自注意力读出（Self-Attentive Readout）机制 。该机制能够根据下游任务的需求，自动为图中的关键药效团（如苯环、羟基等）分配更高的注意力权重，最终聚合成一个具有高度结构保真度的图表征向量。这一向量将作为后续多模态融合过程中的“语义锚点”，引导文本模态与之对齐。</w:t>
      </w:r>
    </w:p>
    <w:p w14:paraId="68748C6B">
      <w:pPr>
        <w:pStyle w:val="4"/>
        <w:bidi w:val="0"/>
        <w:rPr>
          <w:rFonts w:hint="default"/>
          <w:lang w:val="en-US" w:eastAsia="zh-CN"/>
        </w:rPr>
      </w:pPr>
      <w:r>
        <w:t>多模态交叉融合与预测模块</w:t>
      </w:r>
    </w:p>
    <w:p w14:paraId="4DDA8B19">
      <w:pPr>
        <w:rPr>
          <w:rFonts w:hint="default"/>
          <w:lang w:val="en-US" w:eastAsia="zh-CN"/>
        </w:rPr>
      </w:pPr>
      <w:r>
        <w:rPr>
          <w:rFonts w:hint="default"/>
          <w:lang w:val="en-US" w:eastAsia="zh-CN"/>
        </w:rPr>
        <w:t>在获取了包含显式推理逻辑的文本表征与包含深层拓扑结构的图表征后，如何将这两股异构信息进行有效融合是决定预测性能的关键。简单的特征拼接（Concatenation）往往忽略了不同模态特征之间的语义鸿沟，难以实现深度的信息交互。因此，本研究设计了一个基于交叉注意力（Cross-Attention）机制的融合模块 。在该模块中，我们选取物理意义更为明确、结构更为稳定的图表征向量作为查询向量（Query），而将包含丰富语义推理信息的文本表征向量作为键向量（Key）和值向量（Value）。</w:t>
      </w:r>
    </w:p>
    <w:p w14:paraId="7C91856F">
      <w:pPr>
        <w:rPr>
          <w:rFonts w:hint="default"/>
          <w:lang w:val="en-US" w:eastAsia="zh-CN"/>
        </w:rPr>
      </w:pPr>
    </w:p>
    <w:p w14:paraId="1D464A3D">
      <w:pPr>
        <w:rPr>
          <w:rFonts w:hint="default"/>
          <w:lang w:val="en-US" w:eastAsia="zh-CN"/>
        </w:rPr>
      </w:pPr>
      <w:r>
        <w:rPr>
          <w:rFonts w:hint="default"/>
          <w:lang w:val="en-US" w:eastAsia="zh-CN"/>
        </w:rPr>
        <w:t>通过这种设计，模型能够以分子的拓扑结构为索引，在文本推理空间中动态检索与之匹配的药理逻辑描述。交叉注意力机制会计算图特征与文本特征之间的相关性分数，并据此对文本信息进行加权聚合。这意味着，对于某些依赖特定官能团的性质（如毒性），模型会更加关注图结构中对应的子结构特征；而对于某些依赖整体理化性质的属性（如溶解度），模型则会从文本模态中提取更多的推理信息。经过交叉注意力融合后的特征向量，不仅保留了分子的结构骨架，还融入了专家的推理逻辑。最后，该融合向量被输入至一个由多层全连接网络构成的预测头（Prediction Head）中。针对 ADMET 数据集中的不同任务类型，预测头分别输出分类任务的概率值或回归任务的实数值，从而实现端到端的分子性质预测。</w:t>
      </w:r>
    </w:p>
    <w:p w14:paraId="1AB40FA9">
      <w:pPr>
        <w:bidi w:val="0"/>
        <w:ind w:left="420" w:leftChars="0"/>
        <w:rPr>
          <w:rFonts w:hint="default"/>
          <w:lang w:val="en-US" w:eastAsia="zh-CN"/>
        </w:rPr>
      </w:pPr>
    </w:p>
    <w:p w14:paraId="23D3353C">
      <w:pPr>
        <w:rPr>
          <w:rFonts w:hint="default"/>
          <w:lang w:val="en-US" w:eastAsia="zh-CN"/>
        </w:rPr>
      </w:pPr>
    </w:p>
    <w:p w14:paraId="36ADE4C2">
      <w:pPr>
        <w:rPr>
          <w:rFonts w:hint="default"/>
          <w:lang w:val="en-US" w:eastAsia="zh-CN"/>
        </w:rPr>
      </w:pPr>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65"/>
        <w:gridCol w:w="1411"/>
        <w:gridCol w:w="1411"/>
        <w:gridCol w:w="1411"/>
        <w:gridCol w:w="1412"/>
        <w:gridCol w:w="1412"/>
      </w:tblGrid>
      <w:tr w14:paraId="074C5D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5" w:type="dxa"/>
          </w:tcPr>
          <w:p w14:paraId="596AAEBC">
            <w:pPr>
              <w:ind w:left="0" w:leftChars="0" w:firstLine="0" w:firstLineChars="0"/>
              <w:rPr>
                <w:rFonts w:hint="eastAsia"/>
                <w:vertAlign w:val="baseline"/>
                <w:lang w:val="en-US" w:eastAsia="zh-CN"/>
              </w:rPr>
            </w:pPr>
            <w:r>
              <w:rPr>
                <w:rFonts w:hint="eastAsia"/>
                <w:vertAlign w:val="baseline"/>
                <w:lang w:val="en-US" w:eastAsia="zh-CN"/>
              </w:rPr>
              <w:t>Solubility</w:t>
            </w:r>
          </w:p>
        </w:tc>
        <w:tc>
          <w:tcPr>
            <w:tcW w:w="1411" w:type="dxa"/>
          </w:tcPr>
          <w:p w14:paraId="4247DFFF">
            <w:pPr>
              <w:rPr>
                <w:rFonts w:hint="default"/>
                <w:vertAlign w:val="baseline"/>
                <w:lang w:val="en-US" w:eastAsia="zh-CN"/>
              </w:rPr>
            </w:pPr>
          </w:p>
        </w:tc>
        <w:tc>
          <w:tcPr>
            <w:tcW w:w="1411" w:type="dxa"/>
          </w:tcPr>
          <w:p w14:paraId="31131863">
            <w:pPr>
              <w:rPr>
                <w:rFonts w:hint="default"/>
                <w:vertAlign w:val="baseline"/>
                <w:lang w:val="en-US" w:eastAsia="zh-CN"/>
              </w:rPr>
            </w:pPr>
          </w:p>
        </w:tc>
        <w:tc>
          <w:tcPr>
            <w:tcW w:w="1411" w:type="dxa"/>
          </w:tcPr>
          <w:p w14:paraId="6B9B9BBC">
            <w:pPr>
              <w:rPr>
                <w:rFonts w:hint="default"/>
                <w:vertAlign w:val="baseline"/>
                <w:lang w:val="en-US" w:eastAsia="zh-CN"/>
              </w:rPr>
            </w:pPr>
          </w:p>
        </w:tc>
        <w:tc>
          <w:tcPr>
            <w:tcW w:w="1412" w:type="dxa"/>
          </w:tcPr>
          <w:p w14:paraId="07D0E4E1">
            <w:pPr>
              <w:rPr>
                <w:rFonts w:hint="default"/>
                <w:vertAlign w:val="baseline"/>
                <w:lang w:val="en-US" w:eastAsia="zh-CN"/>
              </w:rPr>
            </w:pPr>
          </w:p>
        </w:tc>
        <w:tc>
          <w:tcPr>
            <w:tcW w:w="1412" w:type="dxa"/>
          </w:tcPr>
          <w:p w14:paraId="61FF7857">
            <w:pPr>
              <w:rPr>
                <w:rFonts w:hint="default"/>
                <w:vertAlign w:val="baseline"/>
                <w:lang w:val="en-US" w:eastAsia="zh-CN"/>
              </w:rPr>
            </w:pPr>
          </w:p>
        </w:tc>
      </w:tr>
      <w:tr w14:paraId="120D24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5" w:type="dxa"/>
          </w:tcPr>
          <w:p w14:paraId="3544FF3C">
            <w:pPr>
              <w:ind w:left="0" w:leftChars="0" w:firstLine="0" w:firstLineChars="0"/>
              <w:rPr>
                <w:rFonts w:hint="eastAsia"/>
                <w:vertAlign w:val="baseline"/>
                <w:lang w:val="en-US" w:eastAsia="zh-CN"/>
              </w:rPr>
            </w:pPr>
            <w:r>
              <w:rPr>
                <w:rFonts w:hint="eastAsia"/>
                <w:vertAlign w:val="baseline"/>
                <w:lang w:val="en-US" w:eastAsia="zh-CN"/>
              </w:rPr>
              <w:t>PPBR</w:t>
            </w:r>
          </w:p>
        </w:tc>
        <w:tc>
          <w:tcPr>
            <w:tcW w:w="1411" w:type="dxa"/>
          </w:tcPr>
          <w:p w14:paraId="208D1346">
            <w:pPr>
              <w:rPr>
                <w:rFonts w:hint="default"/>
                <w:vertAlign w:val="baseline"/>
                <w:lang w:val="en-US" w:eastAsia="zh-CN"/>
              </w:rPr>
            </w:pPr>
          </w:p>
        </w:tc>
        <w:tc>
          <w:tcPr>
            <w:tcW w:w="1411" w:type="dxa"/>
          </w:tcPr>
          <w:p w14:paraId="3DCD98C2">
            <w:pPr>
              <w:rPr>
                <w:rFonts w:hint="default"/>
                <w:vertAlign w:val="baseline"/>
                <w:lang w:val="en-US" w:eastAsia="zh-CN"/>
              </w:rPr>
            </w:pPr>
          </w:p>
        </w:tc>
        <w:tc>
          <w:tcPr>
            <w:tcW w:w="1411" w:type="dxa"/>
          </w:tcPr>
          <w:p w14:paraId="46EB1C44">
            <w:pPr>
              <w:rPr>
                <w:rFonts w:hint="default"/>
                <w:vertAlign w:val="baseline"/>
                <w:lang w:val="en-US" w:eastAsia="zh-CN"/>
              </w:rPr>
            </w:pPr>
          </w:p>
        </w:tc>
        <w:tc>
          <w:tcPr>
            <w:tcW w:w="1412" w:type="dxa"/>
          </w:tcPr>
          <w:p w14:paraId="5B69758F">
            <w:pPr>
              <w:rPr>
                <w:rFonts w:hint="default"/>
                <w:vertAlign w:val="baseline"/>
                <w:lang w:val="en-US" w:eastAsia="zh-CN"/>
              </w:rPr>
            </w:pPr>
          </w:p>
        </w:tc>
        <w:tc>
          <w:tcPr>
            <w:tcW w:w="1412" w:type="dxa"/>
          </w:tcPr>
          <w:p w14:paraId="0A67F0AC">
            <w:pPr>
              <w:rPr>
                <w:rFonts w:hint="default"/>
                <w:vertAlign w:val="baseline"/>
                <w:lang w:val="en-US" w:eastAsia="zh-CN"/>
              </w:rPr>
            </w:pPr>
          </w:p>
        </w:tc>
      </w:tr>
      <w:tr w14:paraId="6FBFAC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5" w:type="dxa"/>
          </w:tcPr>
          <w:p w14:paraId="1CACDF07">
            <w:pPr>
              <w:ind w:left="0" w:leftChars="0" w:firstLine="0" w:firstLineChars="0"/>
              <w:rPr>
                <w:rFonts w:hint="eastAsia"/>
                <w:vertAlign w:val="baseline"/>
                <w:lang w:val="en-US" w:eastAsia="zh-CN"/>
              </w:rPr>
            </w:pPr>
            <w:r>
              <w:rPr>
                <w:rFonts w:hint="eastAsia"/>
                <w:vertAlign w:val="baseline"/>
                <w:lang w:val="en-US" w:eastAsia="zh-CN"/>
              </w:rPr>
              <w:t>LD50</w:t>
            </w:r>
          </w:p>
        </w:tc>
        <w:tc>
          <w:tcPr>
            <w:tcW w:w="1411" w:type="dxa"/>
          </w:tcPr>
          <w:p w14:paraId="11E59B90">
            <w:pPr>
              <w:rPr>
                <w:rFonts w:hint="default"/>
                <w:vertAlign w:val="baseline"/>
                <w:lang w:val="en-US" w:eastAsia="zh-CN"/>
              </w:rPr>
            </w:pPr>
          </w:p>
        </w:tc>
        <w:tc>
          <w:tcPr>
            <w:tcW w:w="1411" w:type="dxa"/>
          </w:tcPr>
          <w:p w14:paraId="3500EA39">
            <w:pPr>
              <w:rPr>
                <w:rFonts w:hint="default"/>
                <w:vertAlign w:val="baseline"/>
                <w:lang w:val="en-US" w:eastAsia="zh-CN"/>
              </w:rPr>
            </w:pPr>
          </w:p>
        </w:tc>
        <w:tc>
          <w:tcPr>
            <w:tcW w:w="1411" w:type="dxa"/>
          </w:tcPr>
          <w:p w14:paraId="2F4A200F">
            <w:pPr>
              <w:rPr>
                <w:rFonts w:hint="default"/>
                <w:vertAlign w:val="baseline"/>
                <w:lang w:val="en-US" w:eastAsia="zh-CN"/>
              </w:rPr>
            </w:pPr>
          </w:p>
        </w:tc>
        <w:tc>
          <w:tcPr>
            <w:tcW w:w="1412" w:type="dxa"/>
          </w:tcPr>
          <w:p w14:paraId="5566F505">
            <w:pPr>
              <w:rPr>
                <w:rFonts w:hint="default"/>
                <w:vertAlign w:val="baseline"/>
                <w:lang w:val="en-US" w:eastAsia="zh-CN"/>
              </w:rPr>
            </w:pPr>
          </w:p>
        </w:tc>
        <w:tc>
          <w:tcPr>
            <w:tcW w:w="1412" w:type="dxa"/>
          </w:tcPr>
          <w:p w14:paraId="62B98A7C">
            <w:pPr>
              <w:rPr>
                <w:rFonts w:hint="default"/>
                <w:vertAlign w:val="baseline"/>
                <w:lang w:val="en-US" w:eastAsia="zh-CN"/>
              </w:rPr>
            </w:pPr>
          </w:p>
        </w:tc>
      </w:tr>
      <w:tr w14:paraId="12A776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5" w:type="dxa"/>
          </w:tcPr>
          <w:p w14:paraId="03D05337">
            <w:pPr>
              <w:ind w:left="0" w:leftChars="0" w:firstLine="0" w:firstLineChars="0"/>
              <w:rPr>
                <w:rFonts w:hint="eastAsia"/>
                <w:vertAlign w:val="baseline"/>
                <w:lang w:val="en-US" w:eastAsia="zh-CN"/>
              </w:rPr>
            </w:pPr>
            <w:r>
              <w:rPr>
                <w:rFonts w:hint="eastAsia"/>
                <w:vertAlign w:val="baseline"/>
                <w:lang w:val="en-US" w:eastAsia="zh-CN"/>
              </w:rPr>
              <w:t>HIA</w:t>
            </w:r>
          </w:p>
        </w:tc>
        <w:tc>
          <w:tcPr>
            <w:tcW w:w="1411" w:type="dxa"/>
          </w:tcPr>
          <w:p w14:paraId="5A9D130E">
            <w:pPr>
              <w:rPr>
                <w:rFonts w:hint="default"/>
                <w:vertAlign w:val="baseline"/>
                <w:lang w:val="en-US" w:eastAsia="zh-CN"/>
              </w:rPr>
            </w:pPr>
          </w:p>
        </w:tc>
        <w:tc>
          <w:tcPr>
            <w:tcW w:w="1411" w:type="dxa"/>
          </w:tcPr>
          <w:p w14:paraId="6CC587C6">
            <w:pPr>
              <w:rPr>
                <w:rFonts w:hint="default"/>
                <w:vertAlign w:val="baseline"/>
                <w:lang w:val="en-US" w:eastAsia="zh-CN"/>
              </w:rPr>
            </w:pPr>
          </w:p>
        </w:tc>
        <w:tc>
          <w:tcPr>
            <w:tcW w:w="1411" w:type="dxa"/>
          </w:tcPr>
          <w:p w14:paraId="327E3784">
            <w:pPr>
              <w:rPr>
                <w:rFonts w:hint="default"/>
                <w:vertAlign w:val="baseline"/>
                <w:lang w:val="en-US" w:eastAsia="zh-CN"/>
              </w:rPr>
            </w:pPr>
          </w:p>
        </w:tc>
        <w:tc>
          <w:tcPr>
            <w:tcW w:w="1412" w:type="dxa"/>
          </w:tcPr>
          <w:p w14:paraId="18A82BAF">
            <w:pPr>
              <w:rPr>
                <w:rFonts w:hint="default"/>
                <w:vertAlign w:val="baseline"/>
                <w:lang w:val="en-US" w:eastAsia="zh-CN"/>
              </w:rPr>
            </w:pPr>
          </w:p>
        </w:tc>
        <w:tc>
          <w:tcPr>
            <w:tcW w:w="1412" w:type="dxa"/>
          </w:tcPr>
          <w:p w14:paraId="1A861152">
            <w:pPr>
              <w:rPr>
                <w:rFonts w:hint="default"/>
                <w:vertAlign w:val="baseline"/>
                <w:lang w:val="en-US" w:eastAsia="zh-CN"/>
              </w:rPr>
            </w:pPr>
          </w:p>
        </w:tc>
      </w:tr>
      <w:tr w14:paraId="588348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5" w:type="dxa"/>
          </w:tcPr>
          <w:p w14:paraId="61D3D744">
            <w:pPr>
              <w:ind w:left="0" w:leftChars="0" w:firstLine="0" w:firstLineChars="0"/>
              <w:rPr>
                <w:rFonts w:hint="eastAsia"/>
                <w:vertAlign w:val="baseline"/>
                <w:lang w:val="en-US" w:eastAsia="zh-CN"/>
              </w:rPr>
            </w:pPr>
            <w:r>
              <w:rPr>
                <w:rFonts w:hint="eastAsia"/>
                <w:vertAlign w:val="baseline"/>
                <w:lang w:val="en-US" w:eastAsia="zh-CN"/>
              </w:rPr>
              <w:t>Pgp</w:t>
            </w:r>
          </w:p>
        </w:tc>
        <w:tc>
          <w:tcPr>
            <w:tcW w:w="1411" w:type="dxa"/>
          </w:tcPr>
          <w:p w14:paraId="226F528B">
            <w:pPr>
              <w:rPr>
                <w:rFonts w:hint="default"/>
                <w:vertAlign w:val="baseline"/>
                <w:lang w:val="en-US" w:eastAsia="zh-CN"/>
              </w:rPr>
            </w:pPr>
          </w:p>
        </w:tc>
        <w:tc>
          <w:tcPr>
            <w:tcW w:w="1411" w:type="dxa"/>
          </w:tcPr>
          <w:p w14:paraId="0BB3A47A">
            <w:pPr>
              <w:rPr>
                <w:rFonts w:hint="default"/>
                <w:vertAlign w:val="baseline"/>
                <w:lang w:val="en-US" w:eastAsia="zh-CN"/>
              </w:rPr>
            </w:pPr>
          </w:p>
        </w:tc>
        <w:tc>
          <w:tcPr>
            <w:tcW w:w="1411" w:type="dxa"/>
          </w:tcPr>
          <w:p w14:paraId="2B28D8DE">
            <w:pPr>
              <w:rPr>
                <w:rFonts w:hint="default"/>
                <w:vertAlign w:val="baseline"/>
                <w:lang w:val="en-US" w:eastAsia="zh-CN"/>
              </w:rPr>
            </w:pPr>
          </w:p>
        </w:tc>
        <w:tc>
          <w:tcPr>
            <w:tcW w:w="1412" w:type="dxa"/>
          </w:tcPr>
          <w:p w14:paraId="1DCB693C">
            <w:pPr>
              <w:rPr>
                <w:rFonts w:hint="default"/>
                <w:vertAlign w:val="baseline"/>
                <w:lang w:val="en-US" w:eastAsia="zh-CN"/>
              </w:rPr>
            </w:pPr>
          </w:p>
        </w:tc>
        <w:tc>
          <w:tcPr>
            <w:tcW w:w="1412" w:type="dxa"/>
          </w:tcPr>
          <w:p w14:paraId="6DF33078">
            <w:pPr>
              <w:rPr>
                <w:rFonts w:hint="default"/>
                <w:vertAlign w:val="baseline"/>
                <w:lang w:val="en-US" w:eastAsia="zh-CN"/>
              </w:rPr>
            </w:pPr>
          </w:p>
        </w:tc>
      </w:tr>
      <w:tr w14:paraId="7F57BD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5" w:type="dxa"/>
          </w:tcPr>
          <w:p w14:paraId="653375ED">
            <w:pPr>
              <w:ind w:left="0" w:leftChars="0" w:firstLine="0" w:firstLineChars="0"/>
              <w:rPr>
                <w:rFonts w:hint="eastAsia"/>
                <w:vertAlign w:val="baseline"/>
                <w:lang w:val="en-US" w:eastAsia="zh-CN"/>
              </w:rPr>
            </w:pPr>
            <w:r>
              <w:rPr>
                <w:rFonts w:hint="eastAsia"/>
                <w:vertAlign w:val="baseline"/>
                <w:lang w:val="en-US" w:eastAsia="zh-CN"/>
              </w:rPr>
              <w:t>Bioavailability</w:t>
            </w:r>
          </w:p>
        </w:tc>
        <w:tc>
          <w:tcPr>
            <w:tcW w:w="1411" w:type="dxa"/>
          </w:tcPr>
          <w:p w14:paraId="129DE942">
            <w:pPr>
              <w:rPr>
                <w:rFonts w:hint="default"/>
                <w:vertAlign w:val="baseline"/>
                <w:lang w:val="en-US" w:eastAsia="zh-CN"/>
              </w:rPr>
            </w:pPr>
          </w:p>
        </w:tc>
        <w:tc>
          <w:tcPr>
            <w:tcW w:w="1411" w:type="dxa"/>
          </w:tcPr>
          <w:p w14:paraId="215B161D">
            <w:pPr>
              <w:rPr>
                <w:rFonts w:hint="default"/>
                <w:vertAlign w:val="baseline"/>
                <w:lang w:val="en-US" w:eastAsia="zh-CN"/>
              </w:rPr>
            </w:pPr>
          </w:p>
        </w:tc>
        <w:tc>
          <w:tcPr>
            <w:tcW w:w="1411" w:type="dxa"/>
          </w:tcPr>
          <w:p w14:paraId="05F980DB">
            <w:pPr>
              <w:rPr>
                <w:rFonts w:hint="default"/>
                <w:vertAlign w:val="baseline"/>
                <w:lang w:val="en-US" w:eastAsia="zh-CN"/>
              </w:rPr>
            </w:pPr>
          </w:p>
        </w:tc>
        <w:tc>
          <w:tcPr>
            <w:tcW w:w="1412" w:type="dxa"/>
          </w:tcPr>
          <w:p w14:paraId="5FE3267E">
            <w:pPr>
              <w:rPr>
                <w:rFonts w:hint="default"/>
                <w:vertAlign w:val="baseline"/>
                <w:lang w:val="en-US" w:eastAsia="zh-CN"/>
              </w:rPr>
            </w:pPr>
          </w:p>
        </w:tc>
        <w:tc>
          <w:tcPr>
            <w:tcW w:w="1412" w:type="dxa"/>
          </w:tcPr>
          <w:p w14:paraId="2DCEE511">
            <w:pPr>
              <w:rPr>
                <w:rFonts w:hint="default"/>
                <w:vertAlign w:val="baseline"/>
                <w:lang w:val="en-US" w:eastAsia="zh-CN"/>
              </w:rPr>
            </w:pPr>
          </w:p>
        </w:tc>
      </w:tr>
      <w:tr w14:paraId="6B45BA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5" w:type="dxa"/>
          </w:tcPr>
          <w:p w14:paraId="32563BCC">
            <w:pPr>
              <w:ind w:left="0" w:leftChars="0" w:firstLine="0" w:firstLineChars="0"/>
              <w:rPr>
                <w:rFonts w:hint="eastAsia"/>
                <w:vertAlign w:val="baseline"/>
                <w:lang w:val="en-US" w:eastAsia="zh-CN"/>
              </w:rPr>
            </w:pPr>
            <w:r>
              <w:rPr>
                <w:rFonts w:hint="eastAsia"/>
                <w:vertAlign w:val="baseline"/>
                <w:lang w:val="en-US" w:eastAsia="zh-CN"/>
              </w:rPr>
              <w:t>CYP3A4 substrate</w:t>
            </w:r>
          </w:p>
        </w:tc>
        <w:tc>
          <w:tcPr>
            <w:tcW w:w="1411" w:type="dxa"/>
          </w:tcPr>
          <w:p w14:paraId="23FF5BE4">
            <w:pPr>
              <w:rPr>
                <w:rFonts w:hint="default"/>
                <w:vertAlign w:val="baseline"/>
                <w:lang w:val="en-US" w:eastAsia="zh-CN"/>
              </w:rPr>
            </w:pPr>
          </w:p>
        </w:tc>
        <w:tc>
          <w:tcPr>
            <w:tcW w:w="1411" w:type="dxa"/>
          </w:tcPr>
          <w:p w14:paraId="123B356F">
            <w:pPr>
              <w:rPr>
                <w:rFonts w:hint="default"/>
                <w:vertAlign w:val="baseline"/>
                <w:lang w:val="en-US" w:eastAsia="zh-CN"/>
              </w:rPr>
            </w:pPr>
          </w:p>
        </w:tc>
        <w:tc>
          <w:tcPr>
            <w:tcW w:w="1411" w:type="dxa"/>
          </w:tcPr>
          <w:p w14:paraId="78717C3A">
            <w:pPr>
              <w:rPr>
                <w:rFonts w:hint="default"/>
                <w:vertAlign w:val="baseline"/>
                <w:lang w:val="en-US" w:eastAsia="zh-CN"/>
              </w:rPr>
            </w:pPr>
          </w:p>
        </w:tc>
        <w:tc>
          <w:tcPr>
            <w:tcW w:w="1412" w:type="dxa"/>
          </w:tcPr>
          <w:p w14:paraId="0B720410">
            <w:pPr>
              <w:rPr>
                <w:rFonts w:hint="default"/>
                <w:vertAlign w:val="baseline"/>
                <w:lang w:val="en-US" w:eastAsia="zh-CN"/>
              </w:rPr>
            </w:pPr>
          </w:p>
        </w:tc>
        <w:tc>
          <w:tcPr>
            <w:tcW w:w="1412" w:type="dxa"/>
          </w:tcPr>
          <w:p w14:paraId="0FFAA854">
            <w:pPr>
              <w:rPr>
                <w:rFonts w:hint="default"/>
                <w:vertAlign w:val="baseline"/>
                <w:lang w:val="en-US" w:eastAsia="zh-CN"/>
              </w:rPr>
            </w:pPr>
          </w:p>
        </w:tc>
      </w:tr>
      <w:tr w14:paraId="74801B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5" w:type="dxa"/>
          </w:tcPr>
          <w:p w14:paraId="317EE4BF">
            <w:pPr>
              <w:ind w:left="0" w:leftChars="0" w:firstLine="0" w:firstLineChars="0"/>
              <w:rPr>
                <w:rFonts w:hint="eastAsia"/>
                <w:vertAlign w:val="baseline"/>
                <w:lang w:val="en-US" w:eastAsia="zh-CN"/>
              </w:rPr>
            </w:pPr>
            <w:r>
              <w:rPr>
                <w:rFonts w:hint="eastAsia"/>
                <w:vertAlign w:val="baseline"/>
                <w:lang w:val="en-US" w:eastAsia="zh-CN"/>
              </w:rPr>
              <w:t>hERG</w:t>
            </w:r>
          </w:p>
        </w:tc>
        <w:tc>
          <w:tcPr>
            <w:tcW w:w="1411" w:type="dxa"/>
          </w:tcPr>
          <w:p w14:paraId="19D23CE7">
            <w:pPr>
              <w:rPr>
                <w:rFonts w:hint="default"/>
                <w:vertAlign w:val="baseline"/>
                <w:lang w:val="en-US" w:eastAsia="zh-CN"/>
              </w:rPr>
            </w:pPr>
          </w:p>
        </w:tc>
        <w:tc>
          <w:tcPr>
            <w:tcW w:w="1411" w:type="dxa"/>
          </w:tcPr>
          <w:p w14:paraId="589F5F94">
            <w:pPr>
              <w:rPr>
                <w:rFonts w:hint="default"/>
                <w:vertAlign w:val="baseline"/>
                <w:lang w:val="en-US" w:eastAsia="zh-CN"/>
              </w:rPr>
            </w:pPr>
          </w:p>
        </w:tc>
        <w:tc>
          <w:tcPr>
            <w:tcW w:w="1411" w:type="dxa"/>
          </w:tcPr>
          <w:p w14:paraId="0F3265FD">
            <w:pPr>
              <w:rPr>
                <w:rFonts w:hint="default"/>
                <w:vertAlign w:val="baseline"/>
                <w:lang w:val="en-US" w:eastAsia="zh-CN"/>
              </w:rPr>
            </w:pPr>
          </w:p>
        </w:tc>
        <w:tc>
          <w:tcPr>
            <w:tcW w:w="1412" w:type="dxa"/>
          </w:tcPr>
          <w:p w14:paraId="02DDC701">
            <w:pPr>
              <w:rPr>
                <w:rFonts w:hint="default"/>
                <w:vertAlign w:val="baseline"/>
                <w:lang w:val="en-US" w:eastAsia="zh-CN"/>
              </w:rPr>
            </w:pPr>
          </w:p>
        </w:tc>
        <w:tc>
          <w:tcPr>
            <w:tcW w:w="1412" w:type="dxa"/>
          </w:tcPr>
          <w:p w14:paraId="342691FB">
            <w:pPr>
              <w:rPr>
                <w:rFonts w:hint="default"/>
                <w:vertAlign w:val="baseline"/>
                <w:lang w:val="en-US" w:eastAsia="zh-CN"/>
              </w:rPr>
            </w:pPr>
          </w:p>
        </w:tc>
      </w:tr>
      <w:tr w14:paraId="3F7E51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5" w:type="dxa"/>
          </w:tcPr>
          <w:p w14:paraId="30E86309">
            <w:pPr>
              <w:ind w:left="0" w:leftChars="0" w:firstLine="0" w:firstLineChars="0"/>
              <w:rPr>
                <w:rFonts w:hint="eastAsia"/>
                <w:vertAlign w:val="baseline"/>
                <w:lang w:val="en-US" w:eastAsia="zh-CN"/>
              </w:rPr>
            </w:pPr>
            <w:r>
              <w:rPr>
                <w:rFonts w:hint="eastAsia"/>
                <w:vertAlign w:val="baseline"/>
                <w:lang w:val="en-US" w:eastAsia="zh-CN"/>
              </w:rPr>
              <w:t>Ames</w:t>
            </w:r>
          </w:p>
        </w:tc>
        <w:tc>
          <w:tcPr>
            <w:tcW w:w="1411" w:type="dxa"/>
          </w:tcPr>
          <w:p w14:paraId="1A2AEBBA">
            <w:pPr>
              <w:rPr>
                <w:rFonts w:hint="default"/>
                <w:vertAlign w:val="baseline"/>
                <w:lang w:val="en-US" w:eastAsia="zh-CN"/>
              </w:rPr>
            </w:pPr>
          </w:p>
        </w:tc>
        <w:tc>
          <w:tcPr>
            <w:tcW w:w="1411" w:type="dxa"/>
          </w:tcPr>
          <w:p w14:paraId="0B7A5C4E">
            <w:pPr>
              <w:rPr>
                <w:rFonts w:hint="default"/>
                <w:vertAlign w:val="baseline"/>
                <w:lang w:val="en-US" w:eastAsia="zh-CN"/>
              </w:rPr>
            </w:pPr>
          </w:p>
        </w:tc>
        <w:tc>
          <w:tcPr>
            <w:tcW w:w="1411" w:type="dxa"/>
          </w:tcPr>
          <w:p w14:paraId="24D90C07">
            <w:pPr>
              <w:rPr>
                <w:rFonts w:hint="default"/>
                <w:vertAlign w:val="baseline"/>
                <w:lang w:val="en-US" w:eastAsia="zh-CN"/>
              </w:rPr>
            </w:pPr>
          </w:p>
        </w:tc>
        <w:tc>
          <w:tcPr>
            <w:tcW w:w="1412" w:type="dxa"/>
          </w:tcPr>
          <w:p w14:paraId="010F0979">
            <w:pPr>
              <w:rPr>
                <w:rFonts w:hint="default"/>
                <w:vertAlign w:val="baseline"/>
                <w:lang w:val="en-US" w:eastAsia="zh-CN"/>
              </w:rPr>
            </w:pPr>
          </w:p>
        </w:tc>
        <w:tc>
          <w:tcPr>
            <w:tcW w:w="1412" w:type="dxa"/>
          </w:tcPr>
          <w:p w14:paraId="6D987CFA">
            <w:pPr>
              <w:rPr>
                <w:rFonts w:hint="default"/>
                <w:vertAlign w:val="baseline"/>
                <w:lang w:val="en-US" w:eastAsia="zh-CN"/>
              </w:rPr>
            </w:pPr>
          </w:p>
        </w:tc>
      </w:tr>
      <w:tr w14:paraId="76EF51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5" w:type="dxa"/>
          </w:tcPr>
          <w:p w14:paraId="2D7E580A">
            <w:pPr>
              <w:ind w:left="0" w:leftChars="0" w:firstLine="0" w:firstLineChars="0"/>
              <w:rPr>
                <w:rFonts w:hint="eastAsia"/>
                <w:vertAlign w:val="baseline"/>
                <w:lang w:val="en-US" w:eastAsia="zh-CN"/>
              </w:rPr>
            </w:pPr>
            <w:r>
              <w:rPr>
                <w:rFonts w:hint="eastAsia"/>
                <w:vertAlign w:val="baseline"/>
                <w:lang w:val="en-US" w:eastAsia="zh-CN"/>
              </w:rPr>
              <w:t>DILI</w:t>
            </w:r>
          </w:p>
        </w:tc>
        <w:tc>
          <w:tcPr>
            <w:tcW w:w="1411" w:type="dxa"/>
          </w:tcPr>
          <w:p w14:paraId="4997FAC0">
            <w:pPr>
              <w:rPr>
                <w:rFonts w:hint="default"/>
                <w:vertAlign w:val="baseline"/>
                <w:lang w:val="en-US" w:eastAsia="zh-CN"/>
              </w:rPr>
            </w:pPr>
          </w:p>
        </w:tc>
        <w:tc>
          <w:tcPr>
            <w:tcW w:w="1411" w:type="dxa"/>
          </w:tcPr>
          <w:p w14:paraId="3089BC83">
            <w:pPr>
              <w:rPr>
                <w:rFonts w:hint="default"/>
                <w:vertAlign w:val="baseline"/>
                <w:lang w:val="en-US" w:eastAsia="zh-CN"/>
              </w:rPr>
            </w:pPr>
          </w:p>
        </w:tc>
        <w:tc>
          <w:tcPr>
            <w:tcW w:w="1411" w:type="dxa"/>
          </w:tcPr>
          <w:p w14:paraId="2141E5A7">
            <w:pPr>
              <w:rPr>
                <w:rFonts w:hint="default"/>
                <w:vertAlign w:val="baseline"/>
                <w:lang w:val="en-US" w:eastAsia="zh-CN"/>
              </w:rPr>
            </w:pPr>
          </w:p>
        </w:tc>
        <w:tc>
          <w:tcPr>
            <w:tcW w:w="1412" w:type="dxa"/>
          </w:tcPr>
          <w:p w14:paraId="74A9014A">
            <w:pPr>
              <w:rPr>
                <w:rFonts w:hint="default"/>
                <w:vertAlign w:val="baseline"/>
                <w:lang w:val="en-US" w:eastAsia="zh-CN"/>
              </w:rPr>
            </w:pPr>
          </w:p>
        </w:tc>
        <w:tc>
          <w:tcPr>
            <w:tcW w:w="1412" w:type="dxa"/>
          </w:tcPr>
          <w:p w14:paraId="52145FE1">
            <w:pPr>
              <w:rPr>
                <w:rFonts w:hint="default"/>
                <w:vertAlign w:val="baseline"/>
                <w:lang w:val="en-US" w:eastAsia="zh-CN"/>
              </w:rPr>
            </w:pPr>
          </w:p>
        </w:tc>
      </w:tr>
      <w:tr w14:paraId="379DDA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5" w:type="dxa"/>
          </w:tcPr>
          <w:p w14:paraId="7D52D18F">
            <w:pPr>
              <w:ind w:left="0" w:leftChars="0" w:firstLine="0" w:firstLineChars="0"/>
              <w:rPr>
                <w:rFonts w:hint="eastAsia"/>
                <w:vertAlign w:val="baseline"/>
                <w:lang w:val="en-US" w:eastAsia="zh-CN"/>
              </w:rPr>
            </w:pPr>
            <w:r>
              <w:rPr>
                <w:rFonts w:hint="eastAsia"/>
                <w:vertAlign w:val="baseline"/>
                <w:lang w:val="en-US" w:eastAsia="zh-CN"/>
              </w:rPr>
              <w:t>CYP2D6 inhibition</w:t>
            </w:r>
          </w:p>
        </w:tc>
        <w:tc>
          <w:tcPr>
            <w:tcW w:w="1411" w:type="dxa"/>
          </w:tcPr>
          <w:p w14:paraId="424C27BB">
            <w:pPr>
              <w:rPr>
                <w:rFonts w:hint="default"/>
                <w:vertAlign w:val="baseline"/>
                <w:lang w:val="en-US" w:eastAsia="zh-CN"/>
              </w:rPr>
            </w:pPr>
          </w:p>
        </w:tc>
        <w:tc>
          <w:tcPr>
            <w:tcW w:w="1411" w:type="dxa"/>
          </w:tcPr>
          <w:p w14:paraId="050DA7B5">
            <w:pPr>
              <w:rPr>
                <w:rFonts w:hint="default"/>
                <w:vertAlign w:val="baseline"/>
                <w:lang w:val="en-US" w:eastAsia="zh-CN"/>
              </w:rPr>
            </w:pPr>
          </w:p>
        </w:tc>
        <w:tc>
          <w:tcPr>
            <w:tcW w:w="1411" w:type="dxa"/>
          </w:tcPr>
          <w:p w14:paraId="064D0B6F">
            <w:pPr>
              <w:rPr>
                <w:rFonts w:hint="default"/>
                <w:vertAlign w:val="baseline"/>
                <w:lang w:val="en-US" w:eastAsia="zh-CN"/>
              </w:rPr>
            </w:pPr>
          </w:p>
        </w:tc>
        <w:tc>
          <w:tcPr>
            <w:tcW w:w="1412" w:type="dxa"/>
          </w:tcPr>
          <w:p w14:paraId="66FFA693">
            <w:pPr>
              <w:rPr>
                <w:rFonts w:hint="default"/>
                <w:vertAlign w:val="baseline"/>
                <w:lang w:val="en-US" w:eastAsia="zh-CN"/>
              </w:rPr>
            </w:pPr>
          </w:p>
        </w:tc>
        <w:tc>
          <w:tcPr>
            <w:tcW w:w="1412" w:type="dxa"/>
          </w:tcPr>
          <w:p w14:paraId="13B364FB">
            <w:pPr>
              <w:rPr>
                <w:rFonts w:hint="default"/>
                <w:vertAlign w:val="baseline"/>
                <w:lang w:val="en-US" w:eastAsia="zh-CN"/>
              </w:rPr>
            </w:pPr>
          </w:p>
        </w:tc>
      </w:tr>
      <w:tr w14:paraId="2A94AC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5" w:type="dxa"/>
          </w:tcPr>
          <w:p w14:paraId="567757D2">
            <w:pPr>
              <w:ind w:left="0" w:leftChars="0" w:firstLine="0" w:firstLineChars="0"/>
              <w:rPr>
                <w:rFonts w:hint="eastAsia"/>
                <w:vertAlign w:val="baseline"/>
                <w:lang w:val="en-US" w:eastAsia="zh-CN"/>
              </w:rPr>
            </w:pPr>
            <w:r>
              <w:rPr>
                <w:rFonts w:hint="eastAsia"/>
                <w:vertAlign w:val="baseline"/>
                <w:lang w:val="en-US" w:eastAsia="zh-CN"/>
              </w:rPr>
              <w:t>CYP3A4 inhibition</w:t>
            </w:r>
          </w:p>
        </w:tc>
        <w:tc>
          <w:tcPr>
            <w:tcW w:w="1411" w:type="dxa"/>
          </w:tcPr>
          <w:p w14:paraId="762DA999">
            <w:pPr>
              <w:rPr>
                <w:rFonts w:hint="default"/>
                <w:vertAlign w:val="baseline"/>
                <w:lang w:val="en-US" w:eastAsia="zh-CN"/>
              </w:rPr>
            </w:pPr>
          </w:p>
        </w:tc>
        <w:tc>
          <w:tcPr>
            <w:tcW w:w="1411" w:type="dxa"/>
          </w:tcPr>
          <w:p w14:paraId="24EE1D83">
            <w:pPr>
              <w:rPr>
                <w:rFonts w:hint="default"/>
                <w:vertAlign w:val="baseline"/>
                <w:lang w:val="en-US" w:eastAsia="zh-CN"/>
              </w:rPr>
            </w:pPr>
          </w:p>
        </w:tc>
        <w:tc>
          <w:tcPr>
            <w:tcW w:w="1411" w:type="dxa"/>
          </w:tcPr>
          <w:p w14:paraId="4F24253F">
            <w:pPr>
              <w:rPr>
                <w:rFonts w:hint="default"/>
                <w:vertAlign w:val="baseline"/>
                <w:lang w:val="en-US" w:eastAsia="zh-CN"/>
              </w:rPr>
            </w:pPr>
          </w:p>
        </w:tc>
        <w:tc>
          <w:tcPr>
            <w:tcW w:w="1412" w:type="dxa"/>
          </w:tcPr>
          <w:p w14:paraId="5FE1ADF7">
            <w:pPr>
              <w:rPr>
                <w:rFonts w:hint="default"/>
                <w:vertAlign w:val="baseline"/>
                <w:lang w:val="en-US" w:eastAsia="zh-CN"/>
              </w:rPr>
            </w:pPr>
          </w:p>
        </w:tc>
        <w:tc>
          <w:tcPr>
            <w:tcW w:w="1412" w:type="dxa"/>
          </w:tcPr>
          <w:p w14:paraId="0DCB3276">
            <w:pPr>
              <w:rPr>
                <w:rFonts w:hint="default"/>
                <w:vertAlign w:val="baseline"/>
                <w:lang w:val="en-US" w:eastAsia="zh-CN"/>
              </w:rPr>
            </w:pPr>
          </w:p>
        </w:tc>
      </w:tr>
      <w:tr w14:paraId="0A6AA1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5" w:type="dxa"/>
          </w:tcPr>
          <w:p w14:paraId="48BD2AAD">
            <w:pPr>
              <w:ind w:left="0" w:leftChars="0" w:firstLine="0" w:firstLineChars="0"/>
              <w:rPr>
                <w:rFonts w:hint="eastAsia"/>
                <w:vertAlign w:val="baseline"/>
                <w:lang w:val="en-US" w:eastAsia="zh-CN"/>
              </w:rPr>
            </w:pPr>
            <w:r>
              <w:rPr>
                <w:rFonts w:hint="eastAsia"/>
                <w:vertAlign w:val="baseline"/>
                <w:lang w:val="en-US" w:eastAsia="zh-CN"/>
              </w:rPr>
              <w:t>CYP2C9 inhibition</w:t>
            </w:r>
          </w:p>
        </w:tc>
        <w:tc>
          <w:tcPr>
            <w:tcW w:w="1411" w:type="dxa"/>
          </w:tcPr>
          <w:p w14:paraId="123E7400">
            <w:pPr>
              <w:rPr>
                <w:rFonts w:hint="default"/>
                <w:vertAlign w:val="baseline"/>
                <w:lang w:val="en-US" w:eastAsia="zh-CN"/>
              </w:rPr>
            </w:pPr>
          </w:p>
        </w:tc>
        <w:tc>
          <w:tcPr>
            <w:tcW w:w="1411" w:type="dxa"/>
          </w:tcPr>
          <w:p w14:paraId="46EE05BE">
            <w:pPr>
              <w:rPr>
                <w:rFonts w:hint="default"/>
                <w:vertAlign w:val="baseline"/>
                <w:lang w:val="en-US" w:eastAsia="zh-CN"/>
              </w:rPr>
            </w:pPr>
          </w:p>
        </w:tc>
        <w:tc>
          <w:tcPr>
            <w:tcW w:w="1411" w:type="dxa"/>
          </w:tcPr>
          <w:p w14:paraId="3599C966">
            <w:pPr>
              <w:rPr>
                <w:rFonts w:hint="default"/>
                <w:vertAlign w:val="baseline"/>
                <w:lang w:val="en-US" w:eastAsia="zh-CN"/>
              </w:rPr>
            </w:pPr>
          </w:p>
        </w:tc>
        <w:tc>
          <w:tcPr>
            <w:tcW w:w="1412" w:type="dxa"/>
          </w:tcPr>
          <w:p w14:paraId="1AAB7757">
            <w:pPr>
              <w:rPr>
                <w:rFonts w:hint="default"/>
                <w:vertAlign w:val="baseline"/>
                <w:lang w:val="en-US" w:eastAsia="zh-CN"/>
              </w:rPr>
            </w:pPr>
          </w:p>
        </w:tc>
        <w:tc>
          <w:tcPr>
            <w:tcW w:w="1412" w:type="dxa"/>
          </w:tcPr>
          <w:p w14:paraId="1852407D">
            <w:pPr>
              <w:rPr>
                <w:rFonts w:hint="default"/>
                <w:vertAlign w:val="baseline"/>
                <w:lang w:val="en-US" w:eastAsia="zh-CN"/>
              </w:rPr>
            </w:pPr>
          </w:p>
        </w:tc>
      </w:tr>
      <w:tr w14:paraId="7E6CB4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5" w:type="dxa"/>
          </w:tcPr>
          <w:p w14:paraId="601EF22B">
            <w:pPr>
              <w:ind w:left="0" w:leftChars="0" w:firstLine="0" w:firstLineChars="0"/>
              <w:rPr>
                <w:rFonts w:hint="eastAsia"/>
                <w:vertAlign w:val="baseline"/>
                <w:lang w:val="en-US" w:eastAsia="zh-CN"/>
              </w:rPr>
            </w:pPr>
            <w:r>
              <w:rPr>
                <w:rFonts w:hint="eastAsia"/>
                <w:vertAlign w:val="baseline"/>
                <w:lang w:val="en-US" w:eastAsia="zh-CN"/>
              </w:rPr>
              <w:t xml:space="preserve">CYP2D6 substrate </w:t>
            </w:r>
          </w:p>
        </w:tc>
        <w:tc>
          <w:tcPr>
            <w:tcW w:w="1411" w:type="dxa"/>
          </w:tcPr>
          <w:p w14:paraId="5B0E4E20">
            <w:pPr>
              <w:rPr>
                <w:rFonts w:hint="default"/>
                <w:vertAlign w:val="baseline"/>
                <w:lang w:val="en-US" w:eastAsia="zh-CN"/>
              </w:rPr>
            </w:pPr>
          </w:p>
        </w:tc>
        <w:tc>
          <w:tcPr>
            <w:tcW w:w="1411" w:type="dxa"/>
          </w:tcPr>
          <w:p w14:paraId="2BDCA7C8">
            <w:pPr>
              <w:rPr>
                <w:rFonts w:hint="default"/>
                <w:vertAlign w:val="baseline"/>
                <w:lang w:val="en-US" w:eastAsia="zh-CN"/>
              </w:rPr>
            </w:pPr>
          </w:p>
        </w:tc>
        <w:tc>
          <w:tcPr>
            <w:tcW w:w="1411" w:type="dxa"/>
          </w:tcPr>
          <w:p w14:paraId="31BEEDE2">
            <w:pPr>
              <w:rPr>
                <w:rFonts w:hint="default"/>
                <w:vertAlign w:val="baseline"/>
                <w:lang w:val="en-US" w:eastAsia="zh-CN"/>
              </w:rPr>
            </w:pPr>
          </w:p>
        </w:tc>
        <w:tc>
          <w:tcPr>
            <w:tcW w:w="1412" w:type="dxa"/>
          </w:tcPr>
          <w:p w14:paraId="1B47E256">
            <w:pPr>
              <w:rPr>
                <w:rFonts w:hint="default"/>
                <w:vertAlign w:val="baseline"/>
                <w:lang w:val="en-US" w:eastAsia="zh-CN"/>
              </w:rPr>
            </w:pPr>
          </w:p>
        </w:tc>
        <w:tc>
          <w:tcPr>
            <w:tcW w:w="1412" w:type="dxa"/>
          </w:tcPr>
          <w:p w14:paraId="395F812C">
            <w:pPr>
              <w:rPr>
                <w:rFonts w:hint="default"/>
                <w:vertAlign w:val="baseline"/>
                <w:lang w:val="en-US" w:eastAsia="zh-CN"/>
              </w:rPr>
            </w:pPr>
          </w:p>
        </w:tc>
      </w:tr>
      <w:tr w14:paraId="5A418F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5" w:type="dxa"/>
          </w:tcPr>
          <w:p w14:paraId="0CAFBD60">
            <w:pPr>
              <w:ind w:left="0" w:leftChars="0" w:firstLine="0" w:firstLineChars="0"/>
              <w:rPr>
                <w:rFonts w:hint="eastAsia"/>
                <w:vertAlign w:val="baseline"/>
                <w:lang w:val="en-US" w:eastAsia="zh-CN"/>
              </w:rPr>
            </w:pPr>
            <w:r>
              <w:rPr>
                <w:rFonts w:hint="eastAsia"/>
                <w:vertAlign w:val="baseline"/>
                <w:lang w:val="en-US" w:eastAsia="zh-CN"/>
              </w:rPr>
              <w:t xml:space="preserve">CYP2D6 substrate </w:t>
            </w:r>
          </w:p>
        </w:tc>
        <w:tc>
          <w:tcPr>
            <w:tcW w:w="1411" w:type="dxa"/>
          </w:tcPr>
          <w:p w14:paraId="5D1219EE">
            <w:pPr>
              <w:rPr>
                <w:rFonts w:hint="default"/>
                <w:vertAlign w:val="baseline"/>
                <w:lang w:val="en-US" w:eastAsia="zh-CN"/>
              </w:rPr>
            </w:pPr>
          </w:p>
        </w:tc>
        <w:tc>
          <w:tcPr>
            <w:tcW w:w="1411" w:type="dxa"/>
          </w:tcPr>
          <w:p w14:paraId="7FB66D56">
            <w:pPr>
              <w:rPr>
                <w:rFonts w:hint="default"/>
                <w:vertAlign w:val="baseline"/>
                <w:lang w:val="en-US" w:eastAsia="zh-CN"/>
              </w:rPr>
            </w:pPr>
          </w:p>
        </w:tc>
        <w:tc>
          <w:tcPr>
            <w:tcW w:w="1411" w:type="dxa"/>
          </w:tcPr>
          <w:p w14:paraId="043A288A">
            <w:pPr>
              <w:rPr>
                <w:rFonts w:hint="default"/>
                <w:vertAlign w:val="baseline"/>
                <w:lang w:val="en-US" w:eastAsia="zh-CN"/>
              </w:rPr>
            </w:pPr>
          </w:p>
        </w:tc>
        <w:tc>
          <w:tcPr>
            <w:tcW w:w="1412" w:type="dxa"/>
          </w:tcPr>
          <w:p w14:paraId="003E52B8">
            <w:pPr>
              <w:rPr>
                <w:rFonts w:hint="default"/>
                <w:vertAlign w:val="baseline"/>
                <w:lang w:val="en-US" w:eastAsia="zh-CN"/>
              </w:rPr>
            </w:pPr>
          </w:p>
        </w:tc>
        <w:tc>
          <w:tcPr>
            <w:tcW w:w="1412" w:type="dxa"/>
          </w:tcPr>
          <w:p w14:paraId="41A272AF">
            <w:pPr>
              <w:rPr>
                <w:rFonts w:hint="default"/>
                <w:vertAlign w:val="baseline"/>
                <w:lang w:val="en-US" w:eastAsia="zh-CN"/>
              </w:rPr>
            </w:pPr>
          </w:p>
        </w:tc>
      </w:tr>
      <w:tr w14:paraId="3BAB61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5" w:type="dxa"/>
          </w:tcPr>
          <w:p w14:paraId="178808CB">
            <w:pPr>
              <w:ind w:left="0" w:leftChars="0" w:firstLine="0" w:firstLineChars="0"/>
              <w:rPr>
                <w:rFonts w:hint="eastAsia"/>
                <w:vertAlign w:val="baseline"/>
                <w:lang w:val="en-US" w:eastAsia="zh-CN"/>
              </w:rPr>
            </w:pPr>
            <w:r>
              <w:rPr>
                <w:rFonts w:hint="eastAsia"/>
                <w:vertAlign w:val="baseline"/>
                <w:lang w:val="en-US" w:eastAsia="zh-CN"/>
              </w:rPr>
              <w:t>Half life</w:t>
            </w:r>
          </w:p>
        </w:tc>
        <w:tc>
          <w:tcPr>
            <w:tcW w:w="1411" w:type="dxa"/>
          </w:tcPr>
          <w:p w14:paraId="2D01FC52">
            <w:pPr>
              <w:rPr>
                <w:rFonts w:hint="default"/>
                <w:vertAlign w:val="baseline"/>
                <w:lang w:val="en-US" w:eastAsia="zh-CN"/>
              </w:rPr>
            </w:pPr>
          </w:p>
        </w:tc>
        <w:tc>
          <w:tcPr>
            <w:tcW w:w="1411" w:type="dxa"/>
          </w:tcPr>
          <w:p w14:paraId="61597153">
            <w:pPr>
              <w:rPr>
                <w:rFonts w:hint="default"/>
                <w:vertAlign w:val="baseline"/>
                <w:lang w:val="en-US" w:eastAsia="zh-CN"/>
              </w:rPr>
            </w:pPr>
          </w:p>
        </w:tc>
        <w:tc>
          <w:tcPr>
            <w:tcW w:w="1411" w:type="dxa"/>
          </w:tcPr>
          <w:p w14:paraId="41C3028D">
            <w:pPr>
              <w:rPr>
                <w:rFonts w:hint="default"/>
                <w:vertAlign w:val="baseline"/>
                <w:lang w:val="en-US" w:eastAsia="zh-CN"/>
              </w:rPr>
            </w:pPr>
          </w:p>
        </w:tc>
        <w:tc>
          <w:tcPr>
            <w:tcW w:w="1412" w:type="dxa"/>
          </w:tcPr>
          <w:p w14:paraId="7B18AA81">
            <w:pPr>
              <w:rPr>
                <w:rFonts w:hint="default"/>
                <w:vertAlign w:val="baseline"/>
                <w:lang w:val="en-US" w:eastAsia="zh-CN"/>
              </w:rPr>
            </w:pPr>
          </w:p>
        </w:tc>
        <w:tc>
          <w:tcPr>
            <w:tcW w:w="1412" w:type="dxa"/>
          </w:tcPr>
          <w:p w14:paraId="6DAEA425">
            <w:pPr>
              <w:rPr>
                <w:rFonts w:hint="default"/>
                <w:vertAlign w:val="baseline"/>
                <w:lang w:val="en-US" w:eastAsia="zh-CN"/>
              </w:rPr>
            </w:pPr>
          </w:p>
        </w:tc>
      </w:tr>
      <w:tr w14:paraId="48213F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5" w:type="dxa"/>
          </w:tcPr>
          <w:p w14:paraId="1D9C5AE3">
            <w:pPr>
              <w:ind w:left="0" w:leftChars="0" w:firstLine="0" w:firstLineChars="0"/>
              <w:rPr>
                <w:rFonts w:hint="eastAsia"/>
                <w:vertAlign w:val="baseline"/>
                <w:lang w:val="en-US" w:eastAsia="zh-CN"/>
              </w:rPr>
            </w:pPr>
            <w:r>
              <w:rPr>
                <w:rFonts w:hint="eastAsia"/>
                <w:vertAlign w:val="baseline"/>
                <w:lang w:val="en-US" w:eastAsia="zh-CN"/>
              </w:rPr>
              <w:t>VDss</w:t>
            </w:r>
          </w:p>
        </w:tc>
        <w:tc>
          <w:tcPr>
            <w:tcW w:w="1411" w:type="dxa"/>
          </w:tcPr>
          <w:p w14:paraId="262CC0BC">
            <w:pPr>
              <w:rPr>
                <w:rFonts w:hint="default"/>
                <w:vertAlign w:val="baseline"/>
                <w:lang w:val="en-US" w:eastAsia="zh-CN"/>
              </w:rPr>
            </w:pPr>
          </w:p>
        </w:tc>
        <w:tc>
          <w:tcPr>
            <w:tcW w:w="1411" w:type="dxa"/>
          </w:tcPr>
          <w:p w14:paraId="10B3B964">
            <w:pPr>
              <w:rPr>
                <w:rFonts w:hint="default"/>
                <w:vertAlign w:val="baseline"/>
                <w:lang w:val="en-US" w:eastAsia="zh-CN"/>
              </w:rPr>
            </w:pPr>
          </w:p>
        </w:tc>
        <w:tc>
          <w:tcPr>
            <w:tcW w:w="1411" w:type="dxa"/>
          </w:tcPr>
          <w:p w14:paraId="00236E7B">
            <w:pPr>
              <w:rPr>
                <w:rFonts w:hint="default"/>
                <w:vertAlign w:val="baseline"/>
                <w:lang w:val="en-US" w:eastAsia="zh-CN"/>
              </w:rPr>
            </w:pPr>
          </w:p>
        </w:tc>
        <w:tc>
          <w:tcPr>
            <w:tcW w:w="1412" w:type="dxa"/>
          </w:tcPr>
          <w:p w14:paraId="18CBE28A">
            <w:pPr>
              <w:rPr>
                <w:rFonts w:hint="default"/>
                <w:vertAlign w:val="baseline"/>
                <w:lang w:val="en-US" w:eastAsia="zh-CN"/>
              </w:rPr>
            </w:pPr>
          </w:p>
        </w:tc>
        <w:tc>
          <w:tcPr>
            <w:tcW w:w="1412" w:type="dxa"/>
          </w:tcPr>
          <w:p w14:paraId="450BA4E8">
            <w:pPr>
              <w:rPr>
                <w:rFonts w:hint="default"/>
                <w:vertAlign w:val="baseline"/>
                <w:lang w:val="en-US" w:eastAsia="zh-CN"/>
              </w:rPr>
            </w:pPr>
          </w:p>
        </w:tc>
      </w:tr>
      <w:tr w14:paraId="69BA6C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5" w:type="dxa"/>
          </w:tcPr>
          <w:p w14:paraId="61C73998">
            <w:pPr>
              <w:ind w:left="0" w:leftChars="0" w:firstLine="0" w:firstLineChars="0"/>
              <w:rPr>
                <w:rFonts w:hint="eastAsia"/>
                <w:vertAlign w:val="baseline"/>
                <w:lang w:val="en-US" w:eastAsia="zh-CN"/>
              </w:rPr>
            </w:pPr>
            <w:r>
              <w:rPr>
                <w:rFonts w:hint="eastAsia"/>
                <w:vertAlign w:val="baseline"/>
                <w:lang w:val="en-US" w:eastAsia="zh-CN"/>
              </w:rPr>
              <w:t>Clearance microsome</w:t>
            </w:r>
          </w:p>
        </w:tc>
        <w:tc>
          <w:tcPr>
            <w:tcW w:w="1411" w:type="dxa"/>
          </w:tcPr>
          <w:p w14:paraId="1038C20F">
            <w:pPr>
              <w:rPr>
                <w:rFonts w:hint="default"/>
                <w:vertAlign w:val="baseline"/>
                <w:lang w:val="en-US" w:eastAsia="zh-CN"/>
              </w:rPr>
            </w:pPr>
          </w:p>
        </w:tc>
        <w:tc>
          <w:tcPr>
            <w:tcW w:w="1411" w:type="dxa"/>
          </w:tcPr>
          <w:p w14:paraId="4CD1130D">
            <w:pPr>
              <w:rPr>
                <w:rFonts w:hint="default"/>
                <w:vertAlign w:val="baseline"/>
                <w:lang w:val="en-US" w:eastAsia="zh-CN"/>
              </w:rPr>
            </w:pPr>
          </w:p>
        </w:tc>
        <w:tc>
          <w:tcPr>
            <w:tcW w:w="1411" w:type="dxa"/>
          </w:tcPr>
          <w:p w14:paraId="602ADBBE">
            <w:pPr>
              <w:rPr>
                <w:rFonts w:hint="default"/>
                <w:vertAlign w:val="baseline"/>
                <w:lang w:val="en-US" w:eastAsia="zh-CN"/>
              </w:rPr>
            </w:pPr>
          </w:p>
        </w:tc>
        <w:tc>
          <w:tcPr>
            <w:tcW w:w="1412" w:type="dxa"/>
          </w:tcPr>
          <w:p w14:paraId="726FF078">
            <w:pPr>
              <w:rPr>
                <w:rFonts w:hint="default"/>
                <w:vertAlign w:val="baseline"/>
                <w:lang w:val="en-US" w:eastAsia="zh-CN"/>
              </w:rPr>
            </w:pPr>
          </w:p>
        </w:tc>
        <w:tc>
          <w:tcPr>
            <w:tcW w:w="1412" w:type="dxa"/>
          </w:tcPr>
          <w:p w14:paraId="147634AA">
            <w:pPr>
              <w:rPr>
                <w:rFonts w:hint="default"/>
                <w:vertAlign w:val="baseline"/>
                <w:lang w:val="en-US" w:eastAsia="zh-CN"/>
              </w:rPr>
            </w:pPr>
          </w:p>
        </w:tc>
      </w:tr>
      <w:tr w14:paraId="6D2418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5" w:type="dxa"/>
          </w:tcPr>
          <w:p w14:paraId="02A8BE9E">
            <w:pPr>
              <w:ind w:left="0" w:leftChars="0" w:firstLine="0" w:firstLineChars="0"/>
              <w:rPr>
                <w:rFonts w:hint="eastAsia"/>
                <w:vertAlign w:val="baseline"/>
                <w:lang w:val="en-US" w:eastAsia="zh-CN"/>
              </w:rPr>
            </w:pPr>
            <w:r>
              <w:rPr>
                <w:rFonts w:hint="eastAsia"/>
                <w:vertAlign w:val="baseline"/>
                <w:lang w:val="en-US" w:eastAsia="zh-CN"/>
              </w:rPr>
              <w:t>Clearance hepatocyte</w:t>
            </w:r>
          </w:p>
        </w:tc>
        <w:tc>
          <w:tcPr>
            <w:tcW w:w="1411" w:type="dxa"/>
          </w:tcPr>
          <w:p w14:paraId="6C738C5C">
            <w:pPr>
              <w:rPr>
                <w:rFonts w:hint="default"/>
                <w:vertAlign w:val="baseline"/>
                <w:lang w:val="en-US" w:eastAsia="zh-CN"/>
              </w:rPr>
            </w:pPr>
          </w:p>
        </w:tc>
        <w:tc>
          <w:tcPr>
            <w:tcW w:w="1411" w:type="dxa"/>
          </w:tcPr>
          <w:p w14:paraId="419BB803">
            <w:pPr>
              <w:rPr>
                <w:rFonts w:hint="default"/>
                <w:vertAlign w:val="baseline"/>
                <w:lang w:val="en-US" w:eastAsia="zh-CN"/>
              </w:rPr>
            </w:pPr>
          </w:p>
        </w:tc>
        <w:tc>
          <w:tcPr>
            <w:tcW w:w="1411" w:type="dxa"/>
          </w:tcPr>
          <w:p w14:paraId="65D17E4F">
            <w:pPr>
              <w:rPr>
                <w:rFonts w:hint="default"/>
                <w:vertAlign w:val="baseline"/>
                <w:lang w:val="en-US" w:eastAsia="zh-CN"/>
              </w:rPr>
            </w:pPr>
          </w:p>
        </w:tc>
        <w:tc>
          <w:tcPr>
            <w:tcW w:w="1412" w:type="dxa"/>
          </w:tcPr>
          <w:p w14:paraId="52F34EC1">
            <w:pPr>
              <w:rPr>
                <w:rFonts w:hint="default"/>
                <w:vertAlign w:val="baseline"/>
                <w:lang w:val="en-US" w:eastAsia="zh-CN"/>
              </w:rPr>
            </w:pPr>
          </w:p>
        </w:tc>
        <w:tc>
          <w:tcPr>
            <w:tcW w:w="1412" w:type="dxa"/>
          </w:tcPr>
          <w:p w14:paraId="136E2D8B">
            <w:pPr>
              <w:rPr>
                <w:rFonts w:hint="default"/>
                <w:vertAlign w:val="baseline"/>
                <w:lang w:val="en-US" w:eastAsia="zh-CN"/>
              </w:rPr>
            </w:pPr>
          </w:p>
        </w:tc>
      </w:tr>
    </w:tbl>
    <w:p w14:paraId="6602BE93">
      <w:pPr>
        <w:rPr>
          <w:rFonts w:hint="default"/>
          <w:lang w:val="en-US" w:eastAsia="zh-CN"/>
        </w:rPr>
      </w:pPr>
    </w:p>
    <w:p w14:paraId="17ED0AB0">
      <w:pPr>
        <w:rPr>
          <w:rFonts w:hint="default"/>
          <w:lang w:val="en-US" w:eastAsia="zh-CN"/>
        </w:rPr>
      </w:pPr>
    </w:p>
    <w:p w14:paraId="5644B9B8">
      <w:pPr>
        <w:pStyle w:val="3"/>
        <w:bidi w:val="0"/>
        <w:rPr>
          <w:rFonts w:hint="default"/>
          <w:lang w:val="en-US" w:eastAsia="zh-CN"/>
        </w:rPr>
      </w:pPr>
      <w:r>
        <w:rPr>
          <w:rFonts w:hint="eastAsia"/>
          <w:lang w:val="en-US" w:eastAsia="zh-CN"/>
        </w:rPr>
        <w:t>本章小结</w:t>
      </w:r>
    </w:p>
    <w:p w14:paraId="5B3CDD47">
      <w:pPr>
        <w:pStyle w:val="2"/>
        <w:bidi w:val="0"/>
        <w:rPr>
          <w:rFonts w:hint="eastAsia"/>
          <w:lang w:val="en-US" w:eastAsia="zh-CN"/>
        </w:rPr>
      </w:pPr>
      <w:r>
        <w:t>基于知识增强</w:t>
      </w:r>
      <w:r>
        <w:rPr>
          <w:rFonts w:hint="eastAsia"/>
          <w:lang w:val="en-US" w:eastAsia="zh-CN"/>
        </w:rPr>
        <w:t>与</w:t>
      </w:r>
      <w:r>
        <w:t>图对齐的分子性质预测方法</w:t>
      </w:r>
    </w:p>
    <w:p w14:paraId="0D57CF84">
      <w:pPr>
        <w:pStyle w:val="3"/>
        <w:pageBreakBefore w:val="0"/>
        <w:kinsoku/>
        <w:wordWrap/>
        <w:overflowPunct/>
        <w:topLinePunct w:val="0"/>
        <w:autoSpaceDE/>
        <w:autoSpaceDN/>
        <w:bidi w:val="0"/>
        <w:adjustRightInd/>
        <w:spacing w:beforeAutospacing="0" w:afterAutospacing="0" w:line="360" w:lineRule="auto"/>
        <w:ind w:left="567" w:leftChars="0" w:hanging="567" w:firstLineChars="0"/>
        <w:textAlignment w:val="auto"/>
        <w:rPr>
          <w:rFonts w:hint="default"/>
          <w:lang w:val="en-US" w:eastAsia="zh-CN"/>
        </w:rPr>
      </w:pPr>
      <w:r>
        <w:rPr>
          <w:rFonts w:hint="eastAsia"/>
          <w:lang w:val="en-US" w:eastAsia="zh-CN"/>
        </w:rPr>
        <w:t>模型设计与描述</w:t>
      </w:r>
    </w:p>
    <w:p w14:paraId="3ADFD0FE">
      <w:pPr>
        <w:pStyle w:val="4"/>
        <w:bidi w:val="0"/>
        <w:rPr>
          <w:rFonts w:hint="default"/>
          <w:lang w:val="en-US" w:eastAsia="zh-CN"/>
        </w:rPr>
      </w:pPr>
      <w:r>
        <w:rPr>
          <w:rFonts w:hint="eastAsia"/>
          <w:lang w:val="en-US" w:eastAsia="zh-CN"/>
        </w:rPr>
        <w:t>KGAMA框架概述</w:t>
      </w:r>
    </w:p>
    <w:p w14:paraId="0C19663F">
      <w:pPr>
        <w:bidi w:val="0"/>
        <w:rPr>
          <w:rFonts w:hint="eastAsia"/>
          <w:lang w:val="en-US" w:eastAsia="zh-CN"/>
        </w:rPr>
      </w:pPr>
      <w:r>
        <w:rPr>
          <w:rFonts w:hint="eastAsia"/>
          <w:lang w:val="en-US" w:eastAsia="zh-CN"/>
        </w:rPr>
        <w:t>在本章节中我们提出了一个基于图表征为核心、多模态知识增强的分子预测架构，</w:t>
      </w:r>
      <w:r>
        <w:t>该框架的核心愿景在于突破多源异构数据的语义壁垒，构建一个能够将多通道数据高效对齐至统一高维空间的表征体系。</w:t>
      </w:r>
      <w:r>
        <w:rPr>
          <w:rFonts w:hint="eastAsia"/>
          <w:lang w:val="en-US" w:eastAsia="zh-CN"/>
        </w:rPr>
        <w:t>此框架采用预训练-微调范式，在预训练阶段，引入图中心对比学习策略，驱动各模态在潜在空间内完成语义锚定；而在面向特定下游任务的微调阶段，则部署交叉注意力模块与</w:t>
      </w:r>
      <w:r>
        <w:t>多层感知机（MLP），实现对任务敏感特征的动态捕捉与灵活预测。</w:t>
      </w:r>
    </w:p>
    <w:p w14:paraId="7996BBC3">
      <w:pPr>
        <w:pageBreakBefore w:val="0"/>
        <w:kinsoku/>
        <w:wordWrap/>
        <w:overflowPunct/>
        <w:topLinePunct w:val="0"/>
        <w:autoSpaceDE/>
        <w:autoSpaceDN/>
        <w:bidi w:val="0"/>
        <w:adjustRightInd/>
        <w:spacing w:beforeAutospacing="0" w:afterAutospacing="0" w:line="360" w:lineRule="auto"/>
        <w:textAlignment w:val="auto"/>
        <w:rPr>
          <w:rFonts w:hint="eastAsia"/>
          <w:b w:val="0"/>
          <w:bCs w:val="0"/>
          <w:lang w:val="en-US" w:eastAsia="zh-CN"/>
        </w:rPr>
      </w:pPr>
      <w:r>
        <w:rPr>
          <w:rFonts w:hint="eastAsia"/>
          <w:b w:val="0"/>
          <w:bCs w:val="0"/>
          <w:lang w:val="en-US" w:eastAsia="zh-CN"/>
        </w:rPr>
        <w:t>该模型的架构图如图 3-1 所示，其总体拓扑结构可清晰划分为三大核心组件：模态专属编码器：用于提取异构特征、统一嵌入空间映射模块：用于维度对齐，以及基于交叉注意力机制的融合模块：用于特征交互与预测。</w:t>
      </w:r>
    </w:p>
    <w:p w14:paraId="5DFC6081">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default"/>
          <w:lang w:val="en-US" w:eastAsia="zh-CN"/>
        </w:rPr>
      </w:pPr>
      <w:r>
        <w:rPr>
          <w:rFonts w:hint="default"/>
          <w:lang w:val="en-US" w:eastAsia="zh-CN"/>
        </w:rPr>
        <w:drawing>
          <wp:inline distT="0" distB="0" distL="114300" distR="114300">
            <wp:extent cx="5267960" cy="3104515"/>
            <wp:effectExtent l="0" t="0" r="5080" b="4445"/>
            <wp:docPr id="7" name="图片 7" descr="模型架构图.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模型架构图.drawio"/>
                    <pic:cNvPicPr>
                      <a:picLocks noChangeAspect="1"/>
                    </pic:cNvPicPr>
                  </pic:nvPicPr>
                  <pic:blipFill>
                    <a:blip r:embed="rId6"/>
                    <a:stretch>
                      <a:fillRect/>
                    </a:stretch>
                  </pic:blipFill>
                  <pic:spPr>
                    <a:xfrm>
                      <a:off x="0" y="0"/>
                      <a:ext cx="5267960" cy="3104515"/>
                    </a:xfrm>
                    <a:prstGeom prst="rect">
                      <a:avLst/>
                    </a:prstGeom>
                  </pic:spPr>
                </pic:pic>
              </a:graphicData>
            </a:graphic>
          </wp:inline>
        </w:drawing>
      </w:r>
    </w:p>
    <w:p w14:paraId="2E480926">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default"/>
          <w:lang w:val="en-US" w:eastAsia="zh-CN"/>
        </w:rPr>
      </w:pPr>
    </w:p>
    <w:p w14:paraId="16E2FDF8">
      <w:pPr>
        <w:pStyle w:val="4"/>
        <w:bidi w:val="0"/>
        <w:rPr>
          <w:rFonts w:hint="eastAsia"/>
          <w:lang w:val="en-US" w:eastAsia="zh-CN"/>
        </w:rPr>
      </w:pPr>
      <w:r>
        <w:rPr>
          <w:rFonts w:hint="eastAsia"/>
          <w:lang w:val="en-US" w:eastAsia="zh-CN"/>
        </w:rPr>
        <w:t>图编码器</w:t>
      </w:r>
    </w:p>
    <w:p w14:paraId="5970E9D2">
      <w:pPr>
        <w:rPr>
          <w:rFonts w:hint="eastAsia"/>
          <w:lang w:val="en-US" w:eastAsia="zh-CN"/>
        </w:rPr>
      </w:pPr>
      <w:r>
        <w:rPr>
          <w:rFonts w:hint="eastAsia"/>
          <w:lang w:val="en-US" w:eastAsia="zh-CN"/>
        </w:rPr>
        <w:t xml:space="preserve">图编码器构成了本框架的语义核心（Anchor）。本文部署 Graphormer 架构，旨在从拓扑连接与几何空间两个维度对分子图进行深度解构。区别于传统图神经网络受限于局部感受野的缺陷，Graphormer 引入了三位一体的编码策略：中心性编码用于量化原子的节点重要度，空间编码负责记录原子间的最短路径距离，而边缘编码则精确描述化学键类型。经由多层 Graphormer Layer 的迭代处理，模型输出具备高度结构保真度的图表征向量 </w:t>
      </w:r>
      <m:oMath>
        <m:sSub>
          <m:sSubPr>
            <m:ctrlPr>
              <w:rPr>
                <w:rFonts w:hint="default" w:ascii="Cambria Math"/>
              </w:rPr>
            </m:ctrlPr>
          </m:sSubPr>
          <m:e>
            <m:r>
              <m:rPr/>
              <w:rPr>
                <w:rFonts w:hint="default" w:ascii="Cambria Math"/>
              </w:rPr>
              <m:t>F</m:t>
            </m:r>
            <m:ctrlPr>
              <w:rPr>
                <w:rFonts w:hint="default" w:ascii="Cambria Math"/>
              </w:rPr>
            </m:ctrlPr>
          </m:e>
          <m:sub>
            <m:r>
              <m:rPr/>
              <w:rPr>
                <w:rFonts w:hint="default" w:ascii="Cambria Math"/>
              </w:rPr>
              <m:t>g</m:t>
            </m:r>
            <m:ctrlPr>
              <w:rPr>
                <w:rFonts w:hint="default" w:ascii="Cambria Math"/>
              </w:rPr>
            </m:ctrlPr>
          </m:sub>
        </m:sSub>
      </m:oMath>
      <w:r>
        <w:rPr>
          <w:rFonts w:hint="eastAsia"/>
          <w:lang w:val="en-US" w:eastAsia="zh-CN"/>
        </w:rPr>
        <w:t>，该向量在预训练阶段充当了其他模态对齐的“语义锚点”。</w:t>
      </w:r>
    </w:p>
    <w:p w14:paraId="3E4A7DE5">
      <w:pPr>
        <w:pStyle w:val="4"/>
        <w:bidi w:val="0"/>
        <w:rPr>
          <w:rFonts w:hint="default"/>
          <w:lang w:val="en-US" w:eastAsia="zh-CN"/>
        </w:rPr>
      </w:pPr>
      <w:r>
        <w:rPr>
          <w:rFonts w:hint="eastAsia"/>
          <w:lang w:val="en-US" w:eastAsia="zh-CN"/>
        </w:rPr>
        <w:t>指纹编码器</w:t>
      </w:r>
    </w:p>
    <w:p w14:paraId="7522D1C5">
      <w:pPr>
        <w:bidi w:val="0"/>
        <w:rPr>
          <w:rFonts w:hint="eastAsia"/>
          <w:lang w:val="en-US" w:eastAsia="zh-CN"/>
        </w:rPr>
      </w:pPr>
      <w:r>
        <w:t>分子指纹作为一种将分子局部子结构转化为二进制代码的数字化表征手段，其核心机制在于依据既定规则判定分子特定结构是否存在，如图X所示。基于编码策略之差异，现有指纹技术主要涵盖AtomPairs、MACCS及Morgan三类。表XX详尽列示了各指纹</w:t>
      </w:r>
      <w:r>
        <w:rPr>
          <w:rFonts w:hint="eastAsia"/>
          <w:lang w:val="en-US" w:eastAsia="zh-CN"/>
        </w:rPr>
        <w:t>所</w:t>
      </w:r>
      <w:r>
        <w:t>能承载的信息维度。</w:t>
      </w:r>
    </w:p>
    <w:p w14:paraId="18602F8E">
      <w:pPr>
        <w:rPr>
          <w:rFonts w:hint="eastAsia"/>
          <w:lang w:val="en-US" w:eastAsia="zh-CN"/>
        </w:rPr>
      </w:pPr>
    </w:p>
    <w:tbl>
      <w:tblPr>
        <w:tblStyle w:val="17"/>
        <w:tblW w:w="0" w:type="auto"/>
        <w:jc w:val="center"/>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86"/>
        <w:gridCol w:w="1638"/>
        <w:gridCol w:w="1574"/>
        <w:gridCol w:w="1575"/>
      </w:tblGrid>
      <w:tr w14:paraId="195B1D91">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PrEx>
        <w:trPr>
          <w:jc w:val="center"/>
        </w:trPr>
        <w:tc>
          <w:tcPr>
            <w:tcW w:w="1786" w:type="dxa"/>
            <w:tcBorders>
              <w:bottom w:val="single" w:color="auto" w:sz="8" w:space="0"/>
            </w:tcBorders>
          </w:tcPr>
          <w:p w14:paraId="0AA94A75">
            <w:pPr>
              <w:rPr>
                <w:rFonts w:hint="default"/>
                <w:vertAlign w:val="baseline"/>
                <w:lang w:val="en-US" w:eastAsia="zh-CN"/>
              </w:rPr>
            </w:pPr>
            <w:r>
              <w:rPr>
                <w:rFonts w:hint="eastAsia"/>
                <w:vertAlign w:val="baseline"/>
                <w:lang w:val="en-US" w:eastAsia="zh-CN"/>
              </w:rPr>
              <w:t>指纹类型</w:t>
            </w:r>
          </w:p>
        </w:tc>
        <w:tc>
          <w:tcPr>
            <w:tcW w:w="1638" w:type="dxa"/>
            <w:tcBorders>
              <w:bottom w:val="single" w:color="auto" w:sz="8" w:space="0"/>
            </w:tcBorders>
          </w:tcPr>
          <w:p w14:paraId="3A6CC5E2">
            <w:pPr>
              <w:rPr>
                <w:rFonts w:hint="default"/>
                <w:vertAlign w:val="baseline"/>
                <w:lang w:val="en-US" w:eastAsia="zh-CN"/>
              </w:rPr>
            </w:pPr>
            <w:r>
              <w:rPr>
                <w:rFonts w:hint="eastAsia"/>
                <w:vertAlign w:val="baseline"/>
                <w:lang w:val="en-US" w:eastAsia="zh-CN"/>
              </w:rPr>
              <w:t>结构信息</w:t>
            </w:r>
          </w:p>
        </w:tc>
        <w:tc>
          <w:tcPr>
            <w:tcW w:w="1574" w:type="dxa"/>
            <w:tcBorders>
              <w:bottom w:val="single" w:color="auto" w:sz="8" w:space="0"/>
            </w:tcBorders>
          </w:tcPr>
          <w:p w14:paraId="31D0B825">
            <w:pPr>
              <w:rPr>
                <w:rFonts w:hint="default"/>
                <w:vertAlign w:val="baseline"/>
                <w:lang w:val="en-US" w:eastAsia="zh-CN"/>
              </w:rPr>
            </w:pPr>
            <w:r>
              <w:rPr>
                <w:rFonts w:hint="eastAsia"/>
                <w:vertAlign w:val="baseline"/>
                <w:lang w:val="en-US" w:eastAsia="zh-CN"/>
              </w:rPr>
              <w:t>功能信息</w:t>
            </w:r>
          </w:p>
        </w:tc>
        <w:tc>
          <w:tcPr>
            <w:tcW w:w="1575" w:type="dxa"/>
            <w:tcBorders>
              <w:bottom w:val="single" w:color="auto" w:sz="8" w:space="0"/>
            </w:tcBorders>
          </w:tcPr>
          <w:p w14:paraId="1FA6559A">
            <w:pPr>
              <w:rPr>
                <w:rFonts w:hint="default"/>
                <w:vertAlign w:val="baseline"/>
                <w:lang w:val="en-US" w:eastAsia="zh-CN"/>
              </w:rPr>
            </w:pPr>
            <w:r>
              <w:rPr>
                <w:rFonts w:hint="eastAsia"/>
                <w:vertAlign w:val="baseline"/>
                <w:lang w:val="en-US" w:eastAsia="zh-CN"/>
              </w:rPr>
              <w:t>拓扑信息</w:t>
            </w:r>
          </w:p>
        </w:tc>
      </w:tr>
      <w:tr w14:paraId="5DE8795F">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786" w:type="dxa"/>
            <w:tcBorders>
              <w:top w:val="single" w:color="auto" w:sz="8" w:space="0"/>
              <w:tl2br w:val="nil"/>
              <w:tr2bl w:val="nil"/>
            </w:tcBorders>
          </w:tcPr>
          <w:p w14:paraId="4A560315">
            <w:pPr>
              <w:rPr>
                <w:rFonts w:hint="default"/>
                <w:vertAlign w:val="baseline"/>
                <w:lang w:val="en-US" w:eastAsia="zh-CN"/>
              </w:rPr>
            </w:pPr>
            <w:r>
              <w:rPr>
                <w:rFonts w:hint="eastAsia"/>
                <w:lang w:val="en-US" w:eastAsia="zh-CN"/>
              </w:rPr>
              <w:t xml:space="preserve">AtomPairs </w:t>
            </w:r>
          </w:p>
        </w:tc>
        <w:tc>
          <w:tcPr>
            <w:tcW w:w="1638" w:type="dxa"/>
            <w:tcBorders>
              <w:top w:val="single" w:color="auto" w:sz="8" w:space="0"/>
              <w:tl2br w:val="nil"/>
              <w:tr2bl w:val="nil"/>
            </w:tcBorders>
          </w:tcPr>
          <w:p w14:paraId="09A50823">
            <w:pPr>
              <w:rPr>
                <w:rFonts w:hint="default"/>
                <w:vertAlign w:val="baseline"/>
                <w:lang w:val="en-US" w:eastAsia="zh-CN"/>
              </w:rPr>
            </w:pPr>
            <w:r>
              <w:rPr>
                <w:rFonts w:hint="eastAsia"/>
                <w:vertAlign w:val="baseline"/>
                <w:lang w:val="en-US" w:eastAsia="zh-CN"/>
              </w:rPr>
              <w:t>√</w:t>
            </w:r>
          </w:p>
        </w:tc>
        <w:tc>
          <w:tcPr>
            <w:tcW w:w="1574" w:type="dxa"/>
            <w:tcBorders>
              <w:top w:val="single" w:color="auto" w:sz="8" w:space="0"/>
              <w:tl2br w:val="nil"/>
              <w:tr2bl w:val="nil"/>
            </w:tcBorders>
          </w:tcPr>
          <w:p w14:paraId="1E01253E">
            <w:pPr>
              <w:rPr>
                <w:rFonts w:hint="default"/>
                <w:vertAlign w:val="baseline"/>
                <w:lang w:val="en-US" w:eastAsia="zh-CN"/>
              </w:rPr>
            </w:pPr>
          </w:p>
        </w:tc>
        <w:tc>
          <w:tcPr>
            <w:tcW w:w="1575" w:type="dxa"/>
            <w:tcBorders>
              <w:top w:val="single" w:color="auto" w:sz="8" w:space="0"/>
              <w:tl2br w:val="nil"/>
              <w:tr2bl w:val="nil"/>
            </w:tcBorders>
          </w:tcPr>
          <w:p w14:paraId="3D74EBA4">
            <w:pPr>
              <w:rPr>
                <w:rFonts w:hint="default"/>
                <w:vertAlign w:val="baseline"/>
                <w:lang w:val="en-US" w:eastAsia="zh-CN"/>
              </w:rPr>
            </w:pPr>
            <w:r>
              <w:rPr>
                <w:rFonts w:hint="eastAsia"/>
                <w:vertAlign w:val="baseline"/>
                <w:lang w:val="en-US" w:eastAsia="zh-CN"/>
              </w:rPr>
              <w:t>√</w:t>
            </w:r>
          </w:p>
        </w:tc>
      </w:tr>
      <w:tr w14:paraId="22A9730F">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786" w:type="dxa"/>
            <w:tcBorders>
              <w:tl2br w:val="nil"/>
              <w:tr2bl w:val="nil"/>
            </w:tcBorders>
          </w:tcPr>
          <w:p w14:paraId="31514E53">
            <w:pPr>
              <w:rPr>
                <w:rFonts w:hint="eastAsia"/>
                <w:lang w:val="en-US" w:eastAsia="zh-CN"/>
              </w:rPr>
            </w:pPr>
            <w:r>
              <w:rPr>
                <w:rFonts w:hint="eastAsia"/>
                <w:lang w:val="en-US" w:eastAsia="zh-CN"/>
              </w:rPr>
              <w:t xml:space="preserve">MACCS </w:t>
            </w:r>
          </w:p>
        </w:tc>
        <w:tc>
          <w:tcPr>
            <w:tcW w:w="1638" w:type="dxa"/>
            <w:tcBorders>
              <w:tl2br w:val="nil"/>
              <w:tr2bl w:val="nil"/>
            </w:tcBorders>
          </w:tcPr>
          <w:p w14:paraId="680C3DC7">
            <w:pPr>
              <w:rPr>
                <w:rFonts w:hint="default"/>
                <w:vertAlign w:val="baseline"/>
                <w:lang w:val="en-US" w:eastAsia="zh-CN"/>
              </w:rPr>
            </w:pPr>
            <w:r>
              <w:rPr>
                <w:rFonts w:hint="eastAsia"/>
                <w:vertAlign w:val="baseline"/>
                <w:lang w:val="en-US" w:eastAsia="zh-CN"/>
              </w:rPr>
              <w:t>√</w:t>
            </w:r>
          </w:p>
        </w:tc>
        <w:tc>
          <w:tcPr>
            <w:tcW w:w="1574" w:type="dxa"/>
            <w:tcBorders>
              <w:tl2br w:val="nil"/>
              <w:tr2bl w:val="nil"/>
            </w:tcBorders>
          </w:tcPr>
          <w:p w14:paraId="6447CA02">
            <w:pPr>
              <w:rPr>
                <w:rFonts w:hint="default"/>
                <w:vertAlign w:val="baseline"/>
                <w:lang w:val="en-US" w:eastAsia="zh-CN"/>
              </w:rPr>
            </w:pPr>
            <w:r>
              <w:rPr>
                <w:rFonts w:hint="eastAsia"/>
                <w:vertAlign w:val="baseline"/>
                <w:lang w:val="en-US" w:eastAsia="zh-CN"/>
              </w:rPr>
              <w:t>√</w:t>
            </w:r>
          </w:p>
        </w:tc>
        <w:tc>
          <w:tcPr>
            <w:tcW w:w="1575" w:type="dxa"/>
            <w:tcBorders>
              <w:tl2br w:val="nil"/>
              <w:tr2bl w:val="nil"/>
            </w:tcBorders>
          </w:tcPr>
          <w:p w14:paraId="0091A139">
            <w:pPr>
              <w:rPr>
                <w:rFonts w:hint="default"/>
                <w:vertAlign w:val="baseline"/>
                <w:lang w:val="en-US" w:eastAsia="zh-CN"/>
              </w:rPr>
            </w:pPr>
          </w:p>
        </w:tc>
      </w:tr>
      <w:tr w14:paraId="7F3AD568">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786" w:type="dxa"/>
            <w:tcBorders>
              <w:tl2br w:val="nil"/>
              <w:tr2bl w:val="nil"/>
            </w:tcBorders>
          </w:tcPr>
          <w:p w14:paraId="02BFD4F1">
            <w:pPr>
              <w:rPr>
                <w:rFonts w:hint="eastAsia"/>
                <w:lang w:val="en-US" w:eastAsia="zh-CN"/>
              </w:rPr>
            </w:pPr>
            <w:r>
              <w:rPr>
                <w:rFonts w:hint="default"/>
                <w:lang w:val="en-US" w:eastAsia="zh-CN"/>
              </w:rPr>
              <w:t>Morgan</w:t>
            </w:r>
          </w:p>
        </w:tc>
        <w:tc>
          <w:tcPr>
            <w:tcW w:w="1638" w:type="dxa"/>
            <w:tcBorders>
              <w:tl2br w:val="nil"/>
              <w:tr2bl w:val="nil"/>
            </w:tcBorders>
          </w:tcPr>
          <w:p w14:paraId="235A28F7">
            <w:pPr>
              <w:rPr>
                <w:rFonts w:hint="default"/>
                <w:vertAlign w:val="baseline"/>
                <w:lang w:val="en-US" w:eastAsia="zh-CN"/>
              </w:rPr>
            </w:pPr>
            <w:r>
              <w:rPr>
                <w:rFonts w:hint="eastAsia"/>
                <w:vertAlign w:val="baseline"/>
                <w:lang w:val="en-US" w:eastAsia="zh-CN"/>
              </w:rPr>
              <w:t>√</w:t>
            </w:r>
          </w:p>
        </w:tc>
        <w:tc>
          <w:tcPr>
            <w:tcW w:w="1574" w:type="dxa"/>
            <w:tcBorders>
              <w:tl2br w:val="nil"/>
              <w:tr2bl w:val="nil"/>
            </w:tcBorders>
          </w:tcPr>
          <w:p w14:paraId="17D50701">
            <w:pPr>
              <w:rPr>
                <w:rFonts w:hint="default"/>
                <w:vertAlign w:val="baseline"/>
                <w:lang w:val="en-US" w:eastAsia="zh-CN"/>
              </w:rPr>
            </w:pPr>
          </w:p>
        </w:tc>
        <w:tc>
          <w:tcPr>
            <w:tcW w:w="1575" w:type="dxa"/>
            <w:tcBorders>
              <w:tl2br w:val="nil"/>
              <w:tr2bl w:val="nil"/>
            </w:tcBorders>
          </w:tcPr>
          <w:p w14:paraId="25781416">
            <w:pPr>
              <w:rPr>
                <w:rFonts w:hint="default"/>
                <w:vertAlign w:val="baseline"/>
                <w:lang w:val="en-US" w:eastAsia="zh-CN"/>
              </w:rPr>
            </w:pPr>
            <w:r>
              <w:rPr>
                <w:rFonts w:hint="eastAsia"/>
                <w:vertAlign w:val="baseline"/>
                <w:lang w:val="en-US" w:eastAsia="zh-CN"/>
              </w:rPr>
              <w:t>√</w:t>
            </w:r>
          </w:p>
        </w:tc>
      </w:tr>
    </w:tbl>
    <w:p w14:paraId="543C034C">
      <w:pPr>
        <w:ind w:left="0" w:leftChars="0" w:firstLine="0" w:firstLineChars="0"/>
        <w:rPr>
          <w:rFonts w:hint="default"/>
          <w:lang w:val="en-US" w:eastAsia="zh-CN"/>
        </w:rPr>
      </w:pPr>
    </w:p>
    <w:p w14:paraId="793FBA7A">
      <w:pPr>
        <w:bidi w:val="0"/>
      </w:pPr>
      <w:r>
        <w:rPr>
          <w:rFonts w:hint="default"/>
        </w:rPr>
        <w:t>AtomPairs</w:t>
      </w:r>
      <w:r>
        <w:t>指纹侧重于提取分子内全部非氢原子对的拓扑特征，该方法依照原子类型及原子间最短路径距离实施编码，进而有效捕捉分子内部空间关联与结构属性，尤为适宜表征分散官能团与整体构型间之关系。MACCS指纹则建立于166个结构密钥基础之上形成二进制序列，每一密钥均指向特定分子子结构或化学特性；若分子具备密钥定义之结构，对应位赋值为1，反之则置0。本研究中，Morgan算法参数设定为半径2，比特数2048。</w:t>
      </w:r>
    </w:p>
    <w:p w14:paraId="02498C8B">
      <w:pPr>
        <w:bidi w:val="0"/>
      </w:pPr>
      <w:r>
        <w:t>前述三种指纹凭借相异编码策略，实现了对分子结构信息的多维覆盖，有效规避了单一类型之局限。综合利用三者有助于构建更为精细的分子特征图谱，赋予模型训练强劲输入支撑。实验将三种指纹拼接并导入分子指纹编码器，借助包含激活函数的多层感知机（MLP）习得非线性映射关系，将其投影至统一向量空间。具体运算流程如下：</w:t>
      </w:r>
    </w:p>
    <w:p w14:paraId="2DE1FD8E">
      <w:pPr>
        <w:bidi w:val="0"/>
        <w:rPr>
          <w:rFonts w:hint="default" w:hAnsi="Cambria Math" w:cs="Times New Roman"/>
          <w:i w:val="0"/>
          <w:kern w:val="2"/>
          <w:sz w:val="21"/>
          <w:szCs w:val="24"/>
          <w:lang w:val="en-US" w:eastAsia="zh-CN" w:bidi="ar-SA"/>
        </w:rPr>
      </w:pPr>
      <m:oMathPara>
        <m:oMath>
          <m:r>
            <m:rPr/>
            <w:rPr>
              <w:rFonts w:hint="default" w:ascii="Cambria Math" w:hAnsi="Cambria Math" w:eastAsia="sans-serif"/>
              <w:sz w:val="24"/>
            </w:rPr>
            <m:t>Output=σ(W⋅[</m:t>
          </m:r>
          <m:r>
            <m:rPr/>
            <w:rPr>
              <w:rFonts w:hint="default" w:ascii="Cambria Math" w:hAnsi="Cambria Math" w:eastAsia="宋体"/>
              <w:sz w:val="24"/>
              <w:lang w:val="en-US" w:eastAsia="zh-CN"/>
            </w:rPr>
            <m:t>A</m:t>
          </m:r>
          <m:r>
            <m:rPr/>
            <w:rPr>
              <w:rFonts w:hint="default" w:ascii="Cambria Math" w:hAnsi="Cambria Math" w:eastAsia="sans-serif"/>
              <w:sz w:val="24"/>
            </w:rPr>
            <m:t>(x),B(x),C(x)]+b)</m:t>
          </m:r>
        </m:oMath>
      </m:oMathPara>
    </w:p>
    <w:p w14:paraId="6DB75378">
      <w:pPr>
        <w:bidi w:val="0"/>
      </w:pPr>
      <w:r>
        <w:rPr>
          <w:lang w:val="en-US" w:eastAsia="zh-CN"/>
        </w:rPr>
        <w:t>式中：</w:t>
      </w:r>
      <m:oMath>
        <m:r>
          <m:rPr/>
          <w:rPr>
            <w:rFonts w:hint="default" w:ascii="Cambria Math" w:hAnsi="Cambria Math" w:eastAsia="宋体"/>
            <w:sz w:val="24"/>
            <w:lang w:val="en-US" w:eastAsia="zh-CN"/>
          </w:rPr>
          <m:t>A</m:t>
        </m:r>
        <m:r>
          <m:rPr/>
          <w:rPr>
            <w:rFonts w:hint="default" w:ascii="Cambria Math" w:hAnsi="Cambria Math" w:eastAsia="sans-serif"/>
            <w:sz w:val="24"/>
          </w:rPr>
          <m:t>(x)</m:t>
        </m:r>
      </m:oMath>
      <w:r>
        <w:rPr>
          <w:lang w:val="en-US" w:eastAsia="zh-CN"/>
        </w:rPr>
        <w:t>代表AtomPairs指纹，</w:t>
      </w:r>
      <m:oMath>
        <m:r>
          <m:rPr>
            <m:sty m:val="p"/>
          </m:rPr>
          <w:rPr>
            <w:rFonts w:hint="default" w:ascii="Times New Roman" w:hAnsi="Times New Roman"/>
          </w:rPr>
          <m:t>B(x)</m:t>
        </m:r>
      </m:oMath>
      <w:r>
        <w:rPr>
          <w:lang w:val="en-US" w:eastAsia="zh-CN"/>
        </w:rPr>
        <w:t>指代MACCS指纹，</w:t>
      </w:r>
      <m:oMath>
        <m:r>
          <m:rPr>
            <m:sty m:val="p"/>
          </m:rPr>
          <w:rPr>
            <w:rFonts w:hint="default" w:ascii="Times New Roman" w:hAnsi="Times New Roman"/>
          </w:rPr>
          <m:t>C(x)</m:t>
        </m:r>
      </m:oMath>
      <w:r>
        <w:rPr>
          <w:lang w:val="en-US" w:eastAsia="zh-CN"/>
        </w:rPr>
        <w:t>为Morgan指纹；</w:t>
      </w:r>
      <m:oMath>
        <m:r>
          <m:rPr>
            <m:sty m:val="p"/>
          </m:rPr>
          <w:rPr>
            <w:rFonts w:hint="default" w:ascii="Times New Roman" w:hAnsi="Times New Roman"/>
          </w:rPr>
          <m:t>σ</m:t>
        </m:r>
      </m:oMath>
      <w:r>
        <w:rPr>
          <w:lang w:val="en-US" w:eastAsia="zh-CN"/>
        </w:rPr>
        <w:t>表示ReLU激活函数，</w:t>
      </w:r>
      <m:oMath>
        <m:r>
          <m:rPr>
            <m:sty m:val="p"/>
          </m:rPr>
          <w:rPr>
            <w:rFonts w:hint="default" w:ascii="Times New Roman" w:hAnsi="Times New Roman"/>
          </w:rPr>
          <m:t>W</m:t>
        </m:r>
      </m:oMath>
      <w:r>
        <w:rPr>
          <w:lang w:val="en-US" w:eastAsia="zh-CN"/>
        </w:rPr>
        <w:t>与</w:t>
      </w:r>
      <m:oMath>
        <m:r>
          <m:rPr>
            <m:sty m:val="p"/>
          </m:rPr>
          <w:rPr>
            <w:rFonts w:hint="default" w:ascii="Times New Roman" w:hAnsi="Times New Roman"/>
          </w:rPr>
          <m:t>b</m:t>
        </m:r>
      </m:oMath>
      <w:r>
        <w:rPr>
          <w:lang w:val="en-US" w:eastAsia="zh-CN"/>
        </w:rPr>
        <w:t>分别对应权重矩阵及偏置向量。</w:t>
      </w:r>
    </w:p>
    <w:p w14:paraId="670561D1">
      <w:pPr>
        <w:pStyle w:val="4"/>
        <w:bidi w:val="0"/>
        <w:rPr>
          <w:rFonts w:hint="default"/>
          <w:lang w:val="en-US" w:eastAsia="zh-CN"/>
        </w:rPr>
      </w:pPr>
      <w:r>
        <w:rPr>
          <w:rFonts w:hint="eastAsia"/>
          <w:lang w:val="en-US" w:eastAsia="zh-CN"/>
        </w:rPr>
        <w:t>序列编码器</w:t>
      </w:r>
    </w:p>
    <w:p w14:paraId="5A11323B">
      <w:pPr>
        <w:rPr>
          <w:rFonts w:hint="default"/>
          <w:lang w:val="en-US" w:eastAsia="zh-CN"/>
        </w:rPr>
      </w:pPr>
      <w:r>
        <w:rPr>
          <w:rFonts w:hint="default"/>
          <w:lang w:val="en-US" w:eastAsia="zh-CN"/>
        </w:rPr>
        <w:t xml:space="preserve">SMILES 字符串虽以线性文本形式存在，其本质却蕴含着复杂的化学拓扑逻辑与层次化结构。鉴于此，本文摒弃了传统的循环神经网络（RNN）方案，转而采用RoBERTa 变体 Transformer 架构作为序列特征提取引擎。相较于 RNN 易受梯度消失困扰的固有缺陷，该架构凭借全局自注意力机制，具备跨越线性序列距离、直接锁定远端原子关联的能力。输入流处理：原始 SMILES 序列经由分词器离散化为 Token 流后，于序列首部植入全局表征符 [CLS]，以此作为整个分子序列信息的聚合锚点。长程依赖建模：如图 3-1（模块 3）所示，借助多头注意力层，模型能够穿透线性的字符间隔，精准捕捉支链末端或大环闭合点间的空间语义一致性。特征投影：最终层输出的 [CLS] 隐状态向量被提取为序列全局表征 </w:t>
      </w:r>
      <m:oMath>
        <m:sSub>
          <m:sSubPr>
            <m:ctrlPr>
              <w:rPr>
                <w:rFonts w:hint="default" w:ascii="Cambria Math"/>
              </w:rPr>
            </m:ctrlPr>
          </m:sSubPr>
          <m:e>
            <m:r>
              <m:rPr/>
              <w:rPr>
                <w:rFonts w:hint="default" w:ascii="Cambria Math"/>
              </w:rPr>
              <m:t>F</m:t>
            </m:r>
            <m:ctrlPr>
              <w:rPr>
                <w:rFonts w:hint="default" w:ascii="Cambria Math"/>
              </w:rPr>
            </m:ctrlPr>
          </m:e>
          <m:sub>
            <m:r>
              <m:rPr/>
              <w:rPr>
                <w:rFonts w:hint="default" w:ascii="Cambria Math"/>
              </w:rPr>
              <m:t>s</m:t>
            </m:r>
            <m:ctrlPr>
              <w:rPr>
                <w:rFonts w:hint="default" w:ascii="Cambria Math"/>
              </w:rPr>
            </m:ctrlPr>
          </m:sub>
        </m:sSub>
      </m:oMath>
      <w:r>
        <w:rPr>
          <w:rFonts w:hint="default"/>
          <w:lang w:val="en-US" w:eastAsia="zh-CN"/>
        </w:rPr>
        <w:t xml:space="preserve">，随后经由全连接层映射至与图特征 </w:t>
      </w:r>
      <m:oMath>
        <m:sSub>
          <m:sSubPr>
            <m:ctrlPr>
              <w:rPr>
                <w:rFonts w:hint="default" w:ascii="Cambria Math"/>
              </w:rPr>
            </m:ctrlPr>
          </m:sSubPr>
          <m:e>
            <m:r>
              <m:rPr/>
              <w:rPr>
                <w:rFonts w:hint="default" w:ascii="Cambria Math"/>
              </w:rPr>
              <m:t>F</m:t>
            </m:r>
            <m:ctrlPr>
              <w:rPr>
                <w:rFonts w:hint="default" w:ascii="Cambria Math"/>
              </w:rPr>
            </m:ctrlPr>
          </m:e>
          <m:sub>
            <m:r>
              <m:rPr/>
              <w:rPr>
                <w:rFonts w:hint="default" w:ascii="Cambria Math"/>
              </w:rPr>
              <m:t>g</m:t>
            </m:r>
            <m:ctrlPr>
              <w:rPr>
                <w:rFonts w:hint="default" w:ascii="Cambria Math"/>
              </w:rPr>
            </m:ctrlPr>
          </m:sub>
        </m:sSub>
      </m:oMath>
      <w:r>
        <w:rPr>
          <w:rFonts w:hint="default"/>
          <w:lang w:val="en-US" w:eastAsia="zh-CN"/>
        </w:rPr>
        <w:t>等维的语义空间，为后续的跨模态对齐奠定维度基础。</w:t>
      </w:r>
    </w:p>
    <w:p w14:paraId="5B6CBE39">
      <w:pPr>
        <w:pStyle w:val="4"/>
        <w:bidi w:val="0"/>
        <w:rPr>
          <w:rFonts w:hint="default"/>
          <w:lang w:val="en-US" w:eastAsia="zh-CN"/>
        </w:rPr>
      </w:pPr>
      <w:r>
        <w:rPr>
          <w:rFonts w:hint="eastAsia"/>
          <w:lang w:val="en-US" w:eastAsia="zh-CN"/>
        </w:rPr>
        <w:t>文本编码器</w:t>
      </w:r>
    </w:p>
    <w:p w14:paraId="3CAF7708">
      <w:pPr>
        <w:jc w:val="both"/>
        <w:rPr>
          <w:rFonts w:hint="eastAsia"/>
          <w:lang w:val="en-US" w:eastAsia="zh-CN"/>
        </w:rPr>
      </w:pPr>
      <w:r>
        <w:rPr>
          <w:rFonts w:hint="default"/>
          <w:lang w:val="en-US" w:eastAsia="zh-CN"/>
        </w:rPr>
        <w:t>该模块实现了本文核心创新点之一：知识增强重写。</w:t>
      </w:r>
      <w:r>
        <w:rPr>
          <w:rFonts w:hint="eastAsia"/>
          <w:lang w:val="en-US" w:eastAsia="zh-CN"/>
        </w:rPr>
        <w:t>针对原始数据库文本可能存在的噪声干扰与信息冗余，本文设计了如下处理链路：</w:t>
      </w:r>
    </w:p>
    <w:p w14:paraId="22AACF06">
      <w:pPr>
        <w:numPr>
          <w:ilvl w:val="0"/>
          <w:numId w:val="4"/>
        </w:numPr>
        <w:jc w:val="both"/>
        <w:rPr>
          <w:rFonts w:hint="eastAsia"/>
          <w:lang w:val="en-US" w:eastAsia="zh-CN"/>
        </w:rPr>
      </w:pPr>
      <w:r>
        <w:rPr>
          <w:rFonts w:hint="eastAsia"/>
          <w:lang w:val="en-US" w:eastAsia="zh-CN"/>
        </w:rPr>
        <w:t>知识注入：利用 PubChem API 获取原始描述，并融合由 RDKit 计算得出的</w:t>
      </w:r>
      <w:r>
        <w:rPr>
          <w:rFonts w:hint="eastAsia"/>
          <w:color w:val="FF0000"/>
          <w:lang w:val="en-US" w:eastAsia="zh-CN"/>
        </w:rPr>
        <w:t>12</w:t>
      </w:r>
      <w:r>
        <w:rPr>
          <w:rFonts w:hint="eastAsia"/>
          <w:lang w:val="en-US" w:eastAsia="zh-CN"/>
        </w:rPr>
        <w:t>项关键理化指标（如 LogP、TPSA 等）。</w:t>
      </w:r>
    </w:p>
    <w:p w14:paraId="2490DD16">
      <w:pPr>
        <w:numPr>
          <w:ilvl w:val="0"/>
          <w:numId w:val="4"/>
        </w:numPr>
        <w:jc w:val="both"/>
        <w:rPr>
          <w:rFonts w:hint="default"/>
          <w:lang w:val="en-US" w:eastAsia="zh-CN"/>
        </w:rPr>
      </w:pPr>
      <w:r>
        <w:rPr>
          <w:rFonts w:hint="eastAsia"/>
          <w:lang w:val="en-US" w:eastAsia="zh-CN"/>
        </w:rPr>
        <w:t>LLM 重写：利用大语言模型充当领域专家，将定量的理化数值与定性的文本描述有机融合，生成逻辑严密、去噪后的高质量文本。</w:t>
      </w:r>
    </w:p>
    <w:p w14:paraId="7983D170">
      <w:pPr>
        <w:numPr>
          <w:ilvl w:val="0"/>
          <w:numId w:val="4"/>
        </w:numPr>
        <w:jc w:val="both"/>
        <w:rPr>
          <w:rFonts w:hint="default"/>
          <w:lang w:val="en-US" w:eastAsia="zh-CN"/>
        </w:rPr>
      </w:pPr>
      <w:r>
        <w:rPr>
          <w:rFonts w:hint="eastAsia"/>
          <w:lang w:val="en-US" w:eastAsia="zh-CN"/>
        </w:rPr>
        <w:t xml:space="preserve">语义编码：重写后的文本被送入预训练 SciBERT 编码器。得益于其在海量科学文献上的预训练先验，SciBERT 能够敏锐捕捉分子描述中的专业术语语义，最终输出高密度的文本特征向量 </w:t>
      </w:r>
      <m:oMath>
        <m:sSub>
          <m:sSubPr>
            <m:ctrlPr>
              <w:rPr>
                <w:rFonts w:hint="default" w:ascii="Cambria Math"/>
              </w:rPr>
            </m:ctrlPr>
          </m:sSubPr>
          <m:e>
            <m:r>
              <m:rPr/>
              <w:rPr>
                <w:rFonts w:hint="default" w:ascii="Cambria Math"/>
              </w:rPr>
              <m:t>F</m:t>
            </m:r>
            <m:ctrlPr>
              <w:rPr>
                <w:rFonts w:hint="default" w:ascii="Cambria Math"/>
              </w:rPr>
            </m:ctrlPr>
          </m:e>
          <m:sub>
            <m:r>
              <m:rPr/>
              <w:rPr>
                <w:rFonts w:hint="default" w:ascii="Cambria Math"/>
              </w:rPr>
              <m:t>t</m:t>
            </m:r>
            <m:ctrlPr>
              <w:rPr>
                <w:rFonts w:hint="default" w:ascii="Cambria Math"/>
              </w:rPr>
            </m:ctrlPr>
          </m:sub>
        </m:sSub>
      </m:oMath>
      <w:r>
        <w:rPr>
          <w:rFonts w:hint="eastAsia"/>
          <w:lang w:val="en-US" w:eastAsia="zh-CN"/>
        </w:rPr>
        <w:t>。</w:t>
      </w:r>
    </w:p>
    <w:p w14:paraId="063DB7DA">
      <w:pPr>
        <w:numPr>
          <w:ilvl w:val="0"/>
          <w:numId w:val="0"/>
        </w:numPr>
        <w:ind w:leftChars="200"/>
        <w:jc w:val="both"/>
        <w:rPr>
          <w:rFonts w:hint="default"/>
          <w:lang w:val="en-US" w:eastAsia="zh-CN"/>
        </w:rPr>
      </w:pPr>
      <w:r>
        <w:rPr>
          <w:rFonts w:hint="eastAsia"/>
          <w:lang w:val="en-US" w:eastAsia="zh-CN"/>
        </w:rPr>
        <w:t>具体的构建流程见实验设计预训练数据章节。</w:t>
      </w:r>
    </w:p>
    <w:p w14:paraId="2CB3DBC5">
      <w:pPr>
        <w:pStyle w:val="4"/>
        <w:bidi w:val="0"/>
        <w:rPr>
          <w:rFonts w:hint="default"/>
          <w:lang w:val="en-US" w:eastAsia="zh-CN"/>
        </w:rPr>
      </w:pPr>
      <w:r>
        <w:rPr>
          <w:rFonts w:hint="eastAsia"/>
          <w:lang w:val="en-US" w:eastAsia="zh-CN"/>
        </w:rPr>
        <w:t>融合与预测</w:t>
      </w:r>
    </w:p>
    <w:p w14:paraId="6CB67CDE">
      <w:pPr>
        <w:rPr>
          <w:rFonts w:hint="default"/>
          <w:lang w:val="en-US" w:eastAsia="zh-CN"/>
        </w:rPr>
      </w:pPr>
      <w:r>
        <w:rPr>
          <w:rFonts w:hint="default"/>
          <w:lang w:val="en-US" w:eastAsia="zh-CN"/>
        </w:rPr>
        <w:t>在下游任务微调阶段，模型通过交叉注意力机制实现多模态信息的自适应融合。动态加权融合</w:t>
      </w:r>
      <w:r>
        <w:rPr>
          <w:rFonts w:hint="eastAsia"/>
          <w:lang w:val="en-US" w:eastAsia="zh-CN"/>
        </w:rPr>
        <w:t>机制允许</w:t>
      </w:r>
      <w:r>
        <w:rPr>
          <w:rFonts w:hint="default"/>
          <w:lang w:val="en-US" w:eastAsia="zh-CN"/>
        </w:rPr>
        <w:t>模型根据不同性质预测任务的需求，自动学习不同模态特征</w:t>
      </w:r>
      <m:oMath>
        <m:r>
          <m:rPr>
            <m:sty m:val="p"/>
          </m:rPr>
          <w:rPr>
            <w:rFonts w:hint="default" w:ascii="Cambria Math"/>
          </w:rPr>
          <m:t>（</m:t>
        </m:r>
        <m:sSub>
          <m:sSubPr>
            <m:ctrlPr>
              <w:rPr>
                <w:rFonts w:hint="default" w:ascii="Cambria Math"/>
              </w:rPr>
            </m:ctrlPr>
          </m:sSubPr>
          <m:e>
            <m:r>
              <m:rPr/>
              <w:rPr>
                <w:rFonts w:hint="default" w:ascii="Cambria Math"/>
              </w:rPr>
              <m:t>F</m:t>
            </m:r>
            <m:ctrlPr>
              <w:rPr>
                <w:rFonts w:hint="default" w:ascii="Cambria Math"/>
              </w:rPr>
            </m:ctrlPr>
          </m:e>
          <m:sub>
            <m:r>
              <m:rPr/>
              <w:rPr>
                <w:rFonts w:hint="default" w:ascii="Cambria Math"/>
              </w:rPr>
              <m:t>g</m:t>
            </m:r>
            <m:ctrlPr>
              <w:rPr>
                <w:rFonts w:hint="default" w:ascii="Cambria Math"/>
              </w:rPr>
            </m:ctrlPr>
          </m:sub>
        </m:sSub>
        <m:r>
          <m:rPr/>
          <w:rPr>
            <w:rFonts w:hint="default" w:ascii="Cambria Math"/>
          </w:rPr>
          <m:t>,</m:t>
        </m:r>
        <m:sSub>
          <m:sSubPr>
            <m:ctrlPr>
              <w:rPr>
                <w:rFonts w:hint="default" w:ascii="Cambria Math"/>
              </w:rPr>
            </m:ctrlPr>
          </m:sSubPr>
          <m:e>
            <m:r>
              <m:rPr/>
              <w:rPr>
                <w:rFonts w:hint="default" w:ascii="Cambria Math"/>
              </w:rPr>
              <m:t>F</m:t>
            </m:r>
            <m:ctrlPr>
              <w:rPr>
                <w:rFonts w:hint="default" w:ascii="Cambria Math"/>
              </w:rPr>
            </m:ctrlPr>
          </m:e>
          <m:sub>
            <m:r>
              <m:rPr/>
              <w:rPr>
                <w:rFonts w:hint="default" w:ascii="Cambria Math"/>
              </w:rPr>
              <m:t>s</m:t>
            </m:r>
            <m:ctrlPr>
              <w:rPr>
                <w:rFonts w:hint="default" w:ascii="Cambria Math"/>
              </w:rPr>
            </m:ctrlPr>
          </m:sub>
        </m:sSub>
        <m:r>
          <m:rPr/>
          <w:rPr>
            <w:rFonts w:hint="default" w:ascii="Cambria Math"/>
          </w:rPr>
          <m:t>,</m:t>
        </m:r>
        <m:sSub>
          <m:sSubPr>
            <m:ctrlPr>
              <w:rPr>
                <w:rFonts w:hint="default" w:ascii="Cambria Math"/>
              </w:rPr>
            </m:ctrlPr>
          </m:sSubPr>
          <m:e>
            <m:r>
              <m:rPr/>
              <w:rPr>
                <w:rFonts w:hint="default" w:ascii="Cambria Math"/>
              </w:rPr>
              <m:t>F</m:t>
            </m:r>
            <m:ctrlPr>
              <w:rPr>
                <w:rFonts w:hint="default" w:ascii="Cambria Math"/>
              </w:rPr>
            </m:ctrlPr>
          </m:e>
          <m:sub>
            <m:r>
              <m:rPr/>
              <w:rPr>
                <w:rFonts w:hint="default" w:ascii="Cambria Math"/>
              </w:rPr>
              <m:t>f</m:t>
            </m:r>
            <m:ctrlPr>
              <w:rPr>
                <w:rFonts w:hint="default" w:ascii="Cambria Math"/>
              </w:rPr>
            </m:ctrlPr>
          </m:sub>
        </m:sSub>
        <m:r>
          <m:rPr/>
          <w:rPr>
            <w:rFonts w:hint="default" w:ascii="Cambria Math"/>
          </w:rPr>
          <m:t>,</m:t>
        </m:r>
        <m:sSub>
          <m:sSubPr>
            <m:ctrlPr>
              <w:rPr>
                <w:rFonts w:hint="default" w:ascii="Cambria Math"/>
              </w:rPr>
            </m:ctrlPr>
          </m:sSubPr>
          <m:e>
            <m:r>
              <m:rPr/>
              <w:rPr>
                <w:rFonts w:hint="default" w:ascii="Cambria Math"/>
              </w:rPr>
              <m:t>F</m:t>
            </m:r>
            <m:ctrlPr>
              <w:rPr>
                <w:rFonts w:hint="default" w:ascii="Cambria Math"/>
              </w:rPr>
            </m:ctrlPr>
          </m:e>
          <m:sub>
            <m:r>
              <m:rPr/>
              <w:rPr>
                <w:rFonts w:hint="default" w:ascii="Cambria Math"/>
              </w:rPr>
              <m:t>t</m:t>
            </m:r>
            <m:ctrlPr>
              <w:rPr>
                <w:rFonts w:hint="default" w:ascii="Cambria Math"/>
              </w:rPr>
            </m:ctrlPr>
          </m:sub>
        </m:sSub>
        <m:r>
          <m:rPr>
            <m:sty m:val="p"/>
          </m:rPr>
          <w:rPr>
            <w:rFonts w:hint="default" w:ascii="Cambria Math"/>
          </w:rPr>
          <m:t>）</m:t>
        </m:r>
      </m:oMath>
      <w:r>
        <w:rPr>
          <w:rFonts w:hint="default"/>
          <w:lang w:val="en-US" w:eastAsia="zh-CN"/>
        </w:rPr>
        <w:t>的重要性权重</w:t>
      </w:r>
      <m:oMath>
        <m:sSub>
          <m:sSubPr>
            <m:ctrlPr>
              <w:rPr>
                <w:rFonts w:hint="default" w:ascii="Cambria Math"/>
              </w:rPr>
            </m:ctrlPr>
          </m:sSubPr>
          <m:e>
            <m:r>
              <m:rPr/>
              <w:rPr>
                <w:rFonts w:hint="default" w:ascii="Cambria Math"/>
              </w:rPr>
              <m:t>W</m:t>
            </m:r>
            <m:ctrlPr>
              <w:rPr>
                <w:rFonts w:hint="default" w:ascii="Cambria Math"/>
              </w:rPr>
            </m:ctrlPr>
          </m:e>
          <m:sub>
            <m:r>
              <m:rPr/>
              <w:rPr>
                <w:rFonts w:hint="default" w:ascii="Cambria Math"/>
              </w:rPr>
              <m:t>m</m:t>
            </m:r>
            <m:ctrlPr>
              <w:rPr>
                <w:rFonts w:hint="default" w:ascii="Cambria Math"/>
              </w:rPr>
            </m:ctrlPr>
          </m:sub>
        </m:sSub>
      </m:oMath>
      <w:r>
        <w:rPr>
          <w:rFonts w:hint="default"/>
          <w:lang w:val="en-US" w:eastAsia="zh-CN"/>
        </w:rPr>
        <w:t>。性质预测：融合后的全景分子表征被输入至由多层全连接网络构成的预测头（MLP Head），最终输出分子的理化性质或生物活性预测值</w:t>
      </w:r>
      <m:oMath>
        <m:sSub>
          <m:sSubPr>
            <m:ctrlPr>
              <w:rPr>
                <w:rFonts w:hint="default" w:ascii="Cambria Math"/>
              </w:rPr>
            </m:ctrlPr>
          </m:sSubPr>
          <m:e>
            <m:r>
              <m:rPr/>
              <w:rPr>
                <w:rFonts w:hint="default" w:ascii="Cambria Math"/>
              </w:rPr>
              <m:t>Y</m:t>
            </m:r>
            <m:ctrlPr>
              <w:rPr>
                <w:rFonts w:hint="default" w:ascii="Cambria Math"/>
              </w:rPr>
            </m:ctrlPr>
          </m:e>
          <m:sub>
            <m:r>
              <m:rPr/>
              <w:rPr>
                <w:rFonts w:hint="default" w:ascii="Cambria Math"/>
              </w:rPr>
              <m:t>pred</m:t>
            </m:r>
            <m:ctrlPr>
              <w:rPr>
                <w:rFonts w:hint="default" w:ascii="Cambria Math"/>
              </w:rPr>
            </m:ctrlPr>
          </m:sub>
        </m:sSub>
      </m:oMath>
      <w:r>
        <w:rPr>
          <w:rFonts w:hint="default"/>
          <w:lang w:val="en-US" w:eastAsia="zh-CN"/>
        </w:rPr>
        <w:t>。</w:t>
      </w:r>
    </w:p>
    <w:p w14:paraId="50A6A950">
      <w:pPr>
        <w:pStyle w:val="3"/>
        <w:pageBreakBefore w:val="0"/>
        <w:kinsoku/>
        <w:wordWrap/>
        <w:overflowPunct/>
        <w:topLinePunct w:val="0"/>
        <w:autoSpaceDE/>
        <w:autoSpaceDN/>
        <w:bidi w:val="0"/>
        <w:adjustRightInd/>
        <w:spacing w:beforeAutospacing="0" w:afterAutospacing="0" w:line="360" w:lineRule="auto"/>
        <w:ind w:left="567" w:leftChars="0" w:hanging="567" w:firstLineChars="0"/>
        <w:textAlignment w:val="auto"/>
        <w:rPr>
          <w:rFonts w:hint="default"/>
          <w:lang w:val="en-US" w:eastAsia="zh-CN"/>
        </w:rPr>
      </w:pPr>
      <w:r>
        <w:rPr>
          <w:rFonts w:hint="eastAsia"/>
          <w:lang w:val="en-US" w:eastAsia="zh-CN"/>
        </w:rPr>
        <w:t>实验设计</w:t>
      </w:r>
    </w:p>
    <w:p w14:paraId="34E658AF">
      <w:pPr>
        <w:pStyle w:val="4"/>
        <w:bidi w:val="0"/>
        <w:rPr>
          <w:rFonts w:hint="default"/>
          <w:lang w:val="en-US" w:eastAsia="zh-CN"/>
        </w:rPr>
      </w:pPr>
      <w:r>
        <w:rPr>
          <w:rFonts w:hint="eastAsia"/>
          <w:lang w:val="en-US" w:eastAsia="zh-CN"/>
        </w:rPr>
        <w:t>预训练数据</w:t>
      </w:r>
    </w:p>
    <w:p w14:paraId="391F2D0F">
      <w:pPr>
        <w:bidi w:val="0"/>
        <w:rPr>
          <w:rFonts w:hint="default"/>
          <w:color w:val="auto"/>
          <w:lang w:val="en-US" w:eastAsia="zh-CN"/>
        </w:rPr>
      </w:pPr>
      <w:r>
        <w:rPr>
          <w:rFonts w:hint="default"/>
          <w:color w:val="auto"/>
          <w:lang w:val="en-US" w:eastAsia="zh-CN"/>
        </w:rPr>
        <w:t>为了克服现有分子文本数据集中存在的描述稀疏、噪声干扰大以及缺乏定量理化信息的问题，本文设计了一套包含“数据清洗—知识检索—属性计算—大模型重写”的自动化数据构建流水线。该流程旨在构建一个兼具高质量化学结构与高密度语义信息的分子—</w:t>
      </w:r>
      <w:r>
        <w:rPr>
          <w:rFonts w:hint="eastAsia"/>
          <w:color w:val="auto"/>
          <w:lang w:val="en-US" w:eastAsia="zh-CN"/>
        </w:rPr>
        <w:t>文本对</w:t>
      </w:r>
      <w:r>
        <w:rPr>
          <w:rFonts w:hint="default"/>
          <w:color w:val="auto"/>
          <w:lang w:val="en-US" w:eastAsia="zh-CN"/>
        </w:rPr>
        <w:t>数据集，</w:t>
      </w:r>
      <w:r>
        <w:rPr>
          <w:rFonts w:hint="eastAsia"/>
          <w:color w:val="auto"/>
          <w:lang w:val="en-US" w:eastAsia="zh-CN"/>
        </w:rPr>
        <w:t>并使用RDkit工具生成其他模态的数据，</w:t>
      </w:r>
      <w:r>
        <w:rPr>
          <w:rFonts w:hint="default"/>
          <w:color w:val="auto"/>
          <w:lang w:val="en-US" w:eastAsia="zh-CN"/>
        </w:rPr>
        <w:t>用于多模态预训练。具体构建流程如下：</w:t>
      </w:r>
    </w:p>
    <w:p w14:paraId="45EFDFC6">
      <w:pPr>
        <w:bidi w:val="0"/>
        <w:rPr>
          <w:rFonts w:hint="default"/>
          <w:color w:val="auto"/>
          <w:lang w:val="en-US" w:eastAsia="zh-CN"/>
        </w:rPr>
      </w:pPr>
      <w:r>
        <w:rPr>
          <w:rFonts w:hint="default"/>
          <w:color w:val="auto"/>
          <w:lang w:val="en-US" w:eastAsia="zh-CN"/>
        </w:rPr>
        <w:t>1.分子结构获取与标准化</w:t>
      </w:r>
      <w:r>
        <w:rPr>
          <w:rFonts w:hint="eastAsia"/>
          <w:color w:val="auto"/>
          <w:lang w:val="en-US" w:eastAsia="zh-CN"/>
        </w:rPr>
        <w:t>：</w:t>
      </w:r>
      <w:r>
        <w:rPr>
          <w:rFonts w:hint="default"/>
          <w:color w:val="auto"/>
          <w:lang w:val="en-US" w:eastAsia="zh-CN"/>
        </w:rPr>
        <w:t>本文选取PubChem数据库作为原始数据来源，随机抽取了约30万个药物分子SMILES序列。鉴于原始数据中存在异构体冗余及书写不规范等问题，本文使用RDKit工具包对所有SMILES进行了规范化处理，并去除了重复项</w:t>
      </w:r>
      <w:r>
        <w:rPr>
          <w:rFonts w:hint="eastAsia"/>
          <w:color w:val="auto"/>
          <w:lang w:val="en-US" w:eastAsia="zh-CN"/>
        </w:rPr>
        <w:t>等</w:t>
      </w:r>
      <w:r>
        <w:rPr>
          <w:rFonts w:hint="default"/>
          <w:color w:val="auto"/>
          <w:lang w:val="en-US" w:eastAsia="zh-CN"/>
        </w:rPr>
        <w:t>无法通过RDKit解析的异常分子。经过严格筛选，最终保留了约22万个具有高度代表性的独立分子结构，构成了预训练数据集的骨架。</w:t>
      </w:r>
    </w:p>
    <w:p w14:paraId="0527E9E4">
      <w:pPr>
        <w:bidi w:val="0"/>
        <w:rPr>
          <w:rFonts w:hint="default"/>
          <w:color w:val="auto"/>
          <w:lang w:val="en-US" w:eastAsia="zh-CN"/>
        </w:rPr>
      </w:pPr>
      <w:r>
        <w:rPr>
          <w:rFonts w:hint="default"/>
          <w:color w:val="auto"/>
          <w:lang w:val="en-US" w:eastAsia="zh-CN"/>
        </w:rPr>
        <w:t>2.基于API的专家知识检索</w:t>
      </w:r>
      <w:r>
        <w:rPr>
          <w:rFonts w:hint="eastAsia"/>
          <w:color w:val="auto"/>
          <w:lang w:val="en-US" w:eastAsia="zh-CN"/>
        </w:rPr>
        <w:t>：</w:t>
      </w:r>
      <w:r>
        <w:rPr>
          <w:rFonts w:hint="default"/>
          <w:color w:val="auto"/>
          <w:lang w:val="en-US" w:eastAsia="zh-CN"/>
        </w:rPr>
        <w:t>针对筛选出的分子，本文利用PubChem提供的PUG View API接口进行批量检索，重点提取JSON数据中“Names and Identifiers”及“Record Description”字段下的描述性文本。该部分数据通常包含分子的通用名称、药理作用机制及历史背景等专家知识。</w:t>
      </w:r>
    </w:p>
    <w:p w14:paraId="6890CC1C">
      <w:pPr>
        <w:bidi w:val="0"/>
        <w:rPr>
          <w:rFonts w:hint="default"/>
          <w:color w:val="auto"/>
          <w:lang w:val="en-US" w:eastAsia="zh-CN"/>
        </w:rPr>
      </w:pPr>
      <w:r>
        <w:rPr>
          <w:rFonts w:hint="default"/>
          <w:color w:val="auto"/>
          <w:lang w:val="en-US" w:eastAsia="zh-CN"/>
        </w:rPr>
        <w:t>然而，直接将API检索的原始文本用于训练存在显著的模态对齐障碍，主要体现在文本长度分布的极端不平衡与语义密度的不一致：</w:t>
      </w:r>
    </w:p>
    <w:p w14:paraId="5C77FD50">
      <w:pPr>
        <w:bidi w:val="0"/>
        <w:rPr>
          <w:rFonts w:hint="default"/>
          <w:color w:val="auto"/>
          <w:lang w:val="en-US" w:eastAsia="zh-CN"/>
        </w:rPr>
      </w:pPr>
      <w:r>
        <w:rPr>
          <w:rFonts w:hint="default"/>
          <w:color w:val="auto"/>
          <w:lang w:val="en-US" w:eastAsia="zh-CN"/>
        </w:rPr>
        <w:t>噪声冗余与文本过长：部分知名药物分子的记录中包含了大量非结构化的冗余信息。例如，在检索阿司匹林（Aspirin, CID 2244）时，返回的原始文本不仅长达数千词，还夹杂着“1839年从绣线菊中分离”等历史轶事、过期的专利号引用以及数百个商业商品名的罗列。这些与分子构效关系无关的噪声数据会显著稀释核心语义，增加模型训练的显存开销并导致注意力分散。</w:t>
      </w:r>
    </w:p>
    <w:p w14:paraId="729372D3">
      <w:pPr>
        <w:bidi w:val="0"/>
        <w:rPr>
          <w:rFonts w:hint="default"/>
          <w:color w:val="auto"/>
          <w:lang w:val="en-US" w:eastAsia="zh-CN"/>
        </w:rPr>
      </w:pPr>
      <w:r>
        <w:rPr>
          <w:rFonts w:hint="default"/>
          <w:color w:val="auto"/>
          <w:lang w:val="en-US" w:eastAsia="zh-CN"/>
        </w:rPr>
        <w:t>描述稀疏与语义缺失：相反，大量非药物类化合物或中间体的描述极为匮乏。例如，在检索2-丙醇钠（Sodium isopropylate, CID 10920443）时，API仅能返回“白色至类白色粉末（White to off-white powder）”这一句简单的物理状态描述，甚至仅有IUPAC命名的重复。此类“短文本”缺乏对分子功能、反应活性或生物靶点的深层刻画，导致模型在对比学习中无法捕获足够的语义信号，从而产生模态坍塌。</w:t>
      </w:r>
    </w:p>
    <w:p w14:paraId="258F0458">
      <w:pPr>
        <w:bidi w:val="0"/>
        <w:rPr>
          <w:rFonts w:hint="default"/>
          <w:color w:val="0000FF"/>
          <w:lang w:val="en-US" w:eastAsia="zh-CN"/>
        </w:rPr>
      </w:pPr>
      <w:r>
        <w:rPr>
          <w:rFonts w:hint="default"/>
          <w:color w:val="auto"/>
          <w:lang w:val="en-US" w:eastAsia="zh-CN"/>
        </w:rPr>
        <w:t>上述“长尾分布”现象证明，仅依赖原始检索文本难以构建高质量的对齐空间，必须</w:t>
      </w:r>
      <w:r>
        <w:rPr>
          <w:rFonts w:hint="eastAsia"/>
          <w:color w:val="auto"/>
          <w:lang w:val="en-US" w:eastAsia="zh-CN"/>
        </w:rPr>
        <w:t>进一步</w:t>
      </w:r>
      <w:r>
        <w:rPr>
          <w:rFonts w:hint="default"/>
          <w:color w:val="auto"/>
          <w:lang w:val="en-US" w:eastAsia="zh-CN"/>
        </w:rPr>
        <w:t>对文本进行去噪压缩与语义补全。</w:t>
      </w:r>
    </w:p>
    <w:p w14:paraId="1DE64003">
      <w:pPr>
        <w:bidi w:val="0"/>
        <w:rPr>
          <w:rFonts w:hint="default"/>
          <w:lang w:val="en-US" w:eastAsia="zh-CN"/>
        </w:rPr>
      </w:pPr>
      <w:r>
        <w:rPr>
          <w:rFonts w:hint="default"/>
          <w:lang w:val="en-US" w:eastAsia="zh-CN"/>
        </w:rPr>
        <w:t>3.理化性质计算与上下文构建</w:t>
      </w:r>
      <w:r>
        <w:rPr>
          <w:rFonts w:hint="eastAsia"/>
          <w:lang w:val="en-US" w:eastAsia="zh-CN"/>
        </w:rPr>
        <w:t>：</w:t>
      </w:r>
      <w:r>
        <w:rPr>
          <w:rFonts w:hint="default"/>
          <w:lang w:val="en-US" w:eastAsia="zh-CN"/>
        </w:rPr>
        <w:t>为了弥补文本模态在定量信息上的缺失，本文利用RDKit计算了每个分子的12项关键理化性质</w:t>
      </w:r>
      <w:r>
        <w:rPr>
          <w:rFonts w:hint="eastAsia"/>
          <w:lang w:val="en-US" w:eastAsia="zh-CN"/>
        </w:rPr>
        <w:t>，</w:t>
      </w:r>
      <w:r>
        <w:rPr>
          <w:rFonts w:hint="eastAsia"/>
          <w:color w:val="FF0000"/>
          <w:lang w:val="en-US" w:eastAsia="zh-CN"/>
        </w:rPr>
        <w:t>具体的理化性质见表X</w:t>
      </w:r>
      <w:r>
        <w:rPr>
          <w:rFonts w:hint="default"/>
          <w:lang w:val="en-US" w:eastAsia="zh-CN"/>
        </w:rPr>
        <w:t>。这些理化指标被格式化为结构化的文本上下文，作为后续大模型生成的“事实锚点”，确保生成的文本描述在物理化学属性上不仅定性准确，而且定量精确。</w:t>
      </w:r>
    </w:p>
    <w:tbl>
      <w:tblPr>
        <w:tblStyle w:val="17"/>
        <w:tblW w:w="0" w:type="auto"/>
        <w:tblInd w:w="0" w:type="dxa"/>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944"/>
        <w:gridCol w:w="2169"/>
        <w:gridCol w:w="4338"/>
      </w:tblGrid>
      <w:tr w14:paraId="4E686A5F">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4" w:type="dxa"/>
            <w:tcBorders>
              <w:bottom w:val="single" w:color="auto" w:sz="8" w:space="0"/>
            </w:tcBorders>
            <w:vAlign w:val="center"/>
          </w:tcPr>
          <w:p w14:paraId="00BAFC72">
            <w:pPr>
              <w:bidi w:val="0"/>
              <w:ind w:left="0" w:leftChars="0" w:firstLine="0" w:firstLineChars="0"/>
              <w:jc w:val="center"/>
              <w:rPr>
                <w:rFonts w:hint="default"/>
                <w:vertAlign w:val="baseline"/>
                <w:lang w:val="en-US" w:eastAsia="zh-CN"/>
              </w:rPr>
            </w:pPr>
            <w:r>
              <w:rPr>
                <w:rFonts w:hint="eastAsia"/>
                <w:vertAlign w:val="baseline"/>
                <w:lang w:val="en-US" w:eastAsia="zh-CN"/>
              </w:rPr>
              <w:t>属性名称</w:t>
            </w:r>
          </w:p>
        </w:tc>
        <w:tc>
          <w:tcPr>
            <w:tcW w:w="2169" w:type="dxa"/>
            <w:tcBorders>
              <w:bottom w:val="single" w:color="auto" w:sz="8" w:space="0"/>
            </w:tcBorders>
            <w:vAlign w:val="center"/>
          </w:tcPr>
          <w:p w14:paraId="798380FD">
            <w:pPr>
              <w:bidi w:val="0"/>
              <w:ind w:left="0" w:leftChars="0" w:firstLine="0" w:firstLineChars="0"/>
              <w:jc w:val="center"/>
              <w:rPr>
                <w:rFonts w:hint="default"/>
                <w:vertAlign w:val="baseline"/>
                <w:lang w:val="en-US" w:eastAsia="zh-CN"/>
              </w:rPr>
            </w:pPr>
            <w:r>
              <w:rPr>
                <w:rFonts w:hint="eastAsia"/>
                <w:vertAlign w:val="baseline"/>
                <w:lang w:val="en-US" w:eastAsia="zh-CN"/>
              </w:rPr>
              <w:t>英文标识</w:t>
            </w:r>
          </w:p>
        </w:tc>
        <w:tc>
          <w:tcPr>
            <w:tcW w:w="4338" w:type="dxa"/>
            <w:tcBorders>
              <w:bottom w:val="single" w:color="auto" w:sz="8" w:space="0"/>
            </w:tcBorders>
            <w:vAlign w:val="center"/>
          </w:tcPr>
          <w:p w14:paraId="7BCD5B6B">
            <w:pPr>
              <w:bidi w:val="0"/>
              <w:ind w:left="0" w:leftChars="0" w:firstLine="0" w:firstLineChars="0"/>
              <w:jc w:val="center"/>
              <w:rPr>
                <w:rFonts w:hint="default"/>
                <w:vertAlign w:val="baseline"/>
                <w:lang w:val="en-US" w:eastAsia="zh-CN"/>
              </w:rPr>
            </w:pPr>
            <w:r>
              <w:rPr>
                <w:rFonts w:hint="eastAsia"/>
                <w:vertAlign w:val="baseline"/>
                <w:lang w:val="en-US" w:eastAsia="zh-CN"/>
              </w:rPr>
              <w:t>含义描述</w:t>
            </w:r>
          </w:p>
        </w:tc>
      </w:tr>
      <w:tr w14:paraId="38F837C5">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4" w:type="dxa"/>
            <w:tcBorders>
              <w:top w:val="single" w:color="auto" w:sz="8" w:space="0"/>
              <w:tl2br w:val="nil"/>
              <w:tr2bl w:val="nil"/>
            </w:tcBorders>
            <w:vAlign w:val="center"/>
          </w:tcPr>
          <w:p w14:paraId="4BA9659E">
            <w:pPr>
              <w:bidi w:val="0"/>
              <w:ind w:left="0" w:leftChars="0" w:firstLine="0" w:firstLineChars="0"/>
              <w:jc w:val="center"/>
              <w:rPr>
                <w:rFonts w:hint="default"/>
                <w:sz w:val="21"/>
                <w:szCs w:val="21"/>
                <w:vertAlign w:val="baseline"/>
                <w:lang w:val="en-US" w:eastAsia="zh-CN"/>
              </w:rPr>
            </w:pPr>
            <w:r>
              <w:rPr>
                <w:rFonts w:ascii="宋体" w:hAnsi="宋体" w:eastAsia="宋体" w:cs="宋体"/>
                <w:sz w:val="21"/>
                <w:szCs w:val="21"/>
              </w:rPr>
              <w:t>平均分子量</w:t>
            </w:r>
          </w:p>
        </w:tc>
        <w:tc>
          <w:tcPr>
            <w:tcW w:w="2169" w:type="dxa"/>
            <w:tcBorders>
              <w:top w:val="single" w:color="auto" w:sz="8" w:space="0"/>
              <w:tl2br w:val="nil"/>
              <w:tr2bl w:val="nil"/>
            </w:tcBorders>
            <w:vAlign w:val="center"/>
          </w:tcPr>
          <w:p w14:paraId="08F0A0EF">
            <w:pPr>
              <w:bidi w:val="0"/>
              <w:ind w:left="0" w:leftChars="0" w:firstLine="0" w:firstLineChars="0"/>
              <w:jc w:val="center"/>
              <w:rPr>
                <w:rFonts w:hint="default" w:ascii="Times New Roman" w:hAnsi="Times New Roman" w:cs="Times New Roman"/>
                <w:sz w:val="21"/>
                <w:szCs w:val="21"/>
                <w:vertAlign w:val="baseline"/>
                <w:lang w:val="en-US" w:eastAsia="zh-CN"/>
              </w:rPr>
            </w:pPr>
            <w:r>
              <w:rPr>
                <w:rFonts w:hint="default" w:ascii="Times New Roman" w:hAnsi="Times New Roman" w:eastAsia="宋体" w:cs="Times New Roman"/>
                <w:sz w:val="21"/>
                <w:szCs w:val="21"/>
              </w:rPr>
              <w:t>MolWt</w:t>
            </w:r>
          </w:p>
        </w:tc>
        <w:tc>
          <w:tcPr>
            <w:tcW w:w="4338" w:type="dxa"/>
            <w:tcBorders>
              <w:top w:val="single" w:color="auto" w:sz="8" w:space="0"/>
              <w:tl2br w:val="nil"/>
              <w:tr2bl w:val="nil"/>
            </w:tcBorders>
            <w:vAlign w:val="center"/>
          </w:tcPr>
          <w:p w14:paraId="15ED8FAE">
            <w:pPr>
              <w:bidi w:val="0"/>
              <w:ind w:left="0" w:leftChars="0" w:firstLine="0" w:firstLineChars="0"/>
              <w:jc w:val="center"/>
              <w:rPr>
                <w:rFonts w:hint="default"/>
                <w:vertAlign w:val="baseline"/>
                <w:lang w:val="en-US" w:eastAsia="zh-CN"/>
              </w:rPr>
            </w:pPr>
            <w:r>
              <w:rPr>
                <w:rFonts w:ascii="宋体" w:hAnsi="宋体" w:eastAsia="宋体" w:cs="宋体"/>
                <w:sz w:val="24"/>
                <w:szCs w:val="24"/>
              </w:rPr>
              <w:t>分子的平均相对质量</w:t>
            </w:r>
          </w:p>
        </w:tc>
      </w:tr>
      <w:tr w14:paraId="4D040CFA">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4" w:type="dxa"/>
            <w:tcBorders>
              <w:tl2br w:val="nil"/>
              <w:tr2bl w:val="nil"/>
            </w:tcBorders>
            <w:vAlign w:val="center"/>
          </w:tcPr>
          <w:p w14:paraId="798C9209">
            <w:pPr>
              <w:bidi w:val="0"/>
              <w:ind w:left="0" w:leftChars="0" w:firstLine="0" w:firstLineChars="0"/>
              <w:jc w:val="center"/>
              <w:rPr>
                <w:rFonts w:hint="default"/>
                <w:sz w:val="21"/>
                <w:szCs w:val="21"/>
                <w:vertAlign w:val="baseline"/>
                <w:lang w:val="en-US" w:eastAsia="zh-CN"/>
              </w:rPr>
            </w:pPr>
            <w:r>
              <w:rPr>
                <w:rFonts w:ascii="宋体" w:hAnsi="宋体" w:eastAsia="宋体" w:cs="宋体"/>
                <w:sz w:val="21"/>
                <w:szCs w:val="21"/>
              </w:rPr>
              <w:t>精确分子量</w:t>
            </w:r>
          </w:p>
        </w:tc>
        <w:tc>
          <w:tcPr>
            <w:tcW w:w="2169" w:type="dxa"/>
            <w:tcBorders>
              <w:tl2br w:val="nil"/>
              <w:tr2bl w:val="nil"/>
            </w:tcBorders>
            <w:vAlign w:val="center"/>
          </w:tcPr>
          <w:p w14:paraId="42BBC4B3">
            <w:pPr>
              <w:bidi w:val="0"/>
              <w:ind w:left="0" w:leftChars="0" w:firstLine="0" w:firstLineChars="0"/>
              <w:jc w:val="center"/>
              <w:rPr>
                <w:rFonts w:hint="default" w:ascii="Times New Roman" w:hAnsi="Times New Roman" w:cs="Times New Roman"/>
                <w:sz w:val="21"/>
                <w:szCs w:val="21"/>
                <w:vertAlign w:val="baseline"/>
                <w:lang w:val="en-US" w:eastAsia="zh-CN"/>
              </w:rPr>
            </w:pPr>
            <w:r>
              <w:rPr>
                <w:rFonts w:hint="default" w:ascii="Times New Roman" w:hAnsi="Times New Roman" w:eastAsia="宋体" w:cs="Times New Roman"/>
                <w:sz w:val="21"/>
                <w:szCs w:val="21"/>
              </w:rPr>
              <w:t>ExactMolWt</w:t>
            </w:r>
          </w:p>
        </w:tc>
        <w:tc>
          <w:tcPr>
            <w:tcW w:w="4338" w:type="dxa"/>
            <w:tcBorders>
              <w:tl2br w:val="nil"/>
              <w:tr2bl w:val="nil"/>
            </w:tcBorders>
            <w:vAlign w:val="center"/>
          </w:tcPr>
          <w:p w14:paraId="7D6C1CC7">
            <w:pPr>
              <w:bidi w:val="0"/>
              <w:ind w:left="0" w:leftChars="0" w:firstLine="0" w:firstLineChars="0"/>
              <w:jc w:val="center"/>
              <w:rPr>
                <w:rFonts w:hint="default"/>
                <w:vertAlign w:val="baseline"/>
                <w:lang w:val="en-US" w:eastAsia="zh-CN"/>
              </w:rPr>
            </w:pPr>
            <w:r>
              <w:rPr>
                <w:rFonts w:ascii="宋体" w:hAnsi="宋体" w:eastAsia="宋体" w:cs="宋体"/>
                <w:sz w:val="24"/>
                <w:szCs w:val="24"/>
              </w:rPr>
              <w:t>基于同位素质量计算的精确分子质量</w:t>
            </w:r>
          </w:p>
        </w:tc>
      </w:tr>
      <w:tr w14:paraId="1FD9B8B7">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4" w:type="dxa"/>
            <w:tcBorders>
              <w:tl2br w:val="nil"/>
              <w:tr2bl w:val="nil"/>
            </w:tcBorders>
            <w:vAlign w:val="center"/>
          </w:tcPr>
          <w:p w14:paraId="3D6076B2">
            <w:pPr>
              <w:bidi w:val="0"/>
              <w:ind w:left="0" w:leftChars="0" w:firstLine="0" w:firstLineChars="0"/>
              <w:jc w:val="center"/>
              <w:rPr>
                <w:rFonts w:ascii="宋体" w:hAnsi="宋体" w:eastAsia="宋体" w:cs="宋体"/>
                <w:sz w:val="21"/>
                <w:szCs w:val="21"/>
              </w:rPr>
            </w:pPr>
            <w:r>
              <w:rPr>
                <w:rFonts w:ascii="宋体" w:hAnsi="宋体" w:eastAsia="宋体" w:cs="宋体"/>
                <w:sz w:val="21"/>
                <w:szCs w:val="21"/>
              </w:rPr>
              <w:t>脂水分配系数</w:t>
            </w:r>
          </w:p>
        </w:tc>
        <w:tc>
          <w:tcPr>
            <w:tcW w:w="2169" w:type="dxa"/>
            <w:tcBorders>
              <w:tl2br w:val="nil"/>
              <w:tr2bl w:val="nil"/>
            </w:tcBorders>
            <w:vAlign w:val="center"/>
          </w:tcPr>
          <w:p w14:paraId="659AA0E7">
            <w:pPr>
              <w:bidi w:val="0"/>
              <w:ind w:left="0" w:leftChars="0" w:firstLine="0" w:firstLineChars="0"/>
              <w:jc w:val="center"/>
              <w:rPr>
                <w:rFonts w:hint="default" w:ascii="Times New Roman" w:hAnsi="Times New Roman" w:cs="Times New Roman"/>
                <w:sz w:val="21"/>
                <w:szCs w:val="21"/>
                <w:vertAlign w:val="baseline"/>
                <w:lang w:val="en-US" w:eastAsia="zh-CN"/>
              </w:rPr>
            </w:pPr>
            <w:r>
              <w:rPr>
                <w:rFonts w:hint="default" w:ascii="Times New Roman" w:hAnsi="Times New Roman" w:eastAsia="宋体" w:cs="Times New Roman"/>
                <w:sz w:val="21"/>
                <w:szCs w:val="21"/>
              </w:rPr>
              <w:t>LogP</w:t>
            </w:r>
          </w:p>
        </w:tc>
        <w:tc>
          <w:tcPr>
            <w:tcW w:w="4338" w:type="dxa"/>
            <w:tcBorders>
              <w:tl2br w:val="nil"/>
              <w:tr2bl w:val="nil"/>
            </w:tcBorders>
            <w:vAlign w:val="center"/>
          </w:tcPr>
          <w:p w14:paraId="39056255">
            <w:pPr>
              <w:bidi w:val="0"/>
              <w:ind w:left="0" w:leftChars="0" w:firstLine="0" w:firstLineChars="0"/>
              <w:jc w:val="center"/>
              <w:rPr>
                <w:rFonts w:hint="default"/>
                <w:vertAlign w:val="baseline"/>
                <w:lang w:val="en-US" w:eastAsia="zh-CN"/>
              </w:rPr>
            </w:pPr>
            <w:r>
              <w:rPr>
                <w:rFonts w:ascii="宋体" w:hAnsi="宋体" w:eastAsia="宋体" w:cs="宋体"/>
                <w:sz w:val="24"/>
                <w:szCs w:val="24"/>
              </w:rPr>
              <w:t>衡量分子亲脂性的关键参数</w:t>
            </w:r>
          </w:p>
        </w:tc>
      </w:tr>
      <w:tr w14:paraId="64FC6869">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4" w:type="dxa"/>
            <w:tcBorders>
              <w:tl2br w:val="nil"/>
              <w:tr2bl w:val="nil"/>
            </w:tcBorders>
            <w:vAlign w:val="center"/>
          </w:tcPr>
          <w:p w14:paraId="2E6F9D3E">
            <w:pPr>
              <w:bidi w:val="0"/>
              <w:ind w:left="0" w:leftChars="0" w:firstLine="0" w:firstLineChars="0"/>
              <w:jc w:val="center"/>
              <w:rPr>
                <w:rFonts w:ascii="宋体" w:hAnsi="宋体" w:eastAsia="宋体" w:cs="宋体"/>
                <w:sz w:val="21"/>
                <w:szCs w:val="21"/>
              </w:rPr>
            </w:pPr>
            <w:r>
              <w:rPr>
                <w:rFonts w:ascii="宋体" w:hAnsi="宋体" w:eastAsia="宋体" w:cs="宋体"/>
                <w:sz w:val="21"/>
                <w:szCs w:val="21"/>
              </w:rPr>
              <w:t>拓扑极性表面积</w:t>
            </w:r>
          </w:p>
        </w:tc>
        <w:tc>
          <w:tcPr>
            <w:tcW w:w="2169" w:type="dxa"/>
            <w:tcBorders>
              <w:tl2br w:val="nil"/>
              <w:tr2bl w:val="nil"/>
            </w:tcBorders>
            <w:vAlign w:val="center"/>
          </w:tcPr>
          <w:p w14:paraId="25A4D3D4">
            <w:pPr>
              <w:bidi w:val="0"/>
              <w:ind w:left="0" w:leftChars="0" w:firstLine="0" w:firstLineChars="0"/>
              <w:jc w:val="center"/>
              <w:rPr>
                <w:rFonts w:hint="default" w:ascii="Times New Roman" w:hAnsi="Times New Roman" w:cs="Times New Roman"/>
                <w:sz w:val="21"/>
                <w:szCs w:val="21"/>
                <w:vertAlign w:val="baseline"/>
                <w:lang w:val="en-US" w:eastAsia="zh-CN"/>
              </w:rPr>
            </w:pPr>
            <w:r>
              <w:rPr>
                <w:rFonts w:hint="default" w:ascii="Times New Roman" w:hAnsi="Times New Roman" w:eastAsia="宋体" w:cs="Times New Roman"/>
                <w:sz w:val="21"/>
                <w:szCs w:val="21"/>
              </w:rPr>
              <w:t>TPSA</w:t>
            </w:r>
          </w:p>
        </w:tc>
        <w:tc>
          <w:tcPr>
            <w:tcW w:w="4338" w:type="dxa"/>
            <w:tcBorders>
              <w:tl2br w:val="nil"/>
              <w:tr2bl w:val="nil"/>
            </w:tcBorders>
            <w:vAlign w:val="center"/>
          </w:tcPr>
          <w:p w14:paraId="5A717EDB">
            <w:pPr>
              <w:bidi w:val="0"/>
              <w:ind w:left="0" w:leftChars="0" w:firstLine="0" w:firstLineChars="0"/>
              <w:jc w:val="center"/>
              <w:rPr>
                <w:rFonts w:hint="default"/>
                <w:vertAlign w:val="baseline"/>
                <w:lang w:val="en-US" w:eastAsia="zh-CN"/>
              </w:rPr>
            </w:pPr>
            <w:r>
              <w:rPr>
                <w:rFonts w:ascii="宋体" w:hAnsi="宋体" w:eastAsia="宋体" w:cs="宋体"/>
                <w:sz w:val="24"/>
                <w:szCs w:val="24"/>
              </w:rPr>
              <w:t>分子表面极性原子的总面积</w:t>
            </w:r>
          </w:p>
        </w:tc>
      </w:tr>
      <w:tr w14:paraId="5220B34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4" w:type="dxa"/>
            <w:tcBorders>
              <w:tl2br w:val="nil"/>
              <w:tr2bl w:val="nil"/>
            </w:tcBorders>
            <w:vAlign w:val="center"/>
          </w:tcPr>
          <w:p w14:paraId="5514BD9C">
            <w:pPr>
              <w:bidi w:val="0"/>
              <w:ind w:left="0" w:leftChars="0" w:firstLine="0" w:firstLineChars="0"/>
              <w:jc w:val="center"/>
              <w:rPr>
                <w:rFonts w:ascii="宋体" w:hAnsi="宋体" w:eastAsia="宋体" w:cs="宋体"/>
                <w:sz w:val="21"/>
                <w:szCs w:val="21"/>
              </w:rPr>
            </w:pPr>
            <w:r>
              <w:rPr>
                <w:rFonts w:ascii="宋体" w:hAnsi="宋体" w:eastAsia="宋体" w:cs="宋体"/>
                <w:sz w:val="21"/>
                <w:szCs w:val="21"/>
              </w:rPr>
              <w:t>重原子数</w:t>
            </w:r>
          </w:p>
        </w:tc>
        <w:tc>
          <w:tcPr>
            <w:tcW w:w="2169" w:type="dxa"/>
            <w:tcBorders>
              <w:tl2br w:val="nil"/>
              <w:tr2bl w:val="nil"/>
            </w:tcBorders>
            <w:vAlign w:val="center"/>
          </w:tcPr>
          <w:p w14:paraId="596ABCA7">
            <w:pPr>
              <w:bidi w:val="0"/>
              <w:ind w:left="0" w:leftChars="0" w:firstLine="0" w:firstLineChars="0"/>
              <w:jc w:val="center"/>
              <w:rPr>
                <w:rFonts w:hint="default" w:ascii="Times New Roman" w:hAnsi="Times New Roman" w:cs="Times New Roman"/>
                <w:sz w:val="21"/>
                <w:szCs w:val="21"/>
                <w:vertAlign w:val="baseline"/>
                <w:lang w:val="en-US" w:eastAsia="zh-CN"/>
              </w:rPr>
            </w:pPr>
            <w:r>
              <w:rPr>
                <w:rFonts w:hint="default" w:ascii="Times New Roman" w:hAnsi="Times New Roman" w:eastAsia="宋体" w:cs="Times New Roman"/>
                <w:sz w:val="21"/>
                <w:szCs w:val="21"/>
              </w:rPr>
              <w:t>Heavy_Atoms</w:t>
            </w:r>
          </w:p>
        </w:tc>
        <w:tc>
          <w:tcPr>
            <w:tcW w:w="4338" w:type="dxa"/>
            <w:tcBorders>
              <w:tl2br w:val="nil"/>
              <w:tr2bl w:val="nil"/>
            </w:tcBorders>
            <w:vAlign w:val="center"/>
          </w:tcPr>
          <w:p w14:paraId="3AA91C73">
            <w:pPr>
              <w:bidi w:val="0"/>
              <w:ind w:left="0" w:leftChars="0" w:firstLine="0" w:firstLineChars="0"/>
              <w:jc w:val="center"/>
              <w:rPr>
                <w:rFonts w:hint="default"/>
                <w:vertAlign w:val="baseline"/>
                <w:lang w:val="en-US" w:eastAsia="zh-CN"/>
              </w:rPr>
            </w:pPr>
            <w:r>
              <w:rPr>
                <w:rFonts w:ascii="宋体" w:hAnsi="宋体" w:eastAsia="宋体" w:cs="宋体"/>
                <w:sz w:val="24"/>
                <w:szCs w:val="24"/>
              </w:rPr>
              <w:t>分子中非氢原子的总数量</w:t>
            </w:r>
          </w:p>
        </w:tc>
      </w:tr>
      <w:tr w14:paraId="3B12D6CE">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4" w:type="dxa"/>
            <w:tcBorders>
              <w:tl2br w:val="nil"/>
              <w:tr2bl w:val="nil"/>
            </w:tcBorders>
            <w:vAlign w:val="center"/>
          </w:tcPr>
          <w:p w14:paraId="376BCC43">
            <w:pPr>
              <w:bidi w:val="0"/>
              <w:ind w:left="0" w:leftChars="0" w:firstLine="0" w:firstLineChars="0"/>
              <w:jc w:val="center"/>
              <w:rPr>
                <w:rFonts w:ascii="宋体" w:hAnsi="宋体" w:eastAsia="宋体" w:cs="宋体"/>
                <w:sz w:val="21"/>
                <w:szCs w:val="21"/>
              </w:rPr>
            </w:pPr>
            <w:r>
              <w:rPr>
                <w:rFonts w:ascii="宋体" w:hAnsi="宋体" w:eastAsia="宋体" w:cs="宋体"/>
                <w:sz w:val="21"/>
                <w:szCs w:val="21"/>
              </w:rPr>
              <w:t>氢键供体数</w:t>
            </w:r>
          </w:p>
        </w:tc>
        <w:tc>
          <w:tcPr>
            <w:tcW w:w="2169" w:type="dxa"/>
            <w:tcBorders>
              <w:tl2br w:val="nil"/>
              <w:tr2bl w:val="nil"/>
            </w:tcBorders>
            <w:vAlign w:val="center"/>
          </w:tcPr>
          <w:p w14:paraId="78F05C00">
            <w:pPr>
              <w:bidi w:val="0"/>
              <w:ind w:left="0" w:leftChars="0" w:firstLine="0" w:firstLineChars="0"/>
              <w:jc w:val="center"/>
              <w:rPr>
                <w:rFonts w:hint="default" w:ascii="Times New Roman" w:hAnsi="Times New Roman" w:cs="Times New Roman"/>
                <w:sz w:val="21"/>
                <w:szCs w:val="21"/>
                <w:vertAlign w:val="baseline"/>
                <w:lang w:val="en-US" w:eastAsia="zh-CN"/>
              </w:rPr>
            </w:pPr>
            <w:r>
              <w:rPr>
                <w:rFonts w:hint="default" w:ascii="Times New Roman" w:hAnsi="Times New Roman" w:eastAsia="宋体" w:cs="Times New Roman"/>
                <w:sz w:val="21"/>
                <w:szCs w:val="21"/>
              </w:rPr>
              <w:t>H_Bond_Donors</w:t>
            </w:r>
          </w:p>
        </w:tc>
        <w:tc>
          <w:tcPr>
            <w:tcW w:w="4338" w:type="dxa"/>
            <w:tcBorders>
              <w:tl2br w:val="nil"/>
              <w:tr2bl w:val="nil"/>
            </w:tcBorders>
            <w:vAlign w:val="center"/>
          </w:tcPr>
          <w:p w14:paraId="01A1DBCD">
            <w:pPr>
              <w:bidi w:val="0"/>
              <w:ind w:left="0" w:leftChars="0" w:firstLine="0" w:firstLineChars="0"/>
              <w:jc w:val="center"/>
              <w:rPr>
                <w:rFonts w:hint="default"/>
                <w:vertAlign w:val="baseline"/>
                <w:lang w:val="en-US" w:eastAsia="zh-CN"/>
              </w:rPr>
            </w:pPr>
            <w:r>
              <w:rPr>
                <w:rFonts w:ascii="宋体" w:hAnsi="宋体" w:eastAsia="宋体" w:cs="宋体"/>
                <w:sz w:val="24"/>
                <w:szCs w:val="24"/>
              </w:rPr>
              <w:t>分子中能提供质子的基团数量</w:t>
            </w:r>
          </w:p>
        </w:tc>
      </w:tr>
      <w:tr w14:paraId="7800BE53">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4" w:type="dxa"/>
            <w:tcBorders>
              <w:tl2br w:val="nil"/>
              <w:tr2bl w:val="nil"/>
            </w:tcBorders>
            <w:vAlign w:val="center"/>
          </w:tcPr>
          <w:p w14:paraId="75DB5207">
            <w:pPr>
              <w:bidi w:val="0"/>
              <w:ind w:left="0" w:leftChars="0" w:firstLine="0" w:firstLineChars="0"/>
              <w:jc w:val="center"/>
              <w:rPr>
                <w:rFonts w:ascii="宋体" w:hAnsi="宋体" w:eastAsia="宋体" w:cs="宋体"/>
                <w:sz w:val="21"/>
                <w:szCs w:val="21"/>
              </w:rPr>
            </w:pPr>
            <w:r>
              <w:rPr>
                <w:rFonts w:ascii="宋体" w:hAnsi="宋体" w:eastAsia="宋体" w:cs="宋体"/>
                <w:sz w:val="21"/>
                <w:szCs w:val="21"/>
              </w:rPr>
              <w:t>氢键受体数</w:t>
            </w:r>
          </w:p>
        </w:tc>
        <w:tc>
          <w:tcPr>
            <w:tcW w:w="2169" w:type="dxa"/>
            <w:tcBorders>
              <w:tl2br w:val="nil"/>
              <w:tr2bl w:val="nil"/>
            </w:tcBorders>
            <w:vAlign w:val="center"/>
          </w:tcPr>
          <w:p w14:paraId="0FB40D1F">
            <w:pPr>
              <w:bidi w:val="0"/>
              <w:ind w:left="0" w:leftChars="0" w:firstLine="0" w:firstLineChars="0"/>
              <w:jc w:val="center"/>
              <w:rPr>
                <w:rFonts w:hint="default" w:ascii="Times New Roman" w:hAnsi="Times New Roman" w:cs="Times New Roman"/>
                <w:sz w:val="21"/>
                <w:szCs w:val="21"/>
                <w:vertAlign w:val="baseline"/>
                <w:lang w:val="en-US" w:eastAsia="zh-CN"/>
              </w:rPr>
            </w:pPr>
            <w:r>
              <w:rPr>
                <w:rFonts w:hint="default" w:ascii="Times New Roman" w:hAnsi="Times New Roman" w:eastAsia="宋体" w:cs="Times New Roman"/>
                <w:sz w:val="21"/>
                <w:szCs w:val="21"/>
              </w:rPr>
              <w:t>H_Bond_Acceptors</w:t>
            </w:r>
          </w:p>
        </w:tc>
        <w:tc>
          <w:tcPr>
            <w:tcW w:w="4338" w:type="dxa"/>
            <w:tcBorders>
              <w:tl2br w:val="nil"/>
              <w:tr2bl w:val="nil"/>
            </w:tcBorders>
            <w:vAlign w:val="center"/>
          </w:tcPr>
          <w:p w14:paraId="24CBCDAE">
            <w:pPr>
              <w:bidi w:val="0"/>
              <w:ind w:left="0" w:leftChars="0" w:firstLine="0" w:firstLineChars="0"/>
              <w:jc w:val="center"/>
              <w:rPr>
                <w:rFonts w:hint="default"/>
                <w:vertAlign w:val="baseline"/>
                <w:lang w:val="en-US" w:eastAsia="zh-CN"/>
              </w:rPr>
            </w:pPr>
            <w:r>
              <w:rPr>
                <w:rFonts w:ascii="宋体" w:hAnsi="宋体" w:eastAsia="宋体" w:cs="宋体"/>
                <w:sz w:val="24"/>
                <w:szCs w:val="24"/>
              </w:rPr>
              <w:t>分子中能接受质子的原子数量</w:t>
            </w:r>
          </w:p>
        </w:tc>
      </w:tr>
      <w:tr w14:paraId="251E970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4" w:type="dxa"/>
            <w:tcBorders>
              <w:tl2br w:val="nil"/>
              <w:tr2bl w:val="nil"/>
            </w:tcBorders>
            <w:vAlign w:val="center"/>
          </w:tcPr>
          <w:p w14:paraId="6695EAC8">
            <w:pPr>
              <w:bidi w:val="0"/>
              <w:ind w:left="0" w:leftChars="0" w:firstLine="0" w:firstLineChars="0"/>
              <w:jc w:val="center"/>
              <w:rPr>
                <w:rFonts w:ascii="宋体" w:hAnsi="宋体" w:eastAsia="宋体" w:cs="宋体"/>
                <w:sz w:val="21"/>
                <w:szCs w:val="21"/>
              </w:rPr>
            </w:pPr>
            <w:r>
              <w:rPr>
                <w:rFonts w:ascii="宋体" w:hAnsi="宋体" w:eastAsia="宋体" w:cs="宋体"/>
                <w:sz w:val="21"/>
                <w:szCs w:val="21"/>
              </w:rPr>
              <w:t>可旋转键数</w:t>
            </w:r>
          </w:p>
        </w:tc>
        <w:tc>
          <w:tcPr>
            <w:tcW w:w="2169" w:type="dxa"/>
            <w:tcBorders>
              <w:tl2br w:val="nil"/>
              <w:tr2bl w:val="nil"/>
            </w:tcBorders>
            <w:vAlign w:val="center"/>
          </w:tcPr>
          <w:p w14:paraId="5901DD9C">
            <w:pPr>
              <w:bidi w:val="0"/>
              <w:ind w:left="0" w:leftChars="0" w:firstLine="0" w:firstLineChars="0"/>
              <w:jc w:val="center"/>
              <w:rPr>
                <w:rFonts w:hint="default" w:ascii="Times New Roman" w:hAnsi="Times New Roman" w:cs="Times New Roman"/>
                <w:sz w:val="21"/>
                <w:szCs w:val="21"/>
                <w:vertAlign w:val="baseline"/>
                <w:lang w:val="en-US" w:eastAsia="zh-CN"/>
              </w:rPr>
            </w:pPr>
            <w:r>
              <w:rPr>
                <w:rFonts w:hint="default" w:ascii="Times New Roman" w:hAnsi="Times New Roman" w:eastAsia="宋体" w:cs="Times New Roman"/>
                <w:sz w:val="21"/>
                <w:szCs w:val="21"/>
              </w:rPr>
              <w:t>Rotatable_Bonds</w:t>
            </w:r>
          </w:p>
        </w:tc>
        <w:tc>
          <w:tcPr>
            <w:tcW w:w="4338" w:type="dxa"/>
            <w:tcBorders>
              <w:tl2br w:val="nil"/>
              <w:tr2bl w:val="nil"/>
            </w:tcBorders>
            <w:vAlign w:val="center"/>
          </w:tcPr>
          <w:p w14:paraId="3C288A64">
            <w:pPr>
              <w:bidi w:val="0"/>
              <w:ind w:left="0" w:leftChars="0" w:firstLine="0" w:firstLineChars="0"/>
              <w:jc w:val="center"/>
              <w:rPr>
                <w:rFonts w:hint="default"/>
                <w:vertAlign w:val="baseline"/>
                <w:lang w:val="en-US" w:eastAsia="zh-CN"/>
              </w:rPr>
            </w:pPr>
            <w:r>
              <w:rPr>
                <w:rFonts w:ascii="宋体" w:hAnsi="宋体" w:eastAsia="宋体" w:cs="宋体"/>
                <w:sz w:val="24"/>
                <w:szCs w:val="24"/>
              </w:rPr>
              <w:t>单键旋转自由度的度量</w:t>
            </w:r>
          </w:p>
        </w:tc>
      </w:tr>
      <w:tr w14:paraId="1D3E0AF3">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4" w:type="dxa"/>
            <w:tcBorders>
              <w:tl2br w:val="nil"/>
              <w:tr2bl w:val="nil"/>
            </w:tcBorders>
            <w:vAlign w:val="center"/>
          </w:tcPr>
          <w:p w14:paraId="2E6D3DF0">
            <w:pPr>
              <w:bidi w:val="0"/>
              <w:ind w:left="0" w:leftChars="0" w:firstLine="0" w:firstLineChars="0"/>
              <w:jc w:val="center"/>
              <w:rPr>
                <w:rFonts w:ascii="宋体" w:hAnsi="宋体" w:eastAsia="宋体" w:cs="宋体"/>
                <w:sz w:val="21"/>
                <w:szCs w:val="21"/>
              </w:rPr>
            </w:pPr>
            <w:r>
              <w:rPr>
                <w:rFonts w:ascii="宋体" w:hAnsi="宋体" w:eastAsia="宋体" w:cs="宋体"/>
                <w:sz w:val="21"/>
                <w:szCs w:val="21"/>
              </w:rPr>
              <w:t>环数量</w:t>
            </w:r>
          </w:p>
        </w:tc>
        <w:tc>
          <w:tcPr>
            <w:tcW w:w="2169" w:type="dxa"/>
            <w:tcBorders>
              <w:tl2br w:val="nil"/>
              <w:tr2bl w:val="nil"/>
            </w:tcBorders>
            <w:vAlign w:val="center"/>
          </w:tcPr>
          <w:p w14:paraId="03553238">
            <w:pPr>
              <w:bidi w:val="0"/>
              <w:ind w:left="0" w:leftChars="0" w:firstLine="0" w:firstLineChars="0"/>
              <w:jc w:val="center"/>
              <w:rPr>
                <w:rFonts w:hint="default" w:ascii="Times New Roman" w:hAnsi="Times New Roman" w:cs="Times New Roman"/>
                <w:sz w:val="21"/>
                <w:szCs w:val="21"/>
                <w:vertAlign w:val="baseline"/>
                <w:lang w:val="en-US" w:eastAsia="zh-CN"/>
              </w:rPr>
            </w:pPr>
            <w:r>
              <w:rPr>
                <w:rFonts w:hint="default" w:ascii="Times New Roman" w:hAnsi="Times New Roman" w:eastAsia="宋体" w:cs="Times New Roman"/>
                <w:sz w:val="21"/>
                <w:szCs w:val="21"/>
              </w:rPr>
              <w:t>Ring_Count</w:t>
            </w:r>
          </w:p>
        </w:tc>
        <w:tc>
          <w:tcPr>
            <w:tcW w:w="4338" w:type="dxa"/>
            <w:tcBorders>
              <w:tl2br w:val="nil"/>
              <w:tr2bl w:val="nil"/>
            </w:tcBorders>
            <w:vAlign w:val="center"/>
          </w:tcPr>
          <w:p w14:paraId="7FBE89C0">
            <w:pPr>
              <w:bidi w:val="0"/>
              <w:ind w:left="0" w:leftChars="0" w:firstLine="0" w:firstLineChars="0"/>
              <w:jc w:val="center"/>
              <w:rPr>
                <w:rFonts w:hint="default"/>
                <w:vertAlign w:val="baseline"/>
                <w:lang w:val="en-US" w:eastAsia="zh-CN"/>
              </w:rPr>
            </w:pPr>
            <w:r>
              <w:rPr>
                <w:rFonts w:ascii="宋体" w:hAnsi="宋体" w:eastAsia="宋体" w:cs="宋体"/>
                <w:sz w:val="24"/>
                <w:szCs w:val="24"/>
              </w:rPr>
              <w:t>分子中环状结构的总数</w:t>
            </w:r>
          </w:p>
        </w:tc>
      </w:tr>
      <w:tr w14:paraId="06E625E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4" w:type="dxa"/>
            <w:tcBorders>
              <w:tl2br w:val="nil"/>
              <w:tr2bl w:val="nil"/>
            </w:tcBorders>
            <w:vAlign w:val="center"/>
          </w:tcPr>
          <w:p w14:paraId="58C32670">
            <w:pPr>
              <w:bidi w:val="0"/>
              <w:ind w:left="0" w:leftChars="0" w:firstLine="0" w:firstLineChars="0"/>
              <w:jc w:val="center"/>
              <w:rPr>
                <w:rFonts w:ascii="宋体" w:hAnsi="宋体" w:eastAsia="宋体" w:cs="宋体"/>
                <w:sz w:val="21"/>
                <w:szCs w:val="21"/>
              </w:rPr>
            </w:pPr>
            <w:r>
              <w:rPr>
                <w:rFonts w:ascii="宋体" w:hAnsi="宋体" w:eastAsia="宋体" w:cs="宋体"/>
                <w:sz w:val="21"/>
                <w:szCs w:val="21"/>
              </w:rPr>
              <w:t>芳香环数量</w:t>
            </w:r>
          </w:p>
        </w:tc>
        <w:tc>
          <w:tcPr>
            <w:tcW w:w="2169" w:type="dxa"/>
            <w:tcBorders>
              <w:tl2br w:val="nil"/>
              <w:tr2bl w:val="nil"/>
            </w:tcBorders>
            <w:vAlign w:val="center"/>
          </w:tcPr>
          <w:p w14:paraId="182368FE">
            <w:pPr>
              <w:bidi w:val="0"/>
              <w:ind w:left="0" w:leftChars="0" w:firstLine="0" w:firstLineChars="0"/>
              <w:jc w:val="center"/>
              <w:rPr>
                <w:rFonts w:hint="default" w:ascii="Times New Roman" w:hAnsi="Times New Roman" w:cs="Times New Roman"/>
                <w:sz w:val="21"/>
                <w:szCs w:val="21"/>
                <w:vertAlign w:val="baseline"/>
                <w:lang w:val="en-US" w:eastAsia="zh-CN"/>
              </w:rPr>
            </w:pPr>
            <w:r>
              <w:rPr>
                <w:rFonts w:hint="default" w:ascii="Times New Roman" w:hAnsi="Times New Roman" w:eastAsia="宋体" w:cs="Times New Roman"/>
                <w:sz w:val="21"/>
                <w:szCs w:val="21"/>
              </w:rPr>
              <w:t>Aromatic_Rings</w:t>
            </w:r>
          </w:p>
        </w:tc>
        <w:tc>
          <w:tcPr>
            <w:tcW w:w="4338" w:type="dxa"/>
            <w:tcBorders>
              <w:tl2br w:val="nil"/>
              <w:tr2bl w:val="nil"/>
            </w:tcBorders>
            <w:vAlign w:val="center"/>
          </w:tcPr>
          <w:p w14:paraId="0A3EB135">
            <w:pPr>
              <w:keepNext w:val="0"/>
              <w:keepLines w:val="0"/>
              <w:widowControl/>
              <w:suppressLineNumbers w:val="0"/>
              <w:ind w:left="0" w:leftChars="0" w:firstLine="0" w:firstLineChars="0"/>
              <w:jc w:val="center"/>
              <w:rPr>
                <w:rFonts w:hint="default"/>
                <w:vertAlign w:val="baseline"/>
                <w:lang w:val="en-US" w:eastAsia="zh-CN"/>
              </w:rPr>
            </w:pPr>
            <w:r>
              <w:rPr>
                <w:rFonts w:ascii="宋体" w:hAnsi="宋体" w:eastAsia="宋体" w:cs="宋体"/>
                <w:kern w:val="0"/>
                <w:sz w:val="24"/>
                <w:szCs w:val="24"/>
                <w:lang w:val="en-US" w:eastAsia="zh-CN" w:bidi="ar"/>
              </w:rPr>
              <w:t>具有芳香性的环结构数量</w:t>
            </w:r>
          </w:p>
        </w:tc>
      </w:tr>
      <w:tr w14:paraId="14A25251">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4" w:type="dxa"/>
            <w:tcBorders>
              <w:tl2br w:val="nil"/>
              <w:tr2bl w:val="nil"/>
            </w:tcBorders>
            <w:vAlign w:val="center"/>
          </w:tcPr>
          <w:p w14:paraId="59D12073">
            <w:pPr>
              <w:bidi w:val="0"/>
              <w:ind w:left="0" w:leftChars="0" w:firstLine="0" w:firstLineChars="0"/>
              <w:jc w:val="center"/>
              <w:rPr>
                <w:rFonts w:ascii="宋体" w:hAnsi="宋体" w:eastAsia="宋体" w:cs="宋体"/>
                <w:sz w:val="21"/>
                <w:szCs w:val="21"/>
              </w:rPr>
            </w:pPr>
            <w:r>
              <w:rPr>
                <w:rFonts w:ascii="宋体" w:hAnsi="宋体" w:eastAsia="宋体" w:cs="宋体"/>
                <w:sz w:val="21"/>
                <w:szCs w:val="21"/>
              </w:rPr>
              <w:t>手性中心数</w:t>
            </w:r>
          </w:p>
        </w:tc>
        <w:tc>
          <w:tcPr>
            <w:tcW w:w="2169" w:type="dxa"/>
            <w:tcBorders>
              <w:tl2br w:val="nil"/>
              <w:tr2bl w:val="nil"/>
            </w:tcBorders>
            <w:vAlign w:val="center"/>
          </w:tcPr>
          <w:p w14:paraId="355D9839">
            <w:pPr>
              <w:bidi w:val="0"/>
              <w:ind w:left="0" w:leftChars="0" w:firstLine="0" w:firstLineChars="0"/>
              <w:jc w:val="center"/>
              <w:rPr>
                <w:rFonts w:hint="default" w:ascii="Times New Roman" w:hAnsi="Times New Roman" w:cs="Times New Roman"/>
                <w:sz w:val="21"/>
                <w:szCs w:val="21"/>
                <w:vertAlign w:val="baseline"/>
                <w:lang w:val="en-US" w:eastAsia="zh-CN"/>
              </w:rPr>
            </w:pPr>
            <w:r>
              <w:rPr>
                <w:rFonts w:hint="default" w:ascii="Times New Roman" w:hAnsi="Times New Roman" w:eastAsia="宋体" w:cs="Times New Roman"/>
                <w:sz w:val="21"/>
                <w:szCs w:val="21"/>
              </w:rPr>
              <w:t>Stereocenters</w:t>
            </w:r>
          </w:p>
        </w:tc>
        <w:tc>
          <w:tcPr>
            <w:tcW w:w="4338" w:type="dxa"/>
            <w:tcBorders>
              <w:tl2br w:val="nil"/>
              <w:tr2bl w:val="nil"/>
            </w:tcBorders>
            <w:vAlign w:val="center"/>
          </w:tcPr>
          <w:p w14:paraId="6A38572D">
            <w:pPr>
              <w:bidi w:val="0"/>
              <w:ind w:left="0" w:leftChars="0" w:firstLine="0" w:firstLineChars="0"/>
              <w:jc w:val="center"/>
              <w:rPr>
                <w:rFonts w:hint="default"/>
                <w:vertAlign w:val="baseline"/>
                <w:lang w:val="en-US" w:eastAsia="zh-CN"/>
              </w:rPr>
            </w:pPr>
            <w:r>
              <w:rPr>
                <w:rFonts w:ascii="宋体" w:hAnsi="宋体" w:eastAsia="宋体" w:cs="宋体"/>
                <w:sz w:val="24"/>
                <w:szCs w:val="24"/>
              </w:rPr>
              <w:t>分子中立体异构中心的数量</w:t>
            </w:r>
          </w:p>
        </w:tc>
      </w:tr>
    </w:tbl>
    <w:p w14:paraId="543C5316">
      <w:pPr>
        <w:bidi w:val="0"/>
        <w:ind w:left="0" w:leftChars="0" w:firstLine="0" w:firstLineChars="0"/>
        <w:rPr>
          <w:rFonts w:hint="default"/>
          <w:lang w:val="en-US" w:eastAsia="zh-CN"/>
        </w:rPr>
      </w:pPr>
    </w:p>
    <w:p w14:paraId="3B3DF23F">
      <w:pPr>
        <w:bidi w:val="0"/>
        <w:rPr>
          <w:rFonts w:hint="default"/>
          <w:lang w:val="en-US" w:eastAsia="zh-CN"/>
        </w:rPr>
      </w:pPr>
      <w:r>
        <w:rPr>
          <w:rFonts w:hint="default"/>
          <w:lang w:val="en-US" w:eastAsia="zh-CN"/>
        </w:rPr>
        <w:t>4.基于大模型的知识清洗与重写</w:t>
      </w:r>
      <w:r>
        <w:rPr>
          <w:rFonts w:hint="eastAsia"/>
          <w:lang w:val="en-US" w:eastAsia="zh-CN"/>
        </w:rPr>
        <w:t>：</w:t>
      </w:r>
      <w:r>
        <w:rPr>
          <w:rFonts w:hint="default"/>
          <w:lang w:val="en-US" w:eastAsia="zh-CN"/>
        </w:rPr>
        <w:t>本文引入大语言模型（LLM）作为文本生成代理，通过精心设计的提示词工程执行“清洗+融合”任务。具体而言，我们将API检索到的粗糙文本与RDKit计算的理化性质共同输入模型，要求模型去除原始文本中的噪声，并将理化指标自然地融入对分子的描述中。最终生成的文本呈现为“专家知识+理化属性”的混合描述形式，既保留了PubChem中的药理语义，又增强了对分子结构—性质关系的显式表达。</w:t>
      </w:r>
    </w:p>
    <w:p w14:paraId="32A3A78A">
      <w:pPr>
        <w:widowControl w:val="0"/>
        <w:bidi w:val="0"/>
        <w:spacing w:line="360" w:lineRule="auto"/>
        <w:jc w:val="both"/>
        <w:rPr>
          <w:rFonts w:hint="eastAsia"/>
          <w:kern w:val="2"/>
          <w:sz w:val="21"/>
          <w:szCs w:val="24"/>
          <w:lang w:val="en-US" w:eastAsia="zh-CN" w:bidi="ar-SA"/>
        </w:rPr>
      </w:pPr>
      <w:r>
        <w:rPr>
          <w:rFonts w:hint="eastAsia"/>
          <w:kern w:val="2"/>
          <w:sz w:val="21"/>
          <w:szCs w:val="24"/>
          <w:lang w:val="en-US" w:eastAsia="zh-CN" w:bidi="ar-SA"/>
        </w:rPr>
        <w:t>提示词的设计遵循以下三个核心原则：</w:t>
      </w:r>
    </w:p>
    <w:p w14:paraId="53D4A730">
      <w:pPr>
        <w:widowControl w:val="0"/>
        <w:bidi w:val="0"/>
        <w:spacing w:line="360" w:lineRule="auto"/>
        <w:jc w:val="both"/>
        <w:rPr>
          <w:rFonts w:hint="eastAsia"/>
          <w:kern w:val="2"/>
          <w:sz w:val="21"/>
          <w:szCs w:val="24"/>
          <w:lang w:val="en-US" w:eastAsia="zh-CN" w:bidi="ar-SA"/>
        </w:rPr>
      </w:pPr>
      <w:r>
        <w:rPr>
          <w:rFonts w:hint="eastAsia"/>
          <w:kern w:val="2"/>
          <w:sz w:val="21"/>
          <w:szCs w:val="24"/>
          <w:lang w:val="en-US" w:eastAsia="zh-CN" w:bidi="ar-SA"/>
        </w:rPr>
        <w:t>角色定义与任务约束：明确指示模型扮演“资深药物化学家”的角色，并规定输出必须使用客观、学术的陈述语气，严禁使用第一人称或情感色彩词汇。</w:t>
      </w:r>
    </w:p>
    <w:p w14:paraId="507C9A20">
      <w:pPr>
        <w:widowControl w:val="0"/>
        <w:bidi w:val="0"/>
        <w:spacing w:line="360" w:lineRule="auto"/>
        <w:jc w:val="both"/>
        <w:rPr>
          <w:rFonts w:hint="eastAsia"/>
          <w:kern w:val="2"/>
          <w:sz w:val="21"/>
          <w:szCs w:val="24"/>
          <w:lang w:val="en-US" w:eastAsia="zh-CN" w:bidi="ar-SA"/>
        </w:rPr>
      </w:pPr>
      <w:r>
        <w:rPr>
          <w:rFonts w:hint="eastAsia"/>
          <w:kern w:val="2"/>
          <w:sz w:val="21"/>
          <w:szCs w:val="24"/>
          <w:lang w:val="en-US" w:eastAsia="zh-CN" w:bidi="ar-SA"/>
        </w:rPr>
        <w:t>上下文注入：将检索到的原始文本与计算所得的理化性质列表作为两个独立的上下文块输入，强制模型在重写时必须参考这两部分信息。</w:t>
      </w:r>
    </w:p>
    <w:p w14:paraId="2BC64E5B">
      <w:pPr>
        <w:widowControl w:val="0"/>
        <w:bidi w:val="0"/>
        <w:spacing w:line="360" w:lineRule="auto"/>
        <w:jc w:val="both"/>
        <w:rPr>
          <w:rFonts w:hint="default"/>
          <w:kern w:val="2"/>
          <w:sz w:val="21"/>
          <w:szCs w:val="24"/>
          <w:lang w:val="en-US" w:eastAsia="zh-CN" w:bidi="ar-SA"/>
        </w:rPr>
      </w:pPr>
      <w:r>
        <w:rPr>
          <w:rFonts w:hint="eastAsia"/>
          <w:kern w:val="2"/>
          <w:sz w:val="21"/>
          <w:szCs w:val="24"/>
          <w:lang w:val="en-US" w:eastAsia="zh-CN" w:bidi="ar-SA"/>
        </w:rPr>
        <w:t>负面约束：显式列出需要过滤的噪声类型（如专利号、历史轶事、商业名称），防止模型产生“幻觉”或保留冗余信息。具体的提示词模板如表3.2所示。</w:t>
      </w:r>
    </w:p>
    <w:tbl>
      <w:tblPr>
        <w:tblStyle w:val="17"/>
        <w:tblW w:w="0" w:type="auto"/>
        <w:tblInd w:w="0" w:type="dxa"/>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130"/>
        <w:gridCol w:w="6254"/>
      </w:tblGrid>
      <w:tr w14:paraId="296A9E21">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2130" w:type="dxa"/>
            <w:tcBorders>
              <w:bottom w:val="single" w:color="auto" w:sz="8" w:space="0"/>
            </w:tcBorders>
          </w:tcPr>
          <w:p w14:paraId="64E6672D">
            <w:pPr>
              <w:widowControl w:val="0"/>
              <w:bidi w:val="0"/>
              <w:spacing w:line="360" w:lineRule="auto"/>
              <w:jc w:val="both"/>
              <w:rPr>
                <w:rFonts w:hint="default"/>
                <w:kern w:val="2"/>
                <w:sz w:val="21"/>
                <w:szCs w:val="24"/>
                <w:vertAlign w:val="baseline"/>
                <w:lang w:val="en-US" w:eastAsia="zh-CN" w:bidi="ar-SA"/>
              </w:rPr>
            </w:pPr>
            <w:r>
              <w:rPr>
                <w:rFonts w:hint="eastAsia"/>
                <w:kern w:val="2"/>
                <w:sz w:val="21"/>
                <w:szCs w:val="24"/>
                <w:vertAlign w:val="baseline"/>
                <w:lang w:val="en-US" w:eastAsia="zh-CN" w:bidi="ar-SA"/>
              </w:rPr>
              <w:t>模块</w:t>
            </w:r>
          </w:p>
        </w:tc>
        <w:tc>
          <w:tcPr>
            <w:tcW w:w="6254" w:type="dxa"/>
            <w:tcBorders>
              <w:bottom w:val="single" w:color="auto" w:sz="8" w:space="0"/>
            </w:tcBorders>
          </w:tcPr>
          <w:p w14:paraId="1BEEDDB2">
            <w:pPr>
              <w:widowControl w:val="0"/>
              <w:bidi w:val="0"/>
              <w:spacing w:line="360" w:lineRule="auto"/>
              <w:jc w:val="both"/>
              <w:rPr>
                <w:rFonts w:hint="default"/>
                <w:kern w:val="2"/>
                <w:sz w:val="21"/>
                <w:szCs w:val="24"/>
                <w:vertAlign w:val="baseline"/>
                <w:lang w:val="en-US" w:eastAsia="zh-CN" w:bidi="ar-SA"/>
              </w:rPr>
            </w:pPr>
            <w:r>
              <w:rPr>
                <w:rFonts w:hint="eastAsia"/>
                <w:kern w:val="2"/>
                <w:sz w:val="21"/>
                <w:szCs w:val="24"/>
                <w:vertAlign w:val="baseline"/>
                <w:lang w:val="en-US" w:eastAsia="zh-CN" w:bidi="ar-SA"/>
              </w:rPr>
              <w:t>内容</w:t>
            </w:r>
          </w:p>
        </w:tc>
      </w:tr>
      <w:tr w14:paraId="295F403E">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2130" w:type="dxa"/>
            <w:tcBorders>
              <w:top w:val="single" w:color="auto" w:sz="8" w:space="0"/>
              <w:tl2br w:val="nil"/>
              <w:tr2bl w:val="nil"/>
            </w:tcBorders>
          </w:tcPr>
          <w:p w14:paraId="45CCB4CC">
            <w:pPr>
              <w:widowControl w:val="0"/>
              <w:bidi w:val="0"/>
              <w:spacing w:line="360" w:lineRule="auto"/>
              <w:jc w:val="both"/>
              <w:rPr>
                <w:rFonts w:hint="default"/>
                <w:kern w:val="2"/>
                <w:sz w:val="21"/>
                <w:szCs w:val="24"/>
                <w:vertAlign w:val="baseline"/>
                <w:lang w:val="en-US" w:eastAsia="zh-CN" w:bidi="ar-SA"/>
              </w:rPr>
            </w:pPr>
            <w:r>
              <w:rPr>
                <w:rFonts w:hint="eastAsia"/>
                <w:kern w:val="2"/>
                <w:sz w:val="21"/>
                <w:szCs w:val="24"/>
                <w:vertAlign w:val="baseline"/>
                <w:lang w:val="en-US" w:eastAsia="zh-CN" w:bidi="ar-SA"/>
              </w:rPr>
              <w:t>系统指令</w:t>
            </w:r>
          </w:p>
        </w:tc>
        <w:tc>
          <w:tcPr>
            <w:tcW w:w="6254" w:type="dxa"/>
            <w:tcBorders>
              <w:top w:val="single" w:color="auto" w:sz="8" w:space="0"/>
              <w:tl2br w:val="nil"/>
              <w:tr2bl w:val="nil"/>
            </w:tcBorders>
          </w:tcPr>
          <w:p w14:paraId="1EB44A02">
            <w:pPr>
              <w:widowControl w:val="0"/>
              <w:bidi w:val="0"/>
              <w:spacing w:line="360" w:lineRule="auto"/>
              <w:ind w:left="0" w:leftChars="0" w:firstLine="0" w:firstLineChars="0"/>
              <w:jc w:val="both"/>
              <w:rPr>
                <w:rFonts w:hint="eastAsia"/>
                <w:kern w:val="2"/>
                <w:sz w:val="21"/>
                <w:szCs w:val="24"/>
                <w:vertAlign w:val="baseline"/>
                <w:lang w:val="en-US" w:eastAsia="zh-CN" w:bidi="ar-SA"/>
              </w:rPr>
            </w:pPr>
            <w:r>
              <w:rPr>
                <w:rFonts w:hint="eastAsia"/>
                <w:kern w:val="2"/>
                <w:sz w:val="21"/>
                <w:szCs w:val="24"/>
                <w:vertAlign w:val="baseline"/>
                <w:lang w:val="en-US" w:eastAsia="zh-CN" w:bidi="ar-SA"/>
              </w:rPr>
              <w:t>You are an expert scholar in pharmaceutical chemistry and drug discovery. Your task is to rewrite a noisy molecular description into a high-quality, scientifically accurate summary.</w:t>
            </w:r>
          </w:p>
        </w:tc>
      </w:tr>
      <w:tr w14:paraId="244360CA">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2130" w:type="dxa"/>
            <w:tcBorders>
              <w:tl2br w:val="nil"/>
              <w:tr2bl w:val="nil"/>
            </w:tcBorders>
          </w:tcPr>
          <w:p w14:paraId="626966FA">
            <w:pPr>
              <w:widowControl w:val="0"/>
              <w:bidi w:val="0"/>
              <w:spacing w:line="360" w:lineRule="auto"/>
              <w:jc w:val="both"/>
              <w:rPr>
                <w:rFonts w:hint="default"/>
                <w:kern w:val="2"/>
                <w:sz w:val="21"/>
                <w:szCs w:val="24"/>
                <w:vertAlign w:val="baseline"/>
                <w:lang w:val="en-US" w:eastAsia="zh-CN" w:bidi="ar-SA"/>
              </w:rPr>
            </w:pPr>
            <w:r>
              <w:rPr>
                <w:rFonts w:hint="eastAsia"/>
                <w:kern w:val="2"/>
                <w:sz w:val="21"/>
                <w:szCs w:val="24"/>
                <w:vertAlign w:val="baseline"/>
                <w:lang w:val="en-US" w:eastAsia="zh-CN" w:bidi="ar-SA"/>
              </w:rPr>
              <w:t>输入上下文</w:t>
            </w:r>
          </w:p>
        </w:tc>
        <w:tc>
          <w:tcPr>
            <w:tcW w:w="6254" w:type="dxa"/>
            <w:tcBorders>
              <w:tl2br w:val="nil"/>
              <w:tr2bl w:val="nil"/>
            </w:tcBorders>
          </w:tcPr>
          <w:p w14:paraId="0AAF42B7">
            <w:pPr>
              <w:bidi w:val="0"/>
              <w:ind w:left="0" w:leftChars="0" w:firstLine="0" w:firstLineChars="0"/>
            </w:pPr>
            <w:r>
              <w:t>[Instruction]: Combine the following Raw Description (from PubChem) and Physicochemical Properties (calculated by RDKit) into a cohesive paragraph.</w:t>
            </w:r>
          </w:p>
          <w:p w14:paraId="594927C9">
            <w:pPr>
              <w:bidi w:val="0"/>
              <w:ind w:left="0" w:leftChars="0" w:firstLine="0" w:firstLineChars="0"/>
            </w:pPr>
            <w:r>
              <w:t>[Raw Description]: {raw_description_text}</w:t>
            </w:r>
          </w:p>
          <w:p w14:paraId="231D237C">
            <w:pPr>
              <w:bidi w:val="0"/>
              <w:ind w:left="0" w:leftChars="0" w:firstLine="0" w:firstLineChars="0"/>
              <w:rPr>
                <w:rFonts w:hint="eastAsia"/>
                <w:kern w:val="2"/>
                <w:szCs w:val="24"/>
                <w:vertAlign w:val="baseline"/>
                <w:lang w:val="en-US" w:eastAsia="zh-CN" w:bidi="ar-SA"/>
              </w:rPr>
            </w:pPr>
            <w:r>
              <w:t>[Physicochemical Properties]: {calculated_properties_list}</w:t>
            </w:r>
          </w:p>
        </w:tc>
      </w:tr>
      <w:tr w14:paraId="28468D8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2130" w:type="dxa"/>
            <w:tcBorders>
              <w:tl2br w:val="nil"/>
              <w:tr2bl w:val="nil"/>
            </w:tcBorders>
          </w:tcPr>
          <w:p w14:paraId="50157BDB">
            <w:pPr>
              <w:widowControl w:val="0"/>
              <w:bidi w:val="0"/>
              <w:spacing w:line="360" w:lineRule="auto"/>
              <w:jc w:val="both"/>
              <w:rPr>
                <w:rFonts w:hint="default"/>
                <w:kern w:val="2"/>
                <w:sz w:val="21"/>
                <w:szCs w:val="24"/>
                <w:vertAlign w:val="baseline"/>
                <w:lang w:val="en-US" w:eastAsia="zh-CN" w:bidi="ar-SA"/>
              </w:rPr>
            </w:pPr>
            <w:r>
              <w:rPr>
                <w:rFonts w:hint="eastAsia"/>
                <w:kern w:val="2"/>
                <w:sz w:val="21"/>
                <w:szCs w:val="24"/>
                <w:vertAlign w:val="baseline"/>
                <w:lang w:val="en-US" w:eastAsia="zh-CN" w:bidi="ar-SA"/>
              </w:rPr>
              <w:t>生成约束</w:t>
            </w:r>
          </w:p>
        </w:tc>
        <w:tc>
          <w:tcPr>
            <w:tcW w:w="6254" w:type="dxa"/>
            <w:tcBorders>
              <w:tl2br w:val="nil"/>
              <w:tr2bl w:val="nil"/>
            </w:tcBorders>
          </w:tcPr>
          <w:p w14:paraId="7EF14F96">
            <w:pPr>
              <w:bidi w:val="0"/>
              <w:ind w:left="0" w:leftChars="0" w:firstLine="0" w:firstLineChars="0"/>
            </w:pPr>
            <w:r>
              <w:t>1. Noise Filtering: Remove all patent numbers (e.g., US12345), dates of discovery, historical anecdotes, commercial trade names, and CAS registry numbers.</w:t>
            </w:r>
          </w:p>
          <w:p w14:paraId="466034D3">
            <w:pPr>
              <w:bidi w:val="0"/>
              <w:ind w:left="0" w:leftChars="0" w:firstLine="0" w:firstLineChars="0"/>
            </w:pPr>
            <w:r>
              <w:t>2. Property Integration: Naturally weave the quantitative properties (especially MW, LogP, TPSA, and H-bond counts) into the description to explain the molecule's solubility, permeability, or size. Do not just list the numbers.</w:t>
            </w:r>
          </w:p>
          <w:p w14:paraId="00A692B5">
            <w:pPr>
              <w:bidi w:val="0"/>
              <w:ind w:left="0" w:leftChars="0" w:firstLine="0" w:firstLineChars="0"/>
              <w:rPr>
                <w:rFonts w:hint="eastAsia" w:eastAsia="宋体"/>
                <w:lang w:val="en-US" w:eastAsia="zh-CN"/>
              </w:rPr>
            </w:pPr>
            <w:r>
              <w:t>3. Handling Sparsity: If the Raw Description is empty or too short, rely on the Physicochemical Properties to describe the molecule's potential characteristics</w:t>
            </w:r>
            <w:r>
              <w:rPr>
                <w:rFonts w:hint="eastAsia"/>
                <w:lang w:val="en-US" w:eastAsia="zh-CN"/>
              </w:rPr>
              <w:t>.</w:t>
            </w:r>
          </w:p>
          <w:p w14:paraId="0C3FB5E1">
            <w:pPr>
              <w:bidi w:val="0"/>
              <w:ind w:left="0" w:leftChars="0" w:firstLine="0" w:firstLineChars="0"/>
              <w:rPr>
                <w:rFonts w:hint="eastAsia" w:eastAsia="宋体"/>
                <w:kern w:val="2"/>
                <w:sz w:val="21"/>
                <w:szCs w:val="24"/>
                <w:vertAlign w:val="baseline"/>
                <w:lang w:val="en-US" w:eastAsia="zh-CN" w:bidi="ar-SA"/>
              </w:rPr>
            </w:pPr>
            <w:r>
              <w:t>4. Format: Start the paragraph strictly with "This molecu</w:t>
            </w:r>
            <w:r>
              <w:rPr>
                <w:b/>
                <w:bCs/>
              </w:rPr>
              <w:t>le is...</w:t>
            </w:r>
            <w:r>
              <w:t>". Keep it concise, under 200 words</w:t>
            </w:r>
            <w:r>
              <w:rPr>
                <w:rFonts w:hint="eastAsia"/>
                <w:lang w:val="en-US" w:eastAsia="zh-CN"/>
              </w:rPr>
              <w:t>.</w:t>
            </w:r>
          </w:p>
        </w:tc>
      </w:tr>
    </w:tbl>
    <w:p w14:paraId="7CDEA7C3">
      <w:pPr>
        <w:widowControl w:val="0"/>
        <w:bidi w:val="0"/>
        <w:spacing w:line="360" w:lineRule="auto"/>
        <w:ind w:left="0" w:leftChars="0" w:firstLine="0" w:firstLineChars="0"/>
        <w:jc w:val="both"/>
        <w:rPr>
          <w:rFonts w:hint="default"/>
          <w:kern w:val="2"/>
          <w:sz w:val="21"/>
          <w:szCs w:val="24"/>
          <w:lang w:val="en-US" w:eastAsia="zh-CN" w:bidi="ar-SA"/>
        </w:rPr>
      </w:pPr>
      <w:r>
        <w:rPr>
          <w:rFonts w:hint="default"/>
          <w:kern w:val="2"/>
          <w:sz w:val="21"/>
          <w:szCs w:val="24"/>
          <w:lang w:val="en-US" w:eastAsia="zh-CN" w:bidi="ar-SA"/>
        </w:rPr>
        <w:t>5.多模态输入视图构建</w:t>
      </w:r>
      <w:r>
        <w:rPr>
          <w:rFonts w:hint="eastAsia"/>
          <w:kern w:val="2"/>
          <w:sz w:val="21"/>
          <w:szCs w:val="24"/>
          <w:lang w:val="en-US" w:eastAsia="zh-CN" w:bidi="ar-SA"/>
        </w:rPr>
        <w:t>：</w:t>
      </w:r>
      <w:r>
        <w:rPr>
          <w:rFonts w:hint="default"/>
          <w:kern w:val="2"/>
          <w:sz w:val="21"/>
          <w:szCs w:val="24"/>
          <w:lang w:val="en-US" w:eastAsia="zh-CN" w:bidi="ar-SA"/>
        </w:rPr>
        <w:t>为了构建全方位的分子表征空间，除上述增强后的文本模态外，本文进一步基于清洗后的SMILES序列，利用RDKit工具包生成了分子的2D拓扑图结构（Graph）与分子指纹（Fingerprint），形成了“图—序列—指纹—文本”四位一体的</w:t>
      </w:r>
      <w:r>
        <w:rPr>
          <w:rFonts w:hint="eastAsia"/>
          <w:kern w:val="2"/>
          <w:sz w:val="21"/>
          <w:szCs w:val="24"/>
          <w:lang w:val="en-US" w:eastAsia="zh-CN" w:bidi="ar-SA"/>
        </w:rPr>
        <w:t>多模态</w:t>
      </w:r>
      <w:r>
        <w:rPr>
          <w:rFonts w:hint="default"/>
          <w:kern w:val="2"/>
          <w:sz w:val="21"/>
          <w:szCs w:val="24"/>
          <w:lang w:val="en-US" w:eastAsia="zh-CN" w:bidi="ar-SA"/>
        </w:rPr>
        <w:t>输入数据</w:t>
      </w:r>
      <w:r>
        <w:rPr>
          <w:rFonts w:hint="eastAsia"/>
          <w:kern w:val="2"/>
          <w:sz w:val="21"/>
          <w:szCs w:val="24"/>
          <w:lang w:val="en-US" w:eastAsia="zh-CN" w:bidi="ar-SA"/>
        </w:rPr>
        <w:t>。</w:t>
      </w:r>
    </w:p>
    <w:p w14:paraId="5322A33A">
      <w:pPr>
        <w:bidi w:val="0"/>
        <w:rPr>
          <w:rFonts w:hint="default"/>
          <w:lang w:val="en-US" w:eastAsia="zh-CN"/>
        </w:rPr>
      </w:pPr>
      <w:r>
        <w:rPr>
          <w:rFonts w:hint="default"/>
          <w:lang w:val="en-US" w:eastAsia="zh-CN"/>
        </w:rPr>
        <w:t>通过上述流程，本文成功构建了一个包含约22万个高质量</w:t>
      </w:r>
      <w:r>
        <w:rPr>
          <w:rFonts w:hint="eastAsia"/>
          <w:lang w:val="en-US" w:eastAsia="zh-CN"/>
        </w:rPr>
        <w:t>多模态</w:t>
      </w:r>
      <w:r>
        <w:rPr>
          <w:rFonts w:hint="default"/>
          <w:lang w:val="en-US" w:eastAsia="zh-CN"/>
        </w:rPr>
        <w:t>预训练数据集，为后续的多模态对比学习提供了坚实的数据基础。</w:t>
      </w:r>
    </w:p>
    <w:p w14:paraId="03163B31">
      <w:pPr>
        <w:pStyle w:val="4"/>
        <w:bidi w:val="0"/>
        <w:rPr>
          <w:rFonts w:hint="default"/>
          <w:lang w:val="en-US" w:eastAsia="zh-CN"/>
        </w:rPr>
      </w:pPr>
      <w:r>
        <w:rPr>
          <w:rFonts w:hint="eastAsia"/>
          <w:lang w:val="en-US" w:eastAsia="zh-CN"/>
        </w:rPr>
        <w:t>下游数据集</w:t>
      </w:r>
    </w:p>
    <w:p w14:paraId="40A8DD1F">
      <w:pPr>
        <w:bidi w:val="0"/>
        <w:rPr>
          <w:rFonts w:hint="eastAsia"/>
          <w:lang w:val="en-US" w:eastAsia="zh-CN"/>
        </w:rPr>
      </w:pPr>
      <w:r>
        <w:rPr>
          <w:rFonts w:hint="eastAsia"/>
          <w:lang w:val="en-US" w:eastAsia="zh-CN"/>
        </w:rPr>
        <w:t>为评估本文预训练模型在下游分子性质预测任务中的泛化能力和迁移能力，本文选取了MoleculeNet数据集中9个具有代表性的数据集进行效果评估。</w:t>
      </w:r>
      <w:r>
        <w:rPr>
          <w:rFonts w:ascii="宋体" w:hAnsi="宋体" w:eastAsia="宋体" w:cs="宋体"/>
          <w:sz w:val="21"/>
          <w:szCs w:val="21"/>
        </w:rPr>
        <w:t>MoleculeNet由Wu等于2018年提出，通过提供统一的数据划分策略、评价指标及实验协议，解决了过往研究中因基准不一致导致模型性能难以横向比较的问题。</w:t>
      </w:r>
      <w:r>
        <w:rPr>
          <w:rFonts w:hint="eastAsia" w:ascii="宋体" w:hAnsi="宋体" w:eastAsia="宋体" w:cs="宋体"/>
          <w:sz w:val="21"/>
          <w:szCs w:val="21"/>
        </w:rPr>
        <w:t>本文选用的数据集涵盖了生物物理学、生理学及物理化学等多个领域，包含6个分类任务与3个回归任务。具体的数据集统计信息及划分方式如表3.3所示。</w:t>
      </w:r>
    </w:p>
    <w:tbl>
      <w:tblPr>
        <w:tblStyle w:val="17"/>
        <w:tblW w:w="0" w:type="auto"/>
        <w:jc w:val="center"/>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395"/>
        <w:gridCol w:w="1173"/>
        <w:gridCol w:w="1199"/>
        <w:gridCol w:w="1314"/>
        <w:gridCol w:w="1208"/>
        <w:gridCol w:w="1128"/>
      </w:tblGrid>
      <w:tr w14:paraId="46D73393">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95" w:type="dxa"/>
            <w:tcBorders>
              <w:bottom w:val="single" w:color="auto" w:sz="8" w:space="0"/>
            </w:tcBorders>
          </w:tcPr>
          <w:p w14:paraId="3BB4B051">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lang w:val="en-US" w:eastAsia="zh-CN"/>
              </w:rPr>
              <w:t>数据集</w:t>
            </w:r>
          </w:p>
        </w:tc>
        <w:tc>
          <w:tcPr>
            <w:tcW w:w="1173" w:type="dxa"/>
            <w:tcBorders>
              <w:bottom w:val="single" w:color="auto" w:sz="8" w:space="0"/>
            </w:tcBorders>
          </w:tcPr>
          <w:p w14:paraId="060FE265">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任务类型</w:t>
            </w:r>
          </w:p>
        </w:tc>
        <w:tc>
          <w:tcPr>
            <w:tcW w:w="1199" w:type="dxa"/>
            <w:tcBorders>
              <w:bottom w:val="single" w:color="auto" w:sz="8" w:space="0"/>
            </w:tcBorders>
          </w:tcPr>
          <w:p w14:paraId="11037938">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分子数</w:t>
            </w:r>
          </w:p>
        </w:tc>
        <w:tc>
          <w:tcPr>
            <w:tcW w:w="1314" w:type="dxa"/>
            <w:tcBorders>
              <w:bottom w:val="single" w:color="auto" w:sz="8" w:space="0"/>
            </w:tcBorders>
          </w:tcPr>
          <w:p w14:paraId="74344713">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种类</w:t>
            </w:r>
          </w:p>
        </w:tc>
        <w:tc>
          <w:tcPr>
            <w:tcW w:w="1208" w:type="dxa"/>
            <w:tcBorders>
              <w:bottom w:val="single" w:color="auto" w:sz="8" w:space="0"/>
            </w:tcBorders>
          </w:tcPr>
          <w:p w14:paraId="75B25F4D">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指标</w:t>
            </w:r>
          </w:p>
        </w:tc>
        <w:tc>
          <w:tcPr>
            <w:tcW w:w="1128" w:type="dxa"/>
            <w:tcBorders>
              <w:bottom w:val="single" w:color="auto" w:sz="8" w:space="0"/>
            </w:tcBorders>
          </w:tcPr>
          <w:p w14:paraId="19CC6BB1">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划分方式</w:t>
            </w:r>
          </w:p>
        </w:tc>
      </w:tr>
      <w:tr w14:paraId="75A803AF">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95" w:type="dxa"/>
            <w:tcBorders>
              <w:top w:val="single" w:color="auto" w:sz="8" w:space="0"/>
              <w:tl2br w:val="nil"/>
              <w:tr2bl w:val="nil"/>
            </w:tcBorders>
          </w:tcPr>
          <w:p w14:paraId="3454CBEE">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BACE</w:t>
            </w:r>
          </w:p>
        </w:tc>
        <w:tc>
          <w:tcPr>
            <w:tcW w:w="1173" w:type="dxa"/>
            <w:tcBorders>
              <w:top w:val="single" w:color="auto" w:sz="8" w:space="0"/>
              <w:tl2br w:val="nil"/>
              <w:tr2bl w:val="nil"/>
            </w:tcBorders>
          </w:tcPr>
          <w:p w14:paraId="5B7E790E">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分类</w:t>
            </w:r>
          </w:p>
        </w:tc>
        <w:tc>
          <w:tcPr>
            <w:tcW w:w="1199" w:type="dxa"/>
            <w:tcBorders>
              <w:top w:val="single" w:color="auto" w:sz="8" w:space="0"/>
              <w:tl2br w:val="nil"/>
              <w:tr2bl w:val="nil"/>
            </w:tcBorders>
          </w:tcPr>
          <w:p w14:paraId="03A73B41">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1513</w:t>
            </w:r>
          </w:p>
        </w:tc>
        <w:tc>
          <w:tcPr>
            <w:tcW w:w="1314" w:type="dxa"/>
            <w:tcBorders>
              <w:top w:val="single" w:color="auto" w:sz="8" w:space="0"/>
              <w:tl2br w:val="nil"/>
              <w:tr2bl w:val="nil"/>
            </w:tcBorders>
          </w:tcPr>
          <w:p w14:paraId="5357DE60">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生物物理学</w:t>
            </w:r>
          </w:p>
        </w:tc>
        <w:tc>
          <w:tcPr>
            <w:tcW w:w="1208" w:type="dxa"/>
            <w:tcBorders>
              <w:top w:val="single" w:color="auto" w:sz="8" w:space="0"/>
              <w:tl2br w:val="nil"/>
              <w:tr2bl w:val="nil"/>
            </w:tcBorders>
          </w:tcPr>
          <w:p w14:paraId="3A193201">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AUC</w:t>
            </w:r>
          </w:p>
        </w:tc>
        <w:tc>
          <w:tcPr>
            <w:tcW w:w="1128" w:type="dxa"/>
            <w:tcBorders>
              <w:top w:val="single" w:color="auto" w:sz="8" w:space="0"/>
              <w:tl2br w:val="nil"/>
              <w:tr2bl w:val="nil"/>
            </w:tcBorders>
          </w:tcPr>
          <w:p w14:paraId="42382805">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骨架划分</w:t>
            </w:r>
          </w:p>
        </w:tc>
      </w:tr>
      <w:tr w14:paraId="24596FAB">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95" w:type="dxa"/>
            <w:tcBorders>
              <w:tl2br w:val="nil"/>
              <w:tr2bl w:val="nil"/>
            </w:tcBorders>
          </w:tcPr>
          <w:p w14:paraId="1B8C2B78">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BBBP</w:t>
            </w:r>
          </w:p>
        </w:tc>
        <w:tc>
          <w:tcPr>
            <w:tcW w:w="1173" w:type="dxa"/>
            <w:tcBorders>
              <w:tl2br w:val="nil"/>
              <w:tr2bl w:val="nil"/>
            </w:tcBorders>
          </w:tcPr>
          <w:p w14:paraId="70787EFD">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分类</w:t>
            </w:r>
          </w:p>
        </w:tc>
        <w:tc>
          <w:tcPr>
            <w:tcW w:w="1199" w:type="dxa"/>
            <w:tcBorders>
              <w:tl2br w:val="nil"/>
              <w:tr2bl w:val="nil"/>
            </w:tcBorders>
          </w:tcPr>
          <w:p w14:paraId="32B0840D">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2039</w:t>
            </w:r>
          </w:p>
        </w:tc>
        <w:tc>
          <w:tcPr>
            <w:tcW w:w="1314" w:type="dxa"/>
            <w:tcBorders>
              <w:tl2br w:val="nil"/>
              <w:tr2bl w:val="nil"/>
            </w:tcBorders>
          </w:tcPr>
          <w:p w14:paraId="485F4544">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生理学</w:t>
            </w:r>
          </w:p>
        </w:tc>
        <w:tc>
          <w:tcPr>
            <w:tcW w:w="1208" w:type="dxa"/>
            <w:tcBorders>
              <w:tl2br w:val="nil"/>
              <w:tr2bl w:val="nil"/>
            </w:tcBorders>
          </w:tcPr>
          <w:p w14:paraId="4FB14AC3">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AUC</w:t>
            </w:r>
          </w:p>
        </w:tc>
        <w:tc>
          <w:tcPr>
            <w:tcW w:w="1128" w:type="dxa"/>
            <w:tcBorders>
              <w:tl2br w:val="nil"/>
              <w:tr2bl w:val="nil"/>
            </w:tcBorders>
          </w:tcPr>
          <w:p w14:paraId="688BB845">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骨架划分</w:t>
            </w:r>
          </w:p>
        </w:tc>
      </w:tr>
      <w:tr w14:paraId="2478EF0B">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95" w:type="dxa"/>
            <w:tcBorders>
              <w:tl2br w:val="nil"/>
              <w:tr2bl w:val="nil"/>
            </w:tcBorders>
          </w:tcPr>
          <w:p w14:paraId="432F7E80">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ClinTox</w:t>
            </w:r>
          </w:p>
        </w:tc>
        <w:tc>
          <w:tcPr>
            <w:tcW w:w="1173" w:type="dxa"/>
            <w:tcBorders>
              <w:tl2br w:val="nil"/>
              <w:tr2bl w:val="nil"/>
            </w:tcBorders>
          </w:tcPr>
          <w:p w14:paraId="2DD7733A">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分类</w:t>
            </w:r>
          </w:p>
        </w:tc>
        <w:tc>
          <w:tcPr>
            <w:tcW w:w="1199" w:type="dxa"/>
            <w:tcBorders>
              <w:tl2br w:val="nil"/>
              <w:tr2bl w:val="nil"/>
            </w:tcBorders>
          </w:tcPr>
          <w:p w14:paraId="47D3D213">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1478</w:t>
            </w:r>
          </w:p>
        </w:tc>
        <w:tc>
          <w:tcPr>
            <w:tcW w:w="1314" w:type="dxa"/>
            <w:tcBorders>
              <w:tl2br w:val="nil"/>
              <w:tr2bl w:val="nil"/>
            </w:tcBorders>
          </w:tcPr>
          <w:p w14:paraId="7D0D3152">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生理学</w:t>
            </w:r>
          </w:p>
        </w:tc>
        <w:tc>
          <w:tcPr>
            <w:tcW w:w="1208" w:type="dxa"/>
            <w:tcBorders>
              <w:tl2br w:val="nil"/>
              <w:tr2bl w:val="nil"/>
            </w:tcBorders>
          </w:tcPr>
          <w:p w14:paraId="6B7C1CA8">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AUC</w:t>
            </w:r>
          </w:p>
        </w:tc>
        <w:tc>
          <w:tcPr>
            <w:tcW w:w="1128" w:type="dxa"/>
            <w:tcBorders>
              <w:tl2br w:val="nil"/>
              <w:tr2bl w:val="nil"/>
            </w:tcBorders>
          </w:tcPr>
          <w:p w14:paraId="7EFCA47D">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骨架划分</w:t>
            </w:r>
          </w:p>
        </w:tc>
      </w:tr>
      <w:tr w14:paraId="299B2857">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95" w:type="dxa"/>
            <w:tcBorders>
              <w:tl2br w:val="nil"/>
              <w:tr2bl w:val="nil"/>
            </w:tcBorders>
          </w:tcPr>
          <w:p w14:paraId="41F044D9">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Tox21</w:t>
            </w:r>
          </w:p>
        </w:tc>
        <w:tc>
          <w:tcPr>
            <w:tcW w:w="1173" w:type="dxa"/>
            <w:tcBorders>
              <w:tl2br w:val="nil"/>
              <w:tr2bl w:val="nil"/>
            </w:tcBorders>
          </w:tcPr>
          <w:p w14:paraId="34FAA968">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分类</w:t>
            </w:r>
          </w:p>
        </w:tc>
        <w:tc>
          <w:tcPr>
            <w:tcW w:w="1199" w:type="dxa"/>
            <w:tcBorders>
              <w:tl2br w:val="nil"/>
              <w:tr2bl w:val="nil"/>
            </w:tcBorders>
          </w:tcPr>
          <w:p w14:paraId="322C168C">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7831</w:t>
            </w:r>
          </w:p>
        </w:tc>
        <w:tc>
          <w:tcPr>
            <w:tcW w:w="1314" w:type="dxa"/>
            <w:tcBorders>
              <w:tl2br w:val="nil"/>
              <w:tr2bl w:val="nil"/>
            </w:tcBorders>
          </w:tcPr>
          <w:p w14:paraId="035F0588">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生理学</w:t>
            </w:r>
          </w:p>
        </w:tc>
        <w:tc>
          <w:tcPr>
            <w:tcW w:w="1208" w:type="dxa"/>
            <w:tcBorders>
              <w:tl2br w:val="nil"/>
              <w:tr2bl w:val="nil"/>
            </w:tcBorders>
          </w:tcPr>
          <w:p w14:paraId="2BD0729E">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AUC</w:t>
            </w:r>
          </w:p>
        </w:tc>
        <w:tc>
          <w:tcPr>
            <w:tcW w:w="1128" w:type="dxa"/>
            <w:tcBorders>
              <w:tl2br w:val="nil"/>
              <w:tr2bl w:val="nil"/>
            </w:tcBorders>
          </w:tcPr>
          <w:p w14:paraId="439F5DE9">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骨架划分</w:t>
            </w:r>
          </w:p>
        </w:tc>
      </w:tr>
      <w:tr w14:paraId="27968699">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95" w:type="dxa"/>
            <w:tcBorders>
              <w:tl2br w:val="nil"/>
              <w:tr2bl w:val="nil"/>
            </w:tcBorders>
          </w:tcPr>
          <w:p w14:paraId="3818D38C">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ToxCast</w:t>
            </w:r>
          </w:p>
        </w:tc>
        <w:tc>
          <w:tcPr>
            <w:tcW w:w="1173" w:type="dxa"/>
            <w:tcBorders>
              <w:tl2br w:val="nil"/>
              <w:tr2bl w:val="nil"/>
            </w:tcBorders>
          </w:tcPr>
          <w:p w14:paraId="52D76B9A">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分类</w:t>
            </w:r>
          </w:p>
        </w:tc>
        <w:tc>
          <w:tcPr>
            <w:tcW w:w="1199" w:type="dxa"/>
            <w:tcBorders>
              <w:tl2br w:val="nil"/>
              <w:tr2bl w:val="nil"/>
            </w:tcBorders>
          </w:tcPr>
          <w:p w14:paraId="36E4274B">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8575</w:t>
            </w:r>
          </w:p>
        </w:tc>
        <w:tc>
          <w:tcPr>
            <w:tcW w:w="1314" w:type="dxa"/>
            <w:tcBorders>
              <w:tl2br w:val="nil"/>
              <w:tr2bl w:val="nil"/>
            </w:tcBorders>
          </w:tcPr>
          <w:p w14:paraId="5B2C895C">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生理学</w:t>
            </w:r>
          </w:p>
        </w:tc>
        <w:tc>
          <w:tcPr>
            <w:tcW w:w="1208" w:type="dxa"/>
            <w:tcBorders>
              <w:tl2br w:val="nil"/>
              <w:tr2bl w:val="nil"/>
            </w:tcBorders>
          </w:tcPr>
          <w:p w14:paraId="6EE18D23">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AUC</w:t>
            </w:r>
          </w:p>
        </w:tc>
        <w:tc>
          <w:tcPr>
            <w:tcW w:w="1128" w:type="dxa"/>
            <w:tcBorders>
              <w:tl2br w:val="nil"/>
              <w:tr2bl w:val="nil"/>
            </w:tcBorders>
          </w:tcPr>
          <w:p w14:paraId="5BE66565">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骨架划分</w:t>
            </w:r>
          </w:p>
        </w:tc>
      </w:tr>
      <w:tr w14:paraId="1DE8331F">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95" w:type="dxa"/>
            <w:tcBorders>
              <w:tl2br w:val="nil"/>
              <w:tr2bl w:val="nil"/>
            </w:tcBorders>
          </w:tcPr>
          <w:p w14:paraId="2B61BAB9">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Sider</w:t>
            </w:r>
          </w:p>
        </w:tc>
        <w:tc>
          <w:tcPr>
            <w:tcW w:w="1173" w:type="dxa"/>
            <w:tcBorders>
              <w:tl2br w:val="nil"/>
              <w:tr2bl w:val="nil"/>
            </w:tcBorders>
          </w:tcPr>
          <w:p w14:paraId="6F7486B8">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分类</w:t>
            </w:r>
          </w:p>
        </w:tc>
        <w:tc>
          <w:tcPr>
            <w:tcW w:w="1199" w:type="dxa"/>
            <w:tcBorders>
              <w:tl2br w:val="nil"/>
              <w:tr2bl w:val="nil"/>
            </w:tcBorders>
          </w:tcPr>
          <w:p w14:paraId="226082BB">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1472</w:t>
            </w:r>
          </w:p>
        </w:tc>
        <w:tc>
          <w:tcPr>
            <w:tcW w:w="1314" w:type="dxa"/>
            <w:tcBorders>
              <w:tl2br w:val="nil"/>
              <w:tr2bl w:val="nil"/>
            </w:tcBorders>
          </w:tcPr>
          <w:p w14:paraId="13D67058">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生理学</w:t>
            </w:r>
          </w:p>
        </w:tc>
        <w:tc>
          <w:tcPr>
            <w:tcW w:w="1208" w:type="dxa"/>
            <w:tcBorders>
              <w:tl2br w:val="nil"/>
              <w:tr2bl w:val="nil"/>
            </w:tcBorders>
          </w:tcPr>
          <w:p w14:paraId="76AAE120">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AUC</w:t>
            </w:r>
          </w:p>
        </w:tc>
        <w:tc>
          <w:tcPr>
            <w:tcW w:w="1128" w:type="dxa"/>
            <w:tcBorders>
              <w:tl2br w:val="nil"/>
              <w:tr2bl w:val="nil"/>
            </w:tcBorders>
          </w:tcPr>
          <w:p w14:paraId="39024CDA">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骨架划分</w:t>
            </w:r>
          </w:p>
        </w:tc>
      </w:tr>
      <w:tr w14:paraId="05103502">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95" w:type="dxa"/>
            <w:tcBorders>
              <w:tl2br w:val="nil"/>
              <w:tr2bl w:val="nil"/>
            </w:tcBorders>
          </w:tcPr>
          <w:p w14:paraId="38535AA9">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FreeSolv</w:t>
            </w:r>
          </w:p>
        </w:tc>
        <w:tc>
          <w:tcPr>
            <w:tcW w:w="1173" w:type="dxa"/>
            <w:tcBorders>
              <w:tl2br w:val="nil"/>
              <w:tr2bl w:val="nil"/>
            </w:tcBorders>
          </w:tcPr>
          <w:p w14:paraId="524D0254">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回归</w:t>
            </w:r>
          </w:p>
        </w:tc>
        <w:tc>
          <w:tcPr>
            <w:tcW w:w="1199" w:type="dxa"/>
            <w:tcBorders>
              <w:tl2br w:val="nil"/>
              <w:tr2bl w:val="nil"/>
            </w:tcBorders>
          </w:tcPr>
          <w:p w14:paraId="580D5840">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642</w:t>
            </w:r>
          </w:p>
        </w:tc>
        <w:tc>
          <w:tcPr>
            <w:tcW w:w="1314" w:type="dxa"/>
            <w:tcBorders>
              <w:tl2br w:val="nil"/>
              <w:tr2bl w:val="nil"/>
            </w:tcBorders>
          </w:tcPr>
          <w:p w14:paraId="54E24C80">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物理化学</w:t>
            </w:r>
          </w:p>
        </w:tc>
        <w:tc>
          <w:tcPr>
            <w:tcW w:w="1208" w:type="dxa"/>
            <w:tcBorders>
              <w:tl2br w:val="nil"/>
              <w:tr2bl w:val="nil"/>
            </w:tcBorders>
          </w:tcPr>
          <w:p w14:paraId="255B6824">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RMSE</w:t>
            </w:r>
          </w:p>
        </w:tc>
        <w:tc>
          <w:tcPr>
            <w:tcW w:w="1128" w:type="dxa"/>
            <w:tcBorders>
              <w:tl2br w:val="nil"/>
              <w:tr2bl w:val="nil"/>
            </w:tcBorders>
          </w:tcPr>
          <w:p w14:paraId="5FD0303E">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骨架划分</w:t>
            </w:r>
          </w:p>
        </w:tc>
      </w:tr>
      <w:tr w14:paraId="205AAA74">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95" w:type="dxa"/>
            <w:tcBorders>
              <w:tl2br w:val="nil"/>
              <w:tr2bl w:val="nil"/>
            </w:tcBorders>
          </w:tcPr>
          <w:p w14:paraId="7569E0B5">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ESOL</w:t>
            </w:r>
          </w:p>
        </w:tc>
        <w:tc>
          <w:tcPr>
            <w:tcW w:w="1173" w:type="dxa"/>
            <w:tcBorders>
              <w:tl2br w:val="nil"/>
              <w:tr2bl w:val="nil"/>
            </w:tcBorders>
          </w:tcPr>
          <w:p w14:paraId="02EB747F">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回归</w:t>
            </w:r>
          </w:p>
        </w:tc>
        <w:tc>
          <w:tcPr>
            <w:tcW w:w="1199" w:type="dxa"/>
            <w:tcBorders>
              <w:tl2br w:val="nil"/>
              <w:tr2bl w:val="nil"/>
            </w:tcBorders>
          </w:tcPr>
          <w:p w14:paraId="1A0C3B7C">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1128</w:t>
            </w:r>
          </w:p>
        </w:tc>
        <w:tc>
          <w:tcPr>
            <w:tcW w:w="1314" w:type="dxa"/>
            <w:tcBorders>
              <w:tl2br w:val="nil"/>
              <w:tr2bl w:val="nil"/>
            </w:tcBorders>
          </w:tcPr>
          <w:p w14:paraId="72B959F3">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物理化学</w:t>
            </w:r>
          </w:p>
        </w:tc>
        <w:tc>
          <w:tcPr>
            <w:tcW w:w="1208" w:type="dxa"/>
            <w:tcBorders>
              <w:tl2br w:val="nil"/>
              <w:tr2bl w:val="nil"/>
            </w:tcBorders>
          </w:tcPr>
          <w:p w14:paraId="6EF4C124">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RMSE</w:t>
            </w:r>
          </w:p>
        </w:tc>
        <w:tc>
          <w:tcPr>
            <w:tcW w:w="1128" w:type="dxa"/>
            <w:tcBorders>
              <w:tl2br w:val="nil"/>
              <w:tr2bl w:val="nil"/>
            </w:tcBorders>
          </w:tcPr>
          <w:p w14:paraId="0E2C41B1">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骨架划分</w:t>
            </w:r>
          </w:p>
        </w:tc>
      </w:tr>
      <w:tr w14:paraId="6AB852A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95" w:type="dxa"/>
            <w:tcBorders>
              <w:tl2br w:val="nil"/>
              <w:tr2bl w:val="nil"/>
            </w:tcBorders>
          </w:tcPr>
          <w:p w14:paraId="2D4EDBCA">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Lipo</w:t>
            </w:r>
          </w:p>
        </w:tc>
        <w:tc>
          <w:tcPr>
            <w:tcW w:w="1173" w:type="dxa"/>
            <w:tcBorders>
              <w:tl2br w:val="nil"/>
              <w:tr2bl w:val="nil"/>
            </w:tcBorders>
          </w:tcPr>
          <w:p w14:paraId="27B2B653">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回归</w:t>
            </w:r>
          </w:p>
        </w:tc>
        <w:tc>
          <w:tcPr>
            <w:tcW w:w="1199" w:type="dxa"/>
            <w:tcBorders>
              <w:tl2br w:val="nil"/>
              <w:tr2bl w:val="nil"/>
            </w:tcBorders>
          </w:tcPr>
          <w:p w14:paraId="5991D12D">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4200</w:t>
            </w:r>
          </w:p>
        </w:tc>
        <w:tc>
          <w:tcPr>
            <w:tcW w:w="1314" w:type="dxa"/>
            <w:tcBorders>
              <w:tl2br w:val="nil"/>
              <w:tr2bl w:val="nil"/>
            </w:tcBorders>
          </w:tcPr>
          <w:p w14:paraId="15AF71B4">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物理化学</w:t>
            </w:r>
          </w:p>
        </w:tc>
        <w:tc>
          <w:tcPr>
            <w:tcW w:w="1208" w:type="dxa"/>
            <w:tcBorders>
              <w:tl2br w:val="nil"/>
              <w:tr2bl w:val="nil"/>
            </w:tcBorders>
          </w:tcPr>
          <w:p w14:paraId="10768BD5">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RMSE</w:t>
            </w:r>
          </w:p>
        </w:tc>
        <w:tc>
          <w:tcPr>
            <w:tcW w:w="1128" w:type="dxa"/>
            <w:tcBorders>
              <w:tl2br w:val="nil"/>
              <w:tr2bl w:val="nil"/>
            </w:tcBorders>
          </w:tcPr>
          <w:p w14:paraId="41603BD7">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骨架划分</w:t>
            </w:r>
          </w:p>
        </w:tc>
      </w:tr>
    </w:tbl>
    <w:p w14:paraId="18E28228">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eastAsia"/>
          <w:lang w:val="en-US" w:eastAsia="zh-CN"/>
        </w:rPr>
      </w:pPr>
      <w:r>
        <w:rPr>
          <w:rFonts w:hint="eastAsia"/>
          <w:lang w:val="en-US" w:eastAsia="zh-CN"/>
        </w:rPr>
        <w:t>BACE：判断分子是否为β-分泌酶1的抑制剂 —— BACE1过度激活会导致大脑中异常淀粉样蛋白沉积，是阿尔茨海默病的关键致病因素，该任务用于筛选潜在的抗阿尔茨海默病药物。</w:t>
      </w:r>
    </w:p>
    <w:p w14:paraId="53E32D43">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eastAsia"/>
          <w:lang w:val="en-US" w:eastAsia="zh-CN"/>
        </w:rPr>
      </w:pPr>
      <w:r>
        <w:rPr>
          <w:rFonts w:hint="eastAsia"/>
          <w:lang w:val="en-US" w:eastAsia="zh-CN"/>
        </w:rPr>
        <w:t>BBBP：判断分子能否穿透血脑屏障 —— 血脑屏障是中枢神经系统（如大脑）的保护屏障，若开发治疗阿尔茨海默病、帕金森病等脑部疾病的药物，需分子具备穿透该屏障的能力。</w:t>
      </w:r>
    </w:p>
    <w:p w14:paraId="5F9CE710">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eastAsia"/>
          <w:lang w:val="en-US" w:eastAsia="zh-CN"/>
        </w:rPr>
      </w:pPr>
      <w:r>
        <w:rPr>
          <w:rFonts w:hint="eastAsia"/>
          <w:lang w:val="en-US" w:eastAsia="zh-CN"/>
        </w:rPr>
        <w:t>ClinTox：判断分子在临床实验阶段是否存在毒性，如肝毒性、心脏毒性 —— 临床阶段是药物研发的关键环节，该任务可筛选出临床风险低的分子，降低研发失败率。</w:t>
      </w:r>
    </w:p>
    <w:p w14:paraId="08D501AA">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eastAsia"/>
          <w:lang w:val="en-US" w:eastAsia="zh-CN"/>
        </w:rPr>
      </w:pPr>
      <w:r>
        <w:rPr>
          <w:rFonts w:hint="eastAsia"/>
          <w:lang w:val="en-US" w:eastAsia="zh-CN"/>
        </w:rPr>
        <w:t>Tox21：判断分子对 21 种毒性相关生物靶点的活性 —— 这些靶点与细胞毒性、遗传毒性等密切相关，该任务可全面评估分子的多维度毒性，是药物安全性评估的核心任务之一。ToxCast：判断分子是否具有致癌性、致突变性等长期毒性 —— 长期毒性是药物上市前的重要评估指标，该任务可提前识别分子的潜在长期风险。</w:t>
      </w:r>
    </w:p>
    <w:p w14:paraId="00A0AD93">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eastAsia"/>
          <w:lang w:val="en-US" w:eastAsia="zh-CN"/>
        </w:rPr>
      </w:pPr>
      <w:r>
        <w:rPr>
          <w:rFonts w:hint="eastAsia"/>
          <w:lang w:val="en-US" w:eastAsia="zh-CN"/>
        </w:rPr>
        <w:t>SIDER：判断分子是否具有已知的副作用 —— SIDER 数据库收录了药物已报道的副作用信息，该任务可提前评估分子的安全性风险，避免后续临床实验中因严重副作用终止研发。</w:t>
      </w:r>
    </w:p>
    <w:p w14:paraId="1383A7F0">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eastAsia"/>
          <w:lang w:val="en-US" w:eastAsia="zh-CN"/>
        </w:rPr>
      </w:pPr>
      <w:r>
        <w:rPr>
          <w:rFonts w:hint="eastAsia"/>
          <w:lang w:val="en-US" w:eastAsia="zh-CN"/>
        </w:rPr>
        <w:t>ESOL：预测分子的水溶性 —— 水溶性直接影响药物的口服吸收、生物利用度，水溶性过低的药物可能无法被人体有效吸收，该任务可指导优化分子结构以提升水溶性。</w:t>
      </w:r>
    </w:p>
    <w:p w14:paraId="29C3538C">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eastAsia"/>
          <w:lang w:val="en-US" w:eastAsia="zh-CN"/>
        </w:rPr>
      </w:pPr>
      <w:r>
        <w:rPr>
          <w:rFonts w:hint="eastAsia"/>
          <w:lang w:val="en-US" w:eastAsia="zh-CN"/>
        </w:rPr>
        <w:t>FreeSolv：预测分子在水中的溶剂化自由能 —— 溶剂化自由能反映分子与水的相互作用强度，与药物的溶解度、稳定性密切相关，该任务为分子的溶剂选择、剂型设计提供依据。Lipo：预测分子的脂溶性 —— 脂溶性影响药物的跨膜吸收、组织分布，脂溶性过高或过低都会影响药效，该任务可优化分子的脂溶性以平衡吸收与分布。</w:t>
      </w:r>
    </w:p>
    <w:tbl>
      <w:tblPr>
        <w:tblStyle w:val="17"/>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2840"/>
        <w:gridCol w:w="2841"/>
        <w:gridCol w:w="2841"/>
      </w:tblGrid>
      <w:tr w14:paraId="1804CF2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2840" w:type="dxa"/>
            <w:vAlign w:val="top"/>
          </w:tcPr>
          <w:p w14:paraId="72873288">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eastAsia"/>
                <w:vertAlign w:val="baseline"/>
                <w:lang w:val="en-US" w:eastAsia="zh-CN"/>
              </w:rPr>
            </w:pPr>
            <w:r>
              <w:rPr>
                <w:rFonts w:hint="eastAsia"/>
                <w:vertAlign w:val="baseline"/>
                <w:lang w:val="en-US" w:eastAsia="zh-CN"/>
              </w:rPr>
              <w:drawing>
                <wp:inline distT="0" distB="0" distL="114300" distR="114300">
                  <wp:extent cx="1663700" cy="1385570"/>
                  <wp:effectExtent l="0" t="0" r="12700" b="1270"/>
                  <wp:docPr id="11" name="图片 11" descr="ESOL_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ESOL_Distribution"/>
                          <pic:cNvPicPr>
                            <a:picLocks noChangeAspect="1"/>
                          </pic:cNvPicPr>
                        </pic:nvPicPr>
                        <pic:blipFill>
                          <a:blip r:embed="rId7"/>
                          <a:stretch>
                            <a:fillRect/>
                          </a:stretch>
                        </pic:blipFill>
                        <pic:spPr>
                          <a:xfrm>
                            <a:off x="0" y="0"/>
                            <a:ext cx="1663700" cy="1385570"/>
                          </a:xfrm>
                          <a:prstGeom prst="rect">
                            <a:avLst/>
                          </a:prstGeom>
                        </pic:spPr>
                      </pic:pic>
                    </a:graphicData>
                  </a:graphic>
                </wp:inline>
              </w:drawing>
            </w:r>
          </w:p>
        </w:tc>
        <w:tc>
          <w:tcPr>
            <w:tcW w:w="2841" w:type="dxa"/>
          </w:tcPr>
          <w:p w14:paraId="2E6ED4E3">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eastAsia"/>
                <w:vertAlign w:val="baseline"/>
                <w:lang w:val="en-US" w:eastAsia="zh-CN"/>
              </w:rPr>
            </w:pPr>
            <w:r>
              <w:rPr>
                <w:rFonts w:hint="eastAsia"/>
                <w:vertAlign w:val="baseline"/>
                <w:lang w:val="en-US" w:eastAsia="zh-CN"/>
              </w:rPr>
              <w:drawing>
                <wp:inline distT="0" distB="0" distL="114300" distR="114300">
                  <wp:extent cx="1663700" cy="1385570"/>
                  <wp:effectExtent l="0" t="0" r="12700" b="1270"/>
                  <wp:docPr id="12" name="图片 12" descr="FreeSolv_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descr="FreeSolv_Distribution"/>
                          <pic:cNvPicPr>
                            <a:picLocks noChangeAspect="1"/>
                          </pic:cNvPicPr>
                        </pic:nvPicPr>
                        <pic:blipFill>
                          <a:blip r:embed="rId8"/>
                          <a:stretch>
                            <a:fillRect/>
                          </a:stretch>
                        </pic:blipFill>
                        <pic:spPr>
                          <a:xfrm>
                            <a:off x="0" y="0"/>
                            <a:ext cx="1663700" cy="1385570"/>
                          </a:xfrm>
                          <a:prstGeom prst="rect">
                            <a:avLst/>
                          </a:prstGeom>
                        </pic:spPr>
                      </pic:pic>
                    </a:graphicData>
                  </a:graphic>
                </wp:inline>
              </w:drawing>
            </w:r>
          </w:p>
        </w:tc>
        <w:tc>
          <w:tcPr>
            <w:tcW w:w="2841" w:type="dxa"/>
          </w:tcPr>
          <w:p w14:paraId="081A1735">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eastAsia"/>
                <w:vertAlign w:val="baseline"/>
                <w:lang w:val="en-US" w:eastAsia="zh-CN"/>
              </w:rPr>
            </w:pPr>
            <w:r>
              <w:rPr>
                <w:rFonts w:hint="eastAsia"/>
                <w:vertAlign w:val="baseline"/>
                <w:lang w:val="en-US" w:eastAsia="zh-CN"/>
              </w:rPr>
              <w:drawing>
                <wp:inline distT="0" distB="0" distL="114300" distR="114300">
                  <wp:extent cx="1663700" cy="1386840"/>
                  <wp:effectExtent l="0" t="0" r="12700" b="0"/>
                  <wp:docPr id="13" name="图片 13" descr="Lipophilicity_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descr="Lipophilicity_Distribution"/>
                          <pic:cNvPicPr>
                            <a:picLocks noChangeAspect="1"/>
                          </pic:cNvPicPr>
                        </pic:nvPicPr>
                        <pic:blipFill>
                          <a:blip r:embed="rId9"/>
                          <a:stretch>
                            <a:fillRect/>
                          </a:stretch>
                        </pic:blipFill>
                        <pic:spPr>
                          <a:xfrm>
                            <a:off x="0" y="0"/>
                            <a:ext cx="1663700" cy="1386840"/>
                          </a:xfrm>
                          <a:prstGeom prst="rect">
                            <a:avLst/>
                          </a:prstGeom>
                        </pic:spPr>
                      </pic:pic>
                    </a:graphicData>
                  </a:graphic>
                </wp:inline>
              </w:drawing>
            </w:r>
          </w:p>
        </w:tc>
      </w:tr>
    </w:tbl>
    <w:p w14:paraId="281F4A98">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default"/>
          <w:lang w:val="en-US" w:eastAsia="zh-CN"/>
        </w:rPr>
      </w:pPr>
    </w:p>
    <w:p w14:paraId="2D9AC9CE">
      <w:pPr>
        <w:pStyle w:val="4"/>
        <w:bidi w:val="0"/>
        <w:rPr>
          <w:rFonts w:hint="default"/>
          <w:lang w:val="en-US" w:eastAsia="zh-CN"/>
        </w:rPr>
      </w:pPr>
      <w:r>
        <w:rPr>
          <w:rFonts w:hint="eastAsia"/>
          <w:lang w:val="en-US" w:eastAsia="zh-CN"/>
        </w:rPr>
        <w:t>实验设置</w:t>
      </w:r>
    </w:p>
    <w:p w14:paraId="226FB38D">
      <w:pPr>
        <w:pageBreakBefore w:val="0"/>
        <w:kinsoku/>
        <w:wordWrap/>
        <w:overflowPunct/>
        <w:topLinePunct w:val="0"/>
        <w:autoSpaceDE/>
        <w:autoSpaceDN/>
        <w:bidi w:val="0"/>
        <w:adjustRightInd/>
        <w:spacing w:beforeAutospacing="0" w:afterAutospacing="0" w:line="360" w:lineRule="auto"/>
        <w:textAlignment w:val="auto"/>
        <w:rPr>
          <w:rFonts w:hint="default"/>
          <w:lang w:val="en-US" w:eastAsia="zh-CN"/>
        </w:rPr>
      </w:pPr>
      <w:r>
        <w:rPr>
          <w:rFonts w:hint="eastAsia"/>
          <w:lang w:val="en-US" w:eastAsia="zh-CN"/>
        </w:rPr>
        <w:t>本文实验均在Linux操作系统上进行实验，各个类别的详细信息如图所示。</w:t>
      </w:r>
    </w:p>
    <w:tbl>
      <w:tblPr>
        <w:tblStyle w:val="17"/>
        <w:tblW w:w="7989" w:type="dxa"/>
        <w:jc w:val="center"/>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385"/>
        <w:gridCol w:w="1999"/>
        <w:gridCol w:w="4605"/>
      </w:tblGrid>
      <w:tr w14:paraId="04AFF20A">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85" w:type="dxa"/>
            <w:tcBorders>
              <w:bottom w:val="single" w:color="auto" w:sz="8" w:space="0"/>
            </w:tcBorders>
            <w:vAlign w:val="center"/>
          </w:tcPr>
          <w:p w14:paraId="1DA964C8">
            <w:pPr>
              <w:pageBreakBefore w:val="0"/>
              <w:kinsoku/>
              <w:wordWrap/>
              <w:overflowPunct/>
              <w:topLinePunct w:val="0"/>
              <w:autoSpaceDE/>
              <w:autoSpaceDN/>
              <w:bidi w:val="0"/>
              <w:adjustRightInd/>
              <w:spacing w:beforeAutospacing="0" w:afterAutospacing="0" w:line="360" w:lineRule="auto"/>
              <w:jc w:val="left"/>
              <w:textAlignment w:val="auto"/>
              <w:rPr>
                <w:rFonts w:hint="default"/>
                <w:vertAlign w:val="baseline"/>
                <w:lang w:val="en-US" w:eastAsia="zh-CN"/>
              </w:rPr>
            </w:pPr>
            <w:r>
              <w:rPr>
                <w:rFonts w:hint="eastAsia"/>
                <w:vertAlign w:val="baseline"/>
                <w:lang w:val="en-US" w:eastAsia="zh-CN"/>
              </w:rPr>
              <w:t>类别</w:t>
            </w:r>
          </w:p>
        </w:tc>
        <w:tc>
          <w:tcPr>
            <w:tcW w:w="1999" w:type="dxa"/>
            <w:tcBorders>
              <w:bottom w:val="single" w:color="auto" w:sz="8" w:space="0"/>
            </w:tcBorders>
            <w:vAlign w:val="center"/>
          </w:tcPr>
          <w:p w14:paraId="5669979B">
            <w:pPr>
              <w:pageBreakBefore w:val="0"/>
              <w:kinsoku/>
              <w:wordWrap/>
              <w:overflowPunct/>
              <w:topLinePunct w:val="0"/>
              <w:autoSpaceDE/>
              <w:autoSpaceDN/>
              <w:bidi w:val="0"/>
              <w:adjustRightInd/>
              <w:spacing w:beforeAutospacing="0" w:afterAutospacing="0" w:line="360" w:lineRule="auto"/>
              <w:jc w:val="both"/>
              <w:textAlignment w:val="auto"/>
              <w:rPr>
                <w:rFonts w:hint="default"/>
                <w:vertAlign w:val="baseline"/>
                <w:lang w:val="en-US" w:eastAsia="zh-CN"/>
              </w:rPr>
            </w:pPr>
            <w:r>
              <w:rPr>
                <w:rFonts w:hint="eastAsia"/>
                <w:vertAlign w:val="baseline"/>
                <w:lang w:val="en-US" w:eastAsia="zh-CN"/>
              </w:rPr>
              <w:t>组件/库</w:t>
            </w:r>
          </w:p>
        </w:tc>
        <w:tc>
          <w:tcPr>
            <w:tcW w:w="4605" w:type="dxa"/>
            <w:tcBorders>
              <w:bottom w:val="single" w:color="auto" w:sz="8" w:space="0"/>
            </w:tcBorders>
            <w:vAlign w:val="center"/>
          </w:tcPr>
          <w:p w14:paraId="54B8A428">
            <w:pPr>
              <w:pageBreakBefore w:val="0"/>
              <w:kinsoku/>
              <w:wordWrap/>
              <w:overflowPunct/>
              <w:topLinePunct w:val="0"/>
              <w:autoSpaceDE/>
              <w:autoSpaceDN/>
              <w:bidi w:val="0"/>
              <w:adjustRightInd/>
              <w:spacing w:beforeAutospacing="0" w:afterAutospacing="0" w:line="360" w:lineRule="auto"/>
              <w:jc w:val="both"/>
              <w:textAlignment w:val="auto"/>
              <w:rPr>
                <w:rFonts w:hint="default"/>
                <w:vertAlign w:val="baseline"/>
                <w:lang w:val="en-US" w:eastAsia="zh-CN"/>
              </w:rPr>
            </w:pPr>
            <w:r>
              <w:rPr>
                <w:rFonts w:hint="eastAsia"/>
                <w:vertAlign w:val="baseline"/>
                <w:lang w:val="en-US" w:eastAsia="zh-CN"/>
              </w:rPr>
              <w:t>版本/规格</w:t>
            </w:r>
          </w:p>
        </w:tc>
      </w:tr>
      <w:tr w14:paraId="1952F43F">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85" w:type="dxa"/>
            <w:vMerge w:val="restart"/>
            <w:tcBorders>
              <w:top w:val="single" w:color="auto" w:sz="8" w:space="0"/>
            </w:tcBorders>
            <w:shd w:val="clear" w:color="auto" w:fill="auto"/>
            <w:vAlign w:val="center"/>
          </w:tcPr>
          <w:p w14:paraId="726A2BBF">
            <w:pPr>
              <w:pageBreakBefore w:val="0"/>
              <w:kinsoku/>
              <w:wordWrap/>
              <w:overflowPunct/>
              <w:topLinePunct w:val="0"/>
              <w:autoSpaceDE/>
              <w:autoSpaceDN/>
              <w:bidi w:val="0"/>
              <w:adjustRightInd/>
              <w:spacing w:beforeAutospacing="0" w:afterAutospacing="0" w:line="360" w:lineRule="auto"/>
              <w:ind w:left="0" w:leftChars="0" w:firstLine="420" w:firstLineChars="200"/>
              <w:jc w:val="left"/>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系统</w:t>
            </w:r>
          </w:p>
        </w:tc>
        <w:tc>
          <w:tcPr>
            <w:tcW w:w="1999" w:type="dxa"/>
            <w:tcBorders>
              <w:top w:val="single" w:color="auto" w:sz="8" w:space="0"/>
            </w:tcBorders>
            <w:shd w:val="clear" w:color="auto" w:fill="auto"/>
            <w:vAlign w:val="center"/>
          </w:tcPr>
          <w:p w14:paraId="43082547">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OS</w:t>
            </w:r>
          </w:p>
        </w:tc>
        <w:tc>
          <w:tcPr>
            <w:tcW w:w="4605" w:type="dxa"/>
            <w:tcBorders>
              <w:top w:val="single" w:color="auto" w:sz="8" w:space="0"/>
            </w:tcBorders>
            <w:shd w:val="clear" w:color="auto" w:fill="auto"/>
            <w:vAlign w:val="center"/>
          </w:tcPr>
          <w:p w14:paraId="773A2621">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Ubuntu 24.04.1 LTS</w:t>
            </w:r>
          </w:p>
        </w:tc>
      </w:tr>
      <w:tr w14:paraId="29A08D4A">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85" w:type="dxa"/>
            <w:vMerge w:val="continue"/>
            <w:tcBorders>
              <w:bottom w:val="single" w:color="auto" w:sz="8" w:space="0"/>
            </w:tcBorders>
            <w:vAlign w:val="center"/>
          </w:tcPr>
          <w:p w14:paraId="2AC1A3A2">
            <w:pPr>
              <w:pageBreakBefore w:val="0"/>
              <w:kinsoku/>
              <w:wordWrap/>
              <w:overflowPunct/>
              <w:topLinePunct w:val="0"/>
              <w:autoSpaceDE/>
              <w:autoSpaceDN/>
              <w:bidi w:val="0"/>
              <w:adjustRightInd/>
              <w:spacing w:beforeAutospacing="0" w:afterAutospacing="0" w:line="360" w:lineRule="auto"/>
              <w:jc w:val="left"/>
              <w:textAlignment w:val="auto"/>
              <w:rPr>
                <w:rFonts w:hint="eastAsia"/>
                <w:vertAlign w:val="baseline"/>
                <w:lang w:val="en-US" w:eastAsia="zh-CN"/>
              </w:rPr>
            </w:pPr>
          </w:p>
        </w:tc>
        <w:tc>
          <w:tcPr>
            <w:tcW w:w="1999" w:type="dxa"/>
            <w:tcBorders>
              <w:bottom w:val="single" w:color="auto" w:sz="8" w:space="0"/>
            </w:tcBorders>
            <w:shd w:val="clear" w:color="auto" w:fill="auto"/>
            <w:vAlign w:val="center"/>
          </w:tcPr>
          <w:p w14:paraId="6740381C">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CUDA</w:t>
            </w:r>
          </w:p>
        </w:tc>
        <w:tc>
          <w:tcPr>
            <w:tcW w:w="4605" w:type="dxa"/>
            <w:tcBorders>
              <w:bottom w:val="single" w:color="auto" w:sz="8" w:space="0"/>
            </w:tcBorders>
            <w:shd w:val="clear" w:color="auto" w:fill="auto"/>
            <w:vAlign w:val="center"/>
          </w:tcPr>
          <w:p w14:paraId="4DE4AFE4">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12.2</w:t>
            </w:r>
          </w:p>
        </w:tc>
      </w:tr>
      <w:tr w14:paraId="00FB8AC2">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85" w:type="dxa"/>
            <w:vMerge w:val="restart"/>
            <w:tcBorders>
              <w:top w:val="single" w:color="auto" w:sz="8" w:space="0"/>
              <w:tl2br w:val="nil"/>
              <w:tr2bl w:val="nil"/>
            </w:tcBorders>
            <w:vAlign w:val="center"/>
          </w:tcPr>
          <w:p w14:paraId="525C98A5">
            <w:pPr>
              <w:pageBreakBefore w:val="0"/>
              <w:kinsoku/>
              <w:wordWrap/>
              <w:overflowPunct/>
              <w:topLinePunct w:val="0"/>
              <w:autoSpaceDE/>
              <w:autoSpaceDN/>
              <w:bidi w:val="0"/>
              <w:adjustRightInd/>
              <w:spacing w:beforeAutospacing="0" w:afterAutospacing="0" w:line="360" w:lineRule="auto"/>
              <w:jc w:val="left"/>
              <w:textAlignment w:val="auto"/>
              <w:rPr>
                <w:rFonts w:hint="default"/>
                <w:vertAlign w:val="baseline"/>
                <w:lang w:val="en-US" w:eastAsia="zh-CN"/>
              </w:rPr>
            </w:pPr>
            <w:r>
              <w:rPr>
                <w:rFonts w:hint="eastAsia"/>
                <w:vertAlign w:val="baseline"/>
                <w:lang w:val="en-US" w:eastAsia="zh-CN"/>
              </w:rPr>
              <w:t>硬件</w:t>
            </w:r>
          </w:p>
        </w:tc>
        <w:tc>
          <w:tcPr>
            <w:tcW w:w="1999" w:type="dxa"/>
            <w:tcBorders>
              <w:top w:val="single" w:color="auto" w:sz="8" w:space="0"/>
              <w:tl2br w:val="nil"/>
              <w:tr2bl w:val="nil"/>
            </w:tcBorders>
            <w:vAlign w:val="center"/>
          </w:tcPr>
          <w:p w14:paraId="65EFA1CF">
            <w:pPr>
              <w:pageBreakBefore w:val="0"/>
              <w:kinsoku/>
              <w:wordWrap/>
              <w:overflowPunct/>
              <w:topLinePunct w:val="0"/>
              <w:autoSpaceDE/>
              <w:autoSpaceDN/>
              <w:bidi w:val="0"/>
              <w:adjustRightInd/>
              <w:spacing w:beforeAutospacing="0" w:afterAutospacing="0" w:line="360" w:lineRule="auto"/>
              <w:jc w:val="both"/>
              <w:textAlignment w:val="auto"/>
              <w:rPr>
                <w:rFonts w:hint="default"/>
                <w:vertAlign w:val="baseline"/>
                <w:lang w:val="en-US" w:eastAsia="zh-CN"/>
              </w:rPr>
            </w:pPr>
            <w:r>
              <w:rPr>
                <w:rFonts w:hint="eastAsia"/>
                <w:vertAlign w:val="baseline"/>
                <w:lang w:val="en-US" w:eastAsia="zh-CN"/>
              </w:rPr>
              <w:t>GPU</w:t>
            </w:r>
          </w:p>
        </w:tc>
        <w:tc>
          <w:tcPr>
            <w:tcW w:w="4605" w:type="dxa"/>
            <w:tcBorders>
              <w:top w:val="single" w:color="auto" w:sz="8" w:space="0"/>
              <w:tl2br w:val="nil"/>
              <w:tr2bl w:val="nil"/>
            </w:tcBorders>
            <w:vAlign w:val="center"/>
          </w:tcPr>
          <w:p w14:paraId="2621D9F6">
            <w:pPr>
              <w:pageBreakBefore w:val="0"/>
              <w:kinsoku/>
              <w:wordWrap/>
              <w:overflowPunct/>
              <w:topLinePunct w:val="0"/>
              <w:autoSpaceDE/>
              <w:autoSpaceDN/>
              <w:bidi w:val="0"/>
              <w:adjustRightInd/>
              <w:spacing w:beforeAutospacing="0" w:afterAutospacing="0" w:line="360" w:lineRule="auto"/>
              <w:jc w:val="both"/>
              <w:textAlignment w:val="auto"/>
              <w:rPr>
                <w:rFonts w:hint="eastAsia"/>
                <w:vertAlign w:val="baseline"/>
                <w:lang w:val="en-US" w:eastAsia="zh-CN"/>
              </w:rPr>
            </w:pPr>
            <w:r>
              <w:rPr>
                <w:rFonts w:hint="eastAsia"/>
                <w:vertAlign w:val="baseline"/>
                <w:lang w:val="en-US" w:eastAsia="zh-CN"/>
              </w:rPr>
              <w:t>NVIDIA GeForce RTX 4090 (24GB)</w:t>
            </w:r>
          </w:p>
        </w:tc>
      </w:tr>
      <w:tr w14:paraId="4E471E76">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85" w:type="dxa"/>
            <w:vMerge w:val="continue"/>
            <w:tcBorders>
              <w:tl2br w:val="nil"/>
              <w:tr2bl w:val="nil"/>
            </w:tcBorders>
            <w:vAlign w:val="center"/>
          </w:tcPr>
          <w:p w14:paraId="16A2D8EE">
            <w:pPr>
              <w:pageBreakBefore w:val="0"/>
              <w:kinsoku/>
              <w:wordWrap/>
              <w:overflowPunct/>
              <w:topLinePunct w:val="0"/>
              <w:autoSpaceDE/>
              <w:autoSpaceDN/>
              <w:bidi w:val="0"/>
              <w:adjustRightInd/>
              <w:spacing w:beforeAutospacing="0" w:afterAutospacing="0" w:line="360" w:lineRule="auto"/>
              <w:jc w:val="left"/>
              <w:textAlignment w:val="auto"/>
              <w:rPr>
                <w:rFonts w:hint="eastAsia"/>
                <w:vertAlign w:val="baseline"/>
                <w:lang w:val="en-US" w:eastAsia="zh-CN"/>
              </w:rPr>
            </w:pPr>
          </w:p>
        </w:tc>
        <w:tc>
          <w:tcPr>
            <w:tcW w:w="1999" w:type="dxa"/>
            <w:tcBorders>
              <w:tl2br w:val="nil"/>
              <w:tr2bl w:val="nil"/>
            </w:tcBorders>
            <w:vAlign w:val="center"/>
          </w:tcPr>
          <w:p w14:paraId="0E43EFE2">
            <w:pPr>
              <w:pageBreakBefore w:val="0"/>
              <w:kinsoku/>
              <w:wordWrap/>
              <w:overflowPunct/>
              <w:topLinePunct w:val="0"/>
              <w:autoSpaceDE/>
              <w:autoSpaceDN/>
              <w:bidi w:val="0"/>
              <w:adjustRightInd/>
              <w:spacing w:beforeAutospacing="0" w:afterAutospacing="0" w:line="360" w:lineRule="auto"/>
              <w:jc w:val="both"/>
              <w:textAlignment w:val="auto"/>
              <w:rPr>
                <w:rFonts w:hint="default"/>
                <w:vertAlign w:val="baseline"/>
                <w:lang w:val="en-US" w:eastAsia="zh-CN"/>
              </w:rPr>
            </w:pPr>
            <w:r>
              <w:rPr>
                <w:rFonts w:hint="eastAsia"/>
                <w:vertAlign w:val="baseline"/>
                <w:lang w:val="en-US" w:eastAsia="zh-CN"/>
              </w:rPr>
              <w:t>CPU</w:t>
            </w:r>
          </w:p>
        </w:tc>
        <w:tc>
          <w:tcPr>
            <w:tcW w:w="4605" w:type="dxa"/>
            <w:tcBorders>
              <w:tl2br w:val="nil"/>
              <w:tr2bl w:val="nil"/>
            </w:tcBorders>
            <w:vAlign w:val="center"/>
          </w:tcPr>
          <w:p w14:paraId="206D7E9A">
            <w:pPr>
              <w:pageBreakBefore w:val="0"/>
              <w:kinsoku/>
              <w:wordWrap/>
              <w:overflowPunct/>
              <w:topLinePunct w:val="0"/>
              <w:autoSpaceDE/>
              <w:autoSpaceDN/>
              <w:bidi w:val="0"/>
              <w:adjustRightInd/>
              <w:spacing w:beforeAutospacing="0" w:afterAutospacing="0" w:line="360" w:lineRule="auto"/>
              <w:jc w:val="both"/>
              <w:textAlignment w:val="auto"/>
              <w:rPr>
                <w:rFonts w:hint="eastAsia"/>
                <w:vertAlign w:val="baseline"/>
                <w:lang w:val="en-US" w:eastAsia="zh-CN"/>
              </w:rPr>
            </w:pPr>
            <w:r>
              <w:rPr>
                <w:rFonts w:hint="eastAsia"/>
                <w:vertAlign w:val="baseline"/>
                <w:lang w:val="en-US" w:eastAsia="zh-CN"/>
              </w:rPr>
              <w:t>Intel Core i7-12700KF</w:t>
            </w:r>
          </w:p>
        </w:tc>
      </w:tr>
      <w:tr w14:paraId="7657CBB6">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85" w:type="dxa"/>
            <w:vMerge w:val="continue"/>
            <w:tcBorders>
              <w:bottom w:val="single" w:color="000000" w:sz="8" w:space="0"/>
              <w:tl2br w:val="nil"/>
              <w:tr2bl w:val="nil"/>
            </w:tcBorders>
            <w:vAlign w:val="center"/>
          </w:tcPr>
          <w:p w14:paraId="2C652F2B">
            <w:pPr>
              <w:pageBreakBefore w:val="0"/>
              <w:kinsoku/>
              <w:wordWrap/>
              <w:overflowPunct/>
              <w:topLinePunct w:val="0"/>
              <w:autoSpaceDE/>
              <w:autoSpaceDN/>
              <w:bidi w:val="0"/>
              <w:adjustRightInd/>
              <w:spacing w:beforeAutospacing="0" w:afterAutospacing="0" w:line="360" w:lineRule="auto"/>
              <w:jc w:val="left"/>
              <w:textAlignment w:val="auto"/>
              <w:rPr>
                <w:rFonts w:hint="eastAsia"/>
                <w:vertAlign w:val="baseline"/>
                <w:lang w:val="en-US" w:eastAsia="zh-CN"/>
              </w:rPr>
            </w:pPr>
          </w:p>
        </w:tc>
        <w:tc>
          <w:tcPr>
            <w:tcW w:w="1999" w:type="dxa"/>
            <w:tcBorders>
              <w:bottom w:val="single" w:color="000000" w:sz="8" w:space="0"/>
              <w:tl2br w:val="nil"/>
              <w:tr2bl w:val="nil"/>
            </w:tcBorders>
            <w:vAlign w:val="center"/>
          </w:tcPr>
          <w:p w14:paraId="6A8C2640">
            <w:pPr>
              <w:pageBreakBefore w:val="0"/>
              <w:kinsoku/>
              <w:wordWrap/>
              <w:overflowPunct/>
              <w:topLinePunct w:val="0"/>
              <w:autoSpaceDE/>
              <w:autoSpaceDN/>
              <w:bidi w:val="0"/>
              <w:adjustRightInd/>
              <w:spacing w:beforeAutospacing="0" w:afterAutospacing="0" w:line="360" w:lineRule="auto"/>
              <w:jc w:val="both"/>
              <w:textAlignment w:val="auto"/>
              <w:rPr>
                <w:rFonts w:hint="default"/>
                <w:vertAlign w:val="baseline"/>
                <w:lang w:val="en-US" w:eastAsia="zh-CN"/>
              </w:rPr>
            </w:pPr>
            <w:r>
              <w:rPr>
                <w:rFonts w:hint="eastAsia"/>
                <w:vertAlign w:val="baseline"/>
                <w:lang w:val="en-US" w:eastAsia="zh-CN"/>
              </w:rPr>
              <w:t>RAM</w:t>
            </w:r>
          </w:p>
        </w:tc>
        <w:tc>
          <w:tcPr>
            <w:tcW w:w="4605" w:type="dxa"/>
            <w:tcBorders>
              <w:bottom w:val="single" w:color="000000" w:sz="8" w:space="0"/>
              <w:tl2br w:val="nil"/>
              <w:tr2bl w:val="nil"/>
            </w:tcBorders>
            <w:vAlign w:val="center"/>
          </w:tcPr>
          <w:p w14:paraId="0589DABA">
            <w:pPr>
              <w:pageBreakBefore w:val="0"/>
              <w:kinsoku/>
              <w:wordWrap/>
              <w:overflowPunct/>
              <w:topLinePunct w:val="0"/>
              <w:autoSpaceDE/>
              <w:autoSpaceDN/>
              <w:bidi w:val="0"/>
              <w:adjustRightInd/>
              <w:spacing w:beforeAutospacing="0" w:afterAutospacing="0" w:line="360" w:lineRule="auto"/>
              <w:jc w:val="both"/>
              <w:textAlignment w:val="auto"/>
              <w:rPr>
                <w:rFonts w:hint="default"/>
                <w:vertAlign w:val="baseline"/>
                <w:lang w:val="en-US" w:eastAsia="zh-CN"/>
              </w:rPr>
            </w:pPr>
            <w:r>
              <w:rPr>
                <w:rFonts w:hint="eastAsia"/>
                <w:vertAlign w:val="baseline"/>
                <w:lang w:val="en-US" w:eastAsia="zh-CN"/>
              </w:rPr>
              <w:t>64G</w:t>
            </w:r>
          </w:p>
        </w:tc>
      </w:tr>
      <w:tr w14:paraId="019D97E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85" w:type="dxa"/>
            <w:vMerge w:val="restart"/>
            <w:tcBorders>
              <w:top w:val="single" w:color="000000" w:sz="8" w:space="0"/>
              <w:tl2br w:val="nil"/>
              <w:tr2bl w:val="nil"/>
            </w:tcBorders>
            <w:vAlign w:val="center"/>
          </w:tcPr>
          <w:p w14:paraId="60163BA4">
            <w:pPr>
              <w:pageBreakBefore w:val="0"/>
              <w:kinsoku/>
              <w:wordWrap/>
              <w:overflowPunct/>
              <w:topLinePunct w:val="0"/>
              <w:autoSpaceDE/>
              <w:autoSpaceDN/>
              <w:bidi w:val="0"/>
              <w:adjustRightInd/>
              <w:spacing w:beforeAutospacing="0" w:afterAutospacing="0" w:line="360" w:lineRule="auto"/>
              <w:ind w:left="0" w:leftChars="0" w:firstLine="0" w:firstLineChars="0"/>
              <w:jc w:val="left"/>
              <w:textAlignment w:val="auto"/>
              <w:rPr>
                <w:rFonts w:hint="default"/>
                <w:vertAlign w:val="baseline"/>
                <w:lang w:val="en-US" w:eastAsia="zh-CN"/>
              </w:rPr>
            </w:pPr>
            <w:r>
              <w:rPr>
                <w:rFonts w:hint="eastAsia"/>
                <w:vertAlign w:val="baseline"/>
                <w:lang w:val="en-US" w:eastAsia="zh-CN"/>
              </w:rPr>
              <w:t xml:space="preserve">    软件</w:t>
            </w:r>
          </w:p>
        </w:tc>
        <w:tc>
          <w:tcPr>
            <w:tcW w:w="1999" w:type="dxa"/>
            <w:tcBorders>
              <w:top w:val="single" w:color="000000" w:sz="8" w:space="0"/>
              <w:tl2br w:val="nil"/>
              <w:tr2bl w:val="nil"/>
            </w:tcBorders>
            <w:vAlign w:val="center"/>
          </w:tcPr>
          <w:p w14:paraId="53FBBF3E">
            <w:pPr>
              <w:pageBreakBefore w:val="0"/>
              <w:kinsoku/>
              <w:wordWrap/>
              <w:overflowPunct/>
              <w:topLinePunct w:val="0"/>
              <w:autoSpaceDE/>
              <w:autoSpaceDN/>
              <w:bidi w:val="0"/>
              <w:adjustRightInd/>
              <w:spacing w:beforeAutospacing="0" w:afterAutospacing="0" w:line="360" w:lineRule="auto"/>
              <w:jc w:val="both"/>
              <w:textAlignment w:val="auto"/>
              <w:rPr>
                <w:rFonts w:hint="default"/>
                <w:vertAlign w:val="baseline"/>
                <w:lang w:val="en-US" w:eastAsia="zh-CN"/>
              </w:rPr>
            </w:pPr>
            <w:r>
              <w:rPr>
                <w:rFonts w:hint="eastAsia"/>
                <w:vertAlign w:val="baseline"/>
                <w:lang w:val="en-US" w:eastAsia="zh-CN"/>
              </w:rPr>
              <w:t>Python</w:t>
            </w:r>
          </w:p>
        </w:tc>
        <w:tc>
          <w:tcPr>
            <w:tcW w:w="4605" w:type="dxa"/>
            <w:tcBorders>
              <w:top w:val="single" w:color="000000" w:sz="8" w:space="0"/>
              <w:tl2br w:val="nil"/>
              <w:tr2bl w:val="nil"/>
            </w:tcBorders>
            <w:vAlign w:val="center"/>
          </w:tcPr>
          <w:p w14:paraId="7700C60A">
            <w:pPr>
              <w:pageBreakBefore w:val="0"/>
              <w:kinsoku/>
              <w:wordWrap/>
              <w:overflowPunct/>
              <w:topLinePunct w:val="0"/>
              <w:autoSpaceDE/>
              <w:autoSpaceDN/>
              <w:bidi w:val="0"/>
              <w:adjustRightInd/>
              <w:spacing w:beforeAutospacing="0" w:afterAutospacing="0" w:line="360" w:lineRule="auto"/>
              <w:jc w:val="both"/>
              <w:textAlignment w:val="auto"/>
              <w:rPr>
                <w:rFonts w:hint="default"/>
                <w:vertAlign w:val="baseline"/>
                <w:lang w:val="en-US" w:eastAsia="zh-CN"/>
              </w:rPr>
            </w:pPr>
            <w:r>
              <w:rPr>
                <w:rFonts w:hint="eastAsia"/>
                <w:vertAlign w:val="baseline"/>
                <w:lang w:val="en-US" w:eastAsia="zh-CN"/>
              </w:rPr>
              <w:t>3.10.19</w:t>
            </w:r>
          </w:p>
        </w:tc>
      </w:tr>
      <w:tr w14:paraId="2F6FBCCF">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85" w:type="dxa"/>
            <w:vMerge w:val="continue"/>
            <w:tcBorders>
              <w:tl2br w:val="nil"/>
              <w:tr2bl w:val="nil"/>
            </w:tcBorders>
            <w:vAlign w:val="center"/>
          </w:tcPr>
          <w:p w14:paraId="5EB34913">
            <w:pPr>
              <w:pageBreakBefore w:val="0"/>
              <w:kinsoku/>
              <w:wordWrap/>
              <w:overflowPunct/>
              <w:topLinePunct w:val="0"/>
              <w:autoSpaceDE/>
              <w:autoSpaceDN/>
              <w:bidi w:val="0"/>
              <w:adjustRightInd/>
              <w:spacing w:beforeAutospacing="0" w:afterAutospacing="0" w:line="360" w:lineRule="auto"/>
              <w:jc w:val="both"/>
              <w:textAlignment w:val="auto"/>
              <w:rPr>
                <w:rFonts w:hint="eastAsia"/>
                <w:vertAlign w:val="baseline"/>
                <w:lang w:val="en-US" w:eastAsia="zh-CN"/>
              </w:rPr>
            </w:pPr>
          </w:p>
        </w:tc>
        <w:tc>
          <w:tcPr>
            <w:tcW w:w="1999" w:type="dxa"/>
            <w:tcBorders>
              <w:tl2br w:val="nil"/>
              <w:tr2bl w:val="nil"/>
            </w:tcBorders>
            <w:vAlign w:val="center"/>
          </w:tcPr>
          <w:p w14:paraId="61FF7CA8">
            <w:pPr>
              <w:pageBreakBefore w:val="0"/>
              <w:kinsoku/>
              <w:wordWrap/>
              <w:overflowPunct/>
              <w:topLinePunct w:val="0"/>
              <w:autoSpaceDE/>
              <w:autoSpaceDN/>
              <w:bidi w:val="0"/>
              <w:adjustRightInd/>
              <w:spacing w:beforeAutospacing="0" w:afterAutospacing="0" w:line="360" w:lineRule="auto"/>
              <w:jc w:val="both"/>
              <w:textAlignment w:val="auto"/>
              <w:rPr>
                <w:rFonts w:hint="default"/>
                <w:vertAlign w:val="baseline"/>
                <w:lang w:val="en-US" w:eastAsia="zh-CN"/>
              </w:rPr>
            </w:pPr>
            <w:r>
              <w:rPr>
                <w:rFonts w:hint="eastAsia"/>
                <w:vertAlign w:val="baseline"/>
                <w:lang w:val="en-US" w:eastAsia="zh-CN"/>
              </w:rPr>
              <w:t>PyTorch</w:t>
            </w:r>
          </w:p>
        </w:tc>
        <w:tc>
          <w:tcPr>
            <w:tcW w:w="4605" w:type="dxa"/>
            <w:tcBorders>
              <w:tl2br w:val="nil"/>
              <w:tr2bl w:val="nil"/>
            </w:tcBorders>
            <w:vAlign w:val="center"/>
          </w:tcPr>
          <w:p w14:paraId="4E5FE5F9">
            <w:pPr>
              <w:pageBreakBefore w:val="0"/>
              <w:kinsoku/>
              <w:wordWrap/>
              <w:overflowPunct/>
              <w:topLinePunct w:val="0"/>
              <w:autoSpaceDE/>
              <w:autoSpaceDN/>
              <w:bidi w:val="0"/>
              <w:adjustRightInd/>
              <w:spacing w:beforeAutospacing="0" w:afterAutospacing="0" w:line="360" w:lineRule="auto"/>
              <w:jc w:val="both"/>
              <w:textAlignment w:val="auto"/>
              <w:rPr>
                <w:rFonts w:hint="default"/>
                <w:vertAlign w:val="baseline"/>
                <w:lang w:val="en-US" w:eastAsia="zh-CN"/>
              </w:rPr>
            </w:pPr>
            <w:r>
              <w:rPr>
                <w:rFonts w:hint="eastAsia"/>
                <w:vertAlign w:val="baseline"/>
                <w:lang w:val="en-US" w:eastAsia="zh-CN"/>
              </w:rPr>
              <w:t>2.4.1+cu121</w:t>
            </w:r>
          </w:p>
        </w:tc>
      </w:tr>
      <w:tr w14:paraId="0CB7B0A4">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85" w:type="dxa"/>
            <w:vMerge w:val="continue"/>
            <w:tcBorders>
              <w:tl2br w:val="nil"/>
              <w:tr2bl w:val="nil"/>
            </w:tcBorders>
            <w:vAlign w:val="center"/>
          </w:tcPr>
          <w:p w14:paraId="6C422461">
            <w:pPr>
              <w:pageBreakBefore w:val="0"/>
              <w:kinsoku/>
              <w:wordWrap/>
              <w:overflowPunct/>
              <w:topLinePunct w:val="0"/>
              <w:autoSpaceDE/>
              <w:autoSpaceDN/>
              <w:bidi w:val="0"/>
              <w:adjustRightInd/>
              <w:spacing w:beforeAutospacing="0" w:afterAutospacing="0" w:line="360" w:lineRule="auto"/>
              <w:jc w:val="both"/>
              <w:textAlignment w:val="auto"/>
              <w:rPr>
                <w:rFonts w:hint="eastAsia"/>
                <w:vertAlign w:val="baseline"/>
                <w:lang w:val="en-US" w:eastAsia="zh-CN"/>
              </w:rPr>
            </w:pPr>
          </w:p>
        </w:tc>
        <w:tc>
          <w:tcPr>
            <w:tcW w:w="1999" w:type="dxa"/>
            <w:tcBorders>
              <w:tl2br w:val="nil"/>
              <w:tr2bl w:val="nil"/>
            </w:tcBorders>
            <w:vAlign w:val="center"/>
          </w:tcPr>
          <w:p w14:paraId="693B78C3">
            <w:pPr>
              <w:pageBreakBefore w:val="0"/>
              <w:kinsoku/>
              <w:wordWrap/>
              <w:overflowPunct/>
              <w:topLinePunct w:val="0"/>
              <w:autoSpaceDE/>
              <w:autoSpaceDN/>
              <w:bidi w:val="0"/>
              <w:adjustRightInd/>
              <w:spacing w:beforeAutospacing="0" w:afterAutospacing="0" w:line="360" w:lineRule="auto"/>
              <w:ind w:left="420" w:leftChars="200" w:firstLine="0" w:firstLineChars="0"/>
              <w:jc w:val="both"/>
              <w:textAlignment w:val="auto"/>
              <w:rPr>
                <w:rFonts w:hint="eastAsia"/>
                <w:vertAlign w:val="baseline"/>
                <w:lang w:val="en-US" w:eastAsia="zh-CN"/>
              </w:rPr>
            </w:pPr>
            <w:r>
              <w:rPr>
                <w:rFonts w:hint="eastAsia"/>
                <w:vertAlign w:val="baseline"/>
                <w:lang w:val="en-US" w:eastAsia="zh-CN"/>
              </w:rPr>
              <w:t>Geometric</w:t>
            </w:r>
          </w:p>
        </w:tc>
        <w:tc>
          <w:tcPr>
            <w:tcW w:w="4605" w:type="dxa"/>
            <w:tcBorders>
              <w:tl2br w:val="nil"/>
              <w:tr2bl w:val="nil"/>
            </w:tcBorders>
            <w:vAlign w:val="center"/>
          </w:tcPr>
          <w:p w14:paraId="150761B7">
            <w:pPr>
              <w:pageBreakBefore w:val="0"/>
              <w:kinsoku/>
              <w:wordWrap/>
              <w:overflowPunct/>
              <w:topLinePunct w:val="0"/>
              <w:autoSpaceDE/>
              <w:autoSpaceDN/>
              <w:bidi w:val="0"/>
              <w:adjustRightInd/>
              <w:spacing w:beforeAutospacing="0" w:afterAutospacing="0" w:line="360" w:lineRule="auto"/>
              <w:jc w:val="both"/>
              <w:textAlignment w:val="auto"/>
              <w:rPr>
                <w:rFonts w:hint="default"/>
                <w:vertAlign w:val="baseline"/>
                <w:lang w:val="en-US" w:eastAsia="zh-CN"/>
              </w:rPr>
            </w:pPr>
            <w:r>
              <w:rPr>
                <w:rFonts w:hint="eastAsia"/>
                <w:vertAlign w:val="baseline"/>
                <w:lang w:val="en-US" w:eastAsia="zh-CN"/>
              </w:rPr>
              <w:t>2.7.0</w:t>
            </w:r>
          </w:p>
        </w:tc>
      </w:tr>
      <w:tr w14:paraId="3227F601">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85" w:type="dxa"/>
            <w:vMerge w:val="continue"/>
            <w:tcBorders>
              <w:tl2br w:val="nil"/>
              <w:tr2bl w:val="nil"/>
            </w:tcBorders>
            <w:vAlign w:val="center"/>
          </w:tcPr>
          <w:p w14:paraId="7809350D">
            <w:pPr>
              <w:pageBreakBefore w:val="0"/>
              <w:kinsoku/>
              <w:wordWrap/>
              <w:overflowPunct/>
              <w:topLinePunct w:val="0"/>
              <w:autoSpaceDE/>
              <w:autoSpaceDN/>
              <w:bidi w:val="0"/>
              <w:adjustRightInd/>
              <w:spacing w:beforeAutospacing="0" w:afterAutospacing="0" w:line="360" w:lineRule="auto"/>
              <w:jc w:val="both"/>
              <w:textAlignment w:val="auto"/>
              <w:rPr>
                <w:rFonts w:hint="eastAsia"/>
                <w:vertAlign w:val="baseline"/>
                <w:lang w:val="en-US" w:eastAsia="zh-CN"/>
              </w:rPr>
            </w:pPr>
          </w:p>
        </w:tc>
        <w:tc>
          <w:tcPr>
            <w:tcW w:w="1999" w:type="dxa"/>
            <w:tcBorders>
              <w:tl2br w:val="nil"/>
              <w:tr2bl w:val="nil"/>
            </w:tcBorders>
            <w:vAlign w:val="center"/>
          </w:tcPr>
          <w:p w14:paraId="5147F022">
            <w:pPr>
              <w:pageBreakBefore w:val="0"/>
              <w:kinsoku/>
              <w:wordWrap/>
              <w:overflowPunct/>
              <w:topLinePunct w:val="0"/>
              <w:autoSpaceDE/>
              <w:autoSpaceDN/>
              <w:bidi w:val="0"/>
              <w:adjustRightInd/>
              <w:spacing w:beforeAutospacing="0" w:afterAutospacing="0" w:line="360" w:lineRule="auto"/>
              <w:jc w:val="both"/>
              <w:textAlignment w:val="auto"/>
              <w:rPr>
                <w:rFonts w:hint="eastAsia"/>
                <w:vertAlign w:val="baseline"/>
                <w:lang w:val="en-US" w:eastAsia="zh-CN"/>
              </w:rPr>
            </w:pPr>
            <w:r>
              <w:rPr>
                <w:rFonts w:hint="eastAsia"/>
                <w:vertAlign w:val="baseline"/>
                <w:lang w:val="en-US" w:eastAsia="zh-CN"/>
              </w:rPr>
              <w:t>RDKit</w:t>
            </w:r>
          </w:p>
        </w:tc>
        <w:tc>
          <w:tcPr>
            <w:tcW w:w="4605" w:type="dxa"/>
            <w:tcBorders>
              <w:tl2br w:val="nil"/>
              <w:tr2bl w:val="nil"/>
            </w:tcBorders>
            <w:vAlign w:val="center"/>
          </w:tcPr>
          <w:p w14:paraId="6E051F84">
            <w:pPr>
              <w:pageBreakBefore w:val="0"/>
              <w:kinsoku/>
              <w:wordWrap/>
              <w:overflowPunct/>
              <w:topLinePunct w:val="0"/>
              <w:autoSpaceDE/>
              <w:autoSpaceDN/>
              <w:bidi w:val="0"/>
              <w:adjustRightInd/>
              <w:spacing w:beforeAutospacing="0" w:afterAutospacing="0" w:line="360" w:lineRule="auto"/>
              <w:jc w:val="both"/>
              <w:textAlignment w:val="auto"/>
              <w:rPr>
                <w:rFonts w:hint="default"/>
                <w:vertAlign w:val="baseline"/>
                <w:lang w:val="en-US" w:eastAsia="zh-CN"/>
              </w:rPr>
            </w:pPr>
            <w:r>
              <w:rPr>
                <w:rFonts w:hint="eastAsia"/>
                <w:vertAlign w:val="baseline"/>
                <w:lang w:val="en-US" w:eastAsia="zh-CN"/>
              </w:rPr>
              <w:t>2025.9.3</w:t>
            </w:r>
          </w:p>
        </w:tc>
      </w:tr>
    </w:tbl>
    <w:p w14:paraId="52FA2639">
      <w:pPr>
        <w:ind w:left="0" w:leftChars="0" w:firstLine="0" w:firstLineChars="0"/>
        <w:rPr>
          <w:rFonts w:hint="default"/>
          <w:lang w:val="en-US" w:eastAsia="zh-CN"/>
        </w:rPr>
      </w:pPr>
    </w:p>
    <w:p w14:paraId="26E48C6E">
      <w:pPr>
        <w:numPr>
          <w:ilvl w:val="0"/>
          <w:numId w:val="5"/>
        </w:numPr>
        <w:rPr>
          <w:rFonts w:hint="default"/>
          <w:lang w:val="en-US" w:eastAsia="zh-CN"/>
        </w:rPr>
      </w:pPr>
      <w:r>
        <w:rPr>
          <w:rFonts w:hint="eastAsia"/>
          <w:lang w:val="en-US" w:eastAsia="zh-CN"/>
        </w:rPr>
        <w:t>预训练参数设置：优化器：采用 AdamW 优化器，以解耦权重衰减（Weight Decay）策略提升模型泛化性，权重衰减系数设为</w:t>
      </w:r>
      <m:oMath>
        <m:r>
          <m:rPr/>
          <w:rPr>
            <w:rFonts w:hint="default" w:ascii="Cambria Math"/>
          </w:rPr>
          <m:t>1</m:t>
        </m:r>
        <m:r>
          <m:rPr>
            <m:sty m:val="p"/>
          </m:rPr>
          <w:rPr>
            <w:rFonts w:hint="default" w:ascii="Cambria Math"/>
          </w:rPr>
          <m:t>×</m:t>
        </m:r>
        <m:r>
          <m:rPr/>
          <w:rPr>
            <w:rFonts w:hint="default" w:ascii="Cambria Math"/>
          </w:rPr>
          <m:t>1</m:t>
        </m:r>
        <m:sSup>
          <m:sSupPr>
            <m:ctrlPr>
              <w:rPr>
                <w:rFonts w:hint="default" w:ascii="Cambria Math"/>
              </w:rPr>
            </m:ctrlPr>
          </m:sSupPr>
          <m:e>
            <m:r>
              <m:rPr/>
              <w:rPr>
                <w:rFonts w:hint="default" w:ascii="Cambria Math"/>
              </w:rPr>
              <m:t>0</m:t>
            </m:r>
            <m:ctrlPr>
              <w:rPr>
                <w:rFonts w:hint="default" w:ascii="Cambria Math"/>
              </w:rPr>
            </m:ctrlPr>
          </m:e>
          <m:sup>
            <m:r>
              <m:rPr/>
              <w:rPr>
                <w:rFonts w:hint="default" w:ascii="Cambria Math"/>
              </w:rPr>
              <m:t>−4</m:t>
            </m:r>
            <m:ctrlPr>
              <w:rPr>
                <w:rFonts w:hint="default" w:ascii="Cambria Math"/>
              </w:rPr>
            </m:ctrlPr>
          </m:sup>
        </m:sSup>
      </m:oMath>
      <w:r>
        <w:rPr>
          <w:rFonts w:hint="eastAsia"/>
          <w:lang w:val="en-US" w:eastAsia="zh-CN"/>
        </w:rPr>
        <w:t>。学习率调度：采用带有线性预热的余弦退火策略。初始学习率设为</w:t>
      </w:r>
      <m:oMath>
        <m:r>
          <m:rPr/>
          <w:rPr>
            <w:rFonts w:hint="default" w:ascii="Cambria Math"/>
          </w:rPr>
          <m:t>2</m:t>
        </m:r>
        <m:r>
          <m:rPr>
            <m:sty m:val="p"/>
          </m:rPr>
          <w:rPr>
            <w:rFonts w:hint="default" w:ascii="Cambria Math"/>
          </w:rPr>
          <m:t>×</m:t>
        </m:r>
        <m:r>
          <m:rPr/>
          <w:rPr>
            <w:rFonts w:hint="default" w:ascii="Cambria Math"/>
          </w:rPr>
          <m:t>1</m:t>
        </m:r>
        <m:sSup>
          <m:sSupPr>
            <m:ctrlPr>
              <w:rPr>
                <w:rFonts w:hint="default" w:ascii="Cambria Math"/>
              </w:rPr>
            </m:ctrlPr>
          </m:sSupPr>
          <m:e>
            <m:r>
              <m:rPr/>
              <w:rPr>
                <w:rFonts w:hint="default" w:ascii="Cambria Math"/>
              </w:rPr>
              <m:t>0</m:t>
            </m:r>
            <m:ctrlPr>
              <w:rPr>
                <w:rFonts w:hint="default" w:ascii="Cambria Math"/>
              </w:rPr>
            </m:ctrlPr>
          </m:e>
          <m:sup>
            <m:r>
              <m:rPr/>
              <w:rPr>
                <w:rFonts w:hint="default" w:ascii="Cambria Math"/>
              </w:rPr>
              <m:t>−4</m:t>
            </m:r>
            <m:ctrlPr>
              <w:rPr>
                <w:rFonts w:hint="default" w:ascii="Cambria Math"/>
              </w:rPr>
            </m:ctrlPr>
          </m:sup>
        </m:sSup>
      </m:oMath>
      <w:r>
        <w:rPr>
          <w:rFonts w:hint="eastAsia"/>
          <w:lang w:val="en-US" w:eastAsia="zh-CN"/>
        </w:rPr>
        <w:t>，预热步数占总步数的 6%，随后逐渐衰减至</w:t>
      </w:r>
      <m:oMath>
        <m:r>
          <m:rPr/>
          <w:rPr>
            <w:rFonts w:hint="default" w:ascii="Cambria Math"/>
          </w:rPr>
          <m:t>1</m:t>
        </m:r>
        <m:r>
          <m:rPr>
            <m:sty m:val="p"/>
          </m:rPr>
          <w:rPr>
            <w:rFonts w:hint="default" w:ascii="Cambria Math"/>
          </w:rPr>
          <m:t>×</m:t>
        </m:r>
        <m:r>
          <m:rPr/>
          <w:rPr>
            <w:rFonts w:hint="default" w:ascii="Cambria Math"/>
          </w:rPr>
          <m:t>1</m:t>
        </m:r>
        <m:sSup>
          <m:sSupPr>
            <m:ctrlPr>
              <w:rPr>
                <w:rFonts w:hint="default" w:ascii="Cambria Math"/>
              </w:rPr>
            </m:ctrlPr>
          </m:sSupPr>
          <m:e>
            <m:r>
              <m:rPr/>
              <w:rPr>
                <w:rFonts w:hint="default" w:ascii="Cambria Math"/>
              </w:rPr>
              <m:t>0</m:t>
            </m:r>
            <m:ctrlPr>
              <w:rPr>
                <w:rFonts w:hint="default" w:ascii="Cambria Math"/>
              </w:rPr>
            </m:ctrlPr>
          </m:e>
          <m:sup>
            <m:r>
              <m:rPr/>
              <w:rPr>
                <w:rFonts w:hint="default" w:ascii="Cambria Math"/>
              </w:rPr>
              <m:t>−6</m:t>
            </m:r>
            <m:ctrlPr>
              <w:rPr>
                <w:rFonts w:hint="default" w:ascii="Cambria Math"/>
              </w:rPr>
            </m:ctrlPr>
          </m:sup>
        </m:sSup>
      </m:oMath>
      <w:r>
        <w:rPr>
          <w:rFonts w:hint="eastAsia"/>
          <w:lang w:val="en-US" w:eastAsia="zh-CN"/>
        </w:rPr>
        <w:t xml:space="preserve">。批次与周期：为了保证对比学习中负样本的数量充足，将批次大小设为 256。模型共训练 100 个 Epoch，并在验证集 loss 不再下降时实施早停。对比损失参数：基于 3.3.4 节的参数敏感性实验结果，NT-Xent 损失函数中的温度系数 </w:t>
      </w:r>
      <m:oMath>
        <m:r>
          <m:rPr/>
          <w:rPr>
            <w:rFonts w:hint="default" w:ascii="Cambria Math"/>
          </w:rPr>
          <m:t>τ</m:t>
        </m:r>
      </m:oMath>
      <w:r>
        <w:rPr>
          <w:rFonts w:hint="eastAsia"/>
          <w:lang w:val="en-US" w:eastAsia="zh-CN"/>
        </w:rPr>
        <w:t xml:space="preserve"> 固定为 0.1。自适应加权损失中的可学习噪声参数</w:t>
      </w:r>
      <m:oMath>
        <m:sSub>
          <m:sSubPr>
            <m:ctrlPr>
              <w:rPr>
                <w:rFonts w:hint="default" w:ascii="Cambria Math"/>
              </w:rPr>
            </m:ctrlPr>
          </m:sSubPr>
          <m:e>
            <m:r>
              <m:rPr/>
              <w:rPr>
                <w:rFonts w:hint="default" w:ascii="Cambria Math"/>
              </w:rPr>
              <m:t>σ</m:t>
            </m:r>
            <m:ctrlPr>
              <w:rPr>
                <w:rFonts w:hint="default" w:ascii="Cambria Math"/>
              </w:rPr>
            </m:ctrlPr>
          </m:e>
          <m:sub>
            <m:r>
              <m:rPr/>
              <w:rPr>
                <w:rFonts w:hint="default" w:ascii="Cambria Math"/>
              </w:rPr>
              <m:t>m</m:t>
            </m:r>
            <m:ctrlPr>
              <w:rPr>
                <w:rFonts w:hint="default" w:ascii="Cambria Math"/>
              </w:rPr>
            </m:ctrlPr>
          </m:sub>
        </m:sSub>
      </m:oMath>
      <w:r>
        <w:rPr>
          <w:rFonts w:hint="eastAsia"/>
          <w:lang w:val="en-US" w:eastAsia="zh-CN"/>
        </w:rPr>
        <w:t>初始化为 1.0，并随训练过程自动更新。模型架构参数：Graphormer 编码器包含 6 层 Transformer 层，隐藏层维度设为 256，多头注意力头数设为 8。文本编码器 SciBERT 与序列编码器 RoBERTa 均冻结前 6 层参数，仅微调高层参数以适配分子语义。</w:t>
      </w:r>
    </w:p>
    <w:p w14:paraId="3ACCA3DD">
      <w:pPr>
        <w:numPr>
          <w:ilvl w:val="0"/>
          <w:numId w:val="5"/>
        </w:numPr>
        <w:rPr>
          <w:rFonts w:hint="default"/>
          <w:lang w:val="en-US" w:eastAsia="zh-CN"/>
        </w:rPr>
      </w:pPr>
      <w:r>
        <w:rPr>
          <w:rFonts w:hint="eastAsia"/>
          <w:lang w:val="en-US" w:eastAsia="zh-CN"/>
        </w:rPr>
        <w:t xml:space="preserve">微调参数设置：在下游任务阶段，我们将预训练好的 KGAMA 编码器迁移至 MoleculeNet 的 9 个基准数据集上。为了适应不同规模的数据集，微调策略进行了如下调整：学习率：为了保留预训练特征的先验知识，微调阶段采用较小的学习率，设定为 </w:t>
      </w:r>
      <m:oMath>
        <m:r>
          <m:rPr/>
          <w:rPr>
            <w:rFonts w:hint="default" w:ascii="Cambria Math"/>
          </w:rPr>
          <m:t>5</m:t>
        </m:r>
        <m:r>
          <m:rPr>
            <m:sty m:val="p"/>
          </m:rPr>
          <w:rPr>
            <w:rFonts w:hint="default" w:ascii="Cambria Math"/>
          </w:rPr>
          <m:t>×</m:t>
        </m:r>
        <m:r>
          <m:rPr/>
          <w:rPr>
            <w:rFonts w:hint="default" w:ascii="Cambria Math"/>
          </w:rPr>
          <m:t>1</m:t>
        </m:r>
        <m:sSup>
          <m:sSupPr>
            <m:ctrlPr>
              <w:rPr>
                <w:rFonts w:hint="default" w:ascii="Cambria Math"/>
              </w:rPr>
            </m:ctrlPr>
          </m:sSupPr>
          <m:e>
            <m:r>
              <m:rPr/>
              <w:rPr>
                <w:rFonts w:hint="default" w:ascii="Cambria Math"/>
              </w:rPr>
              <m:t>0</m:t>
            </m:r>
            <m:ctrlPr>
              <w:rPr>
                <w:rFonts w:hint="default" w:ascii="Cambria Math"/>
              </w:rPr>
            </m:ctrlPr>
          </m:e>
          <m:sup>
            <m:r>
              <m:rPr/>
              <w:rPr>
                <w:rFonts w:hint="default" w:ascii="Cambria Math"/>
              </w:rPr>
              <m:t>−5</m:t>
            </m:r>
            <m:ctrlPr>
              <w:rPr>
                <w:rFonts w:hint="default" w:ascii="Cambria Math"/>
              </w:rPr>
            </m:ctrlPr>
          </m:sup>
        </m:sSup>
      </m:oMath>
      <w:r>
        <w:rPr>
          <w:rFonts w:hint="eastAsia"/>
          <w:lang w:val="en-US" w:eastAsia="zh-CN"/>
        </w:rPr>
        <w:t>。批次大小：设为 32，以适应小样本数据的梯度更新频率。Dropout：在预测头中引入 Dropout 层，丢弃率设为 0.1，以防止在小数据集上过拟合。训练周期：最大训练 100 Epoch，同样配合早停机制（Patience=5）。</w:t>
      </w:r>
    </w:p>
    <w:p w14:paraId="60FEF574">
      <w:pPr>
        <w:pStyle w:val="4"/>
        <w:bidi w:val="0"/>
        <w:rPr>
          <w:rFonts w:hint="default"/>
          <w:lang w:val="en-US" w:eastAsia="zh-CN"/>
        </w:rPr>
      </w:pPr>
      <w:r>
        <w:rPr>
          <w:rFonts w:hint="eastAsia"/>
          <w:lang w:val="en-US" w:eastAsia="zh-CN"/>
        </w:rPr>
        <w:t>评价指标</w:t>
      </w:r>
    </w:p>
    <w:p w14:paraId="01B56067">
      <w:pPr>
        <w:rPr>
          <w:rFonts w:hint="default"/>
          <w:lang w:val="en-US" w:eastAsia="zh-CN"/>
        </w:rPr>
      </w:pPr>
      <w:r>
        <w:rPr>
          <w:rFonts w:hint="default"/>
          <w:lang w:val="en-US" w:eastAsia="zh-CN"/>
        </w:rPr>
        <w:t>本研究根据具体任务特性的不同，实施了差异化的效能评测策略。针对分类问题，模型对类别的区分效能主要依赖受试者工作特征曲线下面积（AUROC）进行考量。AUROC 能够量化模型在真假阳性率权衡过程中的表现，其得分位于 0.5 到 1 的闭区间内，分数越高象征着模型拥有更优异的判别力。而在回归分析中，核心关注点转向均方根误差（RMSE），该指标用于刻画预测精度。通过对预测值与实测值之差进行平方、取均值后再开方，RMSE 实现了对误差的标准化度量；由于其单位与目标变量保持一致，较小的 RMSE 值直接映射出模型预测结果与真实数据之间极高的匹配吻合度。</w:t>
      </w:r>
    </w:p>
    <w:p w14:paraId="1014AC8C">
      <w:pPr>
        <w:pStyle w:val="4"/>
        <w:bidi w:val="0"/>
        <w:rPr>
          <w:rFonts w:hint="default"/>
          <w:lang w:val="en-US" w:eastAsia="zh-CN"/>
        </w:rPr>
      </w:pPr>
      <w:r>
        <w:rPr>
          <w:rFonts w:hint="eastAsia"/>
          <w:lang w:val="en-US" w:eastAsia="zh-CN"/>
        </w:rPr>
        <w:t>对比损失函数</w:t>
      </w:r>
    </w:p>
    <w:p w14:paraId="08F05F81">
      <w:pPr>
        <w:keepNext w:val="0"/>
        <w:keepLines w:val="0"/>
        <w:pageBreakBefore w:val="0"/>
        <w:widowControl w:val="0"/>
        <w:kinsoku/>
        <w:wordWrap/>
        <w:overflowPunct/>
        <w:topLinePunct w:val="0"/>
        <w:autoSpaceDE/>
        <w:autoSpaceDN/>
        <w:bidi w:val="0"/>
        <w:adjustRightInd/>
        <w:snapToGrid/>
        <w:spacing w:beforeAutospacing="0" w:afterAutospacing="0" w:line="360" w:lineRule="auto"/>
        <w:textAlignment w:val="auto"/>
        <w:rPr>
          <w:rFonts w:hint="eastAsia"/>
          <w:lang w:val="en-US" w:eastAsia="zh-CN"/>
        </w:rPr>
      </w:pPr>
      <w:r>
        <w:rPr>
          <w:rFonts w:hint="eastAsia"/>
          <w:lang w:val="en-US" w:eastAsia="zh-CN"/>
        </w:rPr>
        <w:t>在将分子的多模态特征映射到同一的向量空间之后，模型的核心任务是通过对比学习来实现跨模态的语义对齐。本文设计了一种改进的以图为中心的双向NT-Xent对比损失，并引入基于同方差不确定性的自适应加权机制，以实现多任务场景下的稳健优化。</w:t>
      </w:r>
    </w:p>
    <w:p w14:paraId="749999D9">
      <w:pPr>
        <w:keepNext w:val="0"/>
        <w:keepLines w:val="0"/>
        <w:pageBreakBefore w:val="0"/>
        <w:widowControl w:val="0"/>
        <w:kinsoku/>
        <w:wordWrap/>
        <w:overflowPunct/>
        <w:topLinePunct w:val="0"/>
        <w:autoSpaceDE/>
        <w:autoSpaceDN/>
        <w:bidi w:val="0"/>
        <w:adjustRightInd/>
        <w:snapToGrid/>
        <w:spacing w:beforeAutospacing="0" w:afterAutospacing="0" w:line="360" w:lineRule="auto"/>
        <w:textAlignment w:val="auto"/>
        <w:rPr>
          <w:rFonts w:hint="eastAsia"/>
          <w:lang w:val="en-US" w:eastAsia="zh-CN"/>
        </w:rPr>
      </w:pPr>
      <w:r>
        <w:rPr>
          <w:rFonts w:hint="eastAsia"/>
          <w:lang w:val="en-US" w:eastAsia="zh-CN"/>
        </w:rPr>
        <w:t>对比学习通过在表征空间中拉近正样本对、推远负样本对来学习具有判别性的特征表示。目前最主流的目标函数是归一化温度缩放交叉熵损失（Normalized Temperature-scaled Cross Entropy Loss, NT-Xent）。对于给定的样本对(i, j)，其标准的NT-Xent损失定义如下：</w:t>
      </w:r>
    </w:p>
    <w:p w14:paraId="3CF4F2B3">
      <w:pPr>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14" w:lineRule="atLeast"/>
        <w:ind w:left="0" w:right="0"/>
        <w:jc w:val="left"/>
        <w:textAlignment w:val="auto"/>
        <w:rPr>
          <w:rFonts w:hint="eastAsia" w:eastAsia="宋体"/>
          <w:lang w:val="en-US" w:eastAsia="zh-CN"/>
        </w:rPr>
      </w:pPr>
      <m:oMathPara>
        <m:oMath>
          <m:sSub>
            <m:sSubPr>
              <m:ctrlPr>
                <w:rPr>
                  <w:rFonts w:hint="default" w:ascii="Cambria Math" w:hAnsi="Cambria Math" w:eastAsia="sans-serif"/>
                  <w:sz w:val="24"/>
                </w:rPr>
              </m:ctrlPr>
            </m:sSubPr>
            <m:e>
              <m:r>
                <m:rPr/>
                <w:rPr>
                  <w:rFonts w:hint="default" w:ascii="Cambria Math" w:hAnsi="Cambria Math" w:eastAsia="sans-serif"/>
                  <w:sz w:val="24"/>
                </w:rPr>
                <m:t>ℓ</m:t>
              </m:r>
              <m:ctrlPr>
                <w:rPr>
                  <w:rFonts w:ascii="Cambria Math" w:hAnsi="Cambria Math" w:eastAsia="sans-serif"/>
                  <w:sz w:val="24"/>
                </w:rPr>
              </m:ctrlPr>
            </m:e>
            <m:sub>
              <m:r>
                <m:rPr/>
                <w:rPr>
                  <w:rFonts w:hint="default" w:ascii="Cambria Math" w:hAnsi="Cambria Math" w:eastAsia="sans-serif"/>
                  <w:sz w:val="24"/>
                </w:rPr>
                <m:t>i,j</m:t>
              </m:r>
              <m:ctrlPr>
                <w:rPr>
                  <w:rFonts w:ascii="Cambria Math" w:hAnsi="Cambria Math" w:eastAsia="sans-serif"/>
                  <w:sz w:val="24"/>
                </w:rPr>
              </m:ctrlPr>
            </m:sub>
          </m:sSub>
          <m:r>
            <m:rPr/>
            <w:rPr>
              <w:rFonts w:hint="default" w:ascii="Cambria Math" w:hAnsi="Cambria Math" w:eastAsia="sans-serif"/>
              <w:sz w:val="24"/>
            </w:rPr>
            <m:t>=−</m:t>
          </m:r>
          <m:func>
            <m:funcPr>
              <m:ctrlPr>
                <w:rPr>
                  <w:rFonts w:hint="default" w:ascii="Cambria Math" w:hAnsi="Cambria Math" w:eastAsia="sans-serif"/>
                  <w:sz w:val="24"/>
                </w:rPr>
              </m:ctrlPr>
            </m:funcPr>
            <m:fName>
              <m:r>
                <m:rPr>
                  <m:sty m:val="p"/>
                </m:rPr>
                <w:rPr>
                  <w:rFonts w:hint="default" w:ascii="Cambria Math" w:hAnsi="Cambria Math" w:eastAsia="sans-serif"/>
                  <w:sz w:val="24"/>
                </w:rPr>
                <m:t>log</m:t>
              </m:r>
              <m:ctrlPr>
                <w:rPr>
                  <w:rFonts w:ascii="Cambria Math" w:hAnsi="Cambria Math" w:eastAsia="sans-serif"/>
                  <w:sz w:val="24"/>
                </w:rPr>
              </m:ctrlPr>
            </m:fName>
            <m:e>
              <m:f>
                <m:fPr>
                  <m:ctrlPr>
                    <w:rPr>
                      <w:rFonts w:hint="default" w:ascii="Cambria Math" w:hAnsi="Cambria Math" w:eastAsia="sans-serif"/>
                      <w:i/>
                      <w:sz w:val="24"/>
                    </w:rPr>
                  </m:ctrlPr>
                </m:fPr>
                <m:num>
                  <m:func>
                    <m:funcPr>
                      <m:ctrlPr>
                        <w:rPr>
                          <w:rFonts w:hint="default" w:ascii="Cambria Math" w:hAnsi="Cambria Math" w:eastAsia="sans-serif"/>
                          <w:sz w:val="24"/>
                        </w:rPr>
                      </m:ctrlPr>
                    </m:funcPr>
                    <m:fName>
                      <m:r>
                        <m:rPr>
                          <m:sty m:val="p"/>
                        </m:rPr>
                        <w:rPr>
                          <w:rFonts w:hint="default" w:ascii="Cambria Math" w:hAnsi="Cambria Math" w:eastAsia="sans-serif"/>
                          <w:sz w:val="24"/>
                        </w:rPr>
                        <m:t>exp</m:t>
                      </m:r>
                      <m:ctrlPr>
                        <w:rPr>
                          <w:rFonts w:ascii="Cambria Math" w:hAnsi="Cambria Math" w:eastAsia="sans-serif"/>
                          <w:sz w:val="24"/>
                        </w:rPr>
                      </m:ctrlPr>
                    </m:fName>
                    <m:e>
                      <m:r>
                        <m:rPr/>
                        <w:rPr>
                          <w:rFonts w:hint="default" w:ascii="Cambria Math" w:hAnsi="Cambria Math" w:eastAsia="sans-serif"/>
                          <w:sz w:val="24"/>
                        </w:rPr>
                        <m:t>(</m:t>
                      </m:r>
                      <m:ctrlPr>
                        <w:rPr>
                          <w:rFonts w:ascii="Cambria Math" w:hAnsi="Cambria Math" w:eastAsia="sans-serif"/>
                          <w:sz w:val="24"/>
                        </w:rPr>
                      </m:ctrlPr>
                    </m:e>
                  </m:func>
                  <m:r>
                    <m:rPr/>
                    <w:rPr>
                      <w:rFonts w:hint="default" w:ascii="Cambria Math" w:hAnsi="Cambria Math" w:eastAsia="sans-serif"/>
                      <w:sz w:val="24"/>
                    </w:rPr>
                    <m:t>sim(</m:t>
                  </m:r>
                  <m:sSub>
                    <m:sSubPr>
                      <m:ctrlPr>
                        <w:rPr>
                          <w:rFonts w:hint="default" w:ascii="Cambria Math" w:hAnsi="Cambria Math" w:eastAsia="sans-serif"/>
                          <w:sz w:val="24"/>
                        </w:rPr>
                      </m:ctrlPr>
                    </m:sSubPr>
                    <m:e>
                      <m:r>
                        <m:rPr/>
                        <w:rPr>
                          <w:rFonts w:hint="default" w:ascii="Cambria Math" w:hAnsi="Cambria Math" w:eastAsia="sans-serif"/>
                          <w:sz w:val="24"/>
                        </w:rPr>
                        <m:t>z</m:t>
                      </m:r>
                      <m:ctrlPr>
                        <w:rPr>
                          <w:rFonts w:ascii="Cambria Math" w:hAnsi="Cambria Math" w:eastAsia="sans-serif"/>
                          <w:sz w:val="24"/>
                        </w:rPr>
                      </m:ctrlPr>
                    </m:e>
                    <m:sub>
                      <m:r>
                        <m:rPr/>
                        <w:rPr>
                          <w:rFonts w:hint="default" w:ascii="Cambria Math" w:hAnsi="Cambria Math" w:eastAsia="sans-serif"/>
                          <w:sz w:val="24"/>
                        </w:rPr>
                        <m:t>i</m:t>
                      </m:r>
                      <m:ctrlPr>
                        <w:rPr>
                          <w:rFonts w:ascii="Cambria Math" w:hAnsi="Cambria Math" w:eastAsia="sans-serif"/>
                          <w:sz w:val="24"/>
                        </w:rPr>
                      </m:ctrlPr>
                    </m:sub>
                  </m:sSub>
                  <m:r>
                    <m:rPr/>
                    <w:rPr>
                      <w:rFonts w:hint="default" w:ascii="Cambria Math" w:hAnsi="Cambria Math" w:eastAsia="sans-serif"/>
                      <w:sz w:val="24"/>
                    </w:rPr>
                    <m:t>,</m:t>
                  </m:r>
                  <m:sSub>
                    <m:sSubPr>
                      <m:ctrlPr>
                        <w:rPr>
                          <w:rFonts w:hint="default" w:ascii="Cambria Math" w:hAnsi="Cambria Math" w:eastAsia="sans-serif"/>
                          <w:sz w:val="24"/>
                        </w:rPr>
                      </m:ctrlPr>
                    </m:sSubPr>
                    <m:e>
                      <m:r>
                        <m:rPr/>
                        <w:rPr>
                          <w:rFonts w:hint="default" w:ascii="Cambria Math" w:hAnsi="Cambria Math" w:eastAsia="sans-serif"/>
                          <w:sz w:val="24"/>
                        </w:rPr>
                        <m:t>z</m:t>
                      </m:r>
                      <m:ctrlPr>
                        <w:rPr>
                          <w:rFonts w:ascii="Cambria Math" w:hAnsi="Cambria Math" w:eastAsia="sans-serif"/>
                          <w:sz w:val="24"/>
                        </w:rPr>
                      </m:ctrlPr>
                    </m:e>
                    <m:sub>
                      <m:r>
                        <m:rPr/>
                        <w:rPr>
                          <w:rFonts w:hint="default" w:ascii="Cambria Math" w:hAnsi="Cambria Math" w:eastAsia="sans-serif"/>
                          <w:sz w:val="24"/>
                        </w:rPr>
                        <m:t>j</m:t>
                      </m:r>
                      <m:ctrlPr>
                        <w:rPr>
                          <w:rFonts w:ascii="Cambria Math" w:hAnsi="Cambria Math" w:eastAsia="sans-serif"/>
                          <w:sz w:val="24"/>
                        </w:rPr>
                      </m:ctrlPr>
                    </m:sub>
                  </m:sSub>
                  <m:r>
                    <m:rPr/>
                    <w:rPr>
                      <w:rFonts w:hint="default" w:ascii="Cambria Math" w:hAnsi="Cambria Math" w:eastAsia="sans-serif"/>
                      <w:sz w:val="24"/>
                    </w:rPr>
                    <m:t>)/τ)</m:t>
                  </m:r>
                  <m:ctrlPr>
                    <w:rPr>
                      <w:rFonts w:hint="default" w:ascii="Cambria Math" w:hAnsi="Cambria Math" w:eastAsia="sans-serif"/>
                      <w:sz w:val="24"/>
                    </w:rPr>
                  </m:ctrlPr>
                </m:num>
                <m:den>
                  <m:sSub>
                    <m:sSubPr>
                      <m:ctrlPr>
                        <w:rPr>
                          <w:rFonts w:hint="default" w:ascii="Cambria Math" w:hAnsi="Cambria Math" w:eastAsia="sans-serif"/>
                          <w:sz w:val="24"/>
                        </w:rPr>
                      </m:ctrlPr>
                    </m:sSubPr>
                    <m:e>
                      <m:nary>
                        <m:naryPr>
                          <m:chr m:val="∑"/>
                          <m:limLoc m:val="undOvr"/>
                          <m:ctrlPr>
                            <w:rPr>
                              <w:rFonts w:hint="default" w:ascii="Cambria Math" w:hAnsi="Cambria Math" w:eastAsia="sans-serif"/>
                              <w:i/>
                              <w:sz w:val="24"/>
                            </w:rPr>
                          </m:ctrlPr>
                        </m:naryPr>
                        <m:sub>
                          <m:r>
                            <m:rPr/>
                            <w:rPr>
                              <w:rFonts w:hint="default" w:ascii="Cambria Math" w:hAnsi="Cambria Math" w:eastAsia="sans-serif"/>
                              <w:sz w:val="24"/>
                            </w:rPr>
                            <m:t>k=1</m:t>
                          </m:r>
                          <m:ctrlPr>
                            <w:rPr>
                              <w:rFonts w:ascii="Cambria Math" w:hAnsi="Cambria Math" w:eastAsia="sans-serif"/>
                              <w:sz w:val="24"/>
                            </w:rPr>
                          </m:ctrlPr>
                        </m:sub>
                        <m:sup>
                          <m:r>
                            <m:rPr/>
                            <w:rPr>
                              <w:rFonts w:hint="default" w:ascii="Cambria Math" w:hAnsi="Cambria Math" w:eastAsia="sans-serif"/>
                              <w:sz w:val="24"/>
                            </w:rPr>
                            <m:t>2B</m:t>
                          </m:r>
                          <m:ctrlPr>
                            <w:rPr>
                              <w:rFonts w:ascii="Cambria Math" w:hAnsi="Cambria Math" w:eastAsia="sans-serif"/>
                              <w:sz w:val="24"/>
                            </w:rPr>
                          </m:ctrlPr>
                        </m:sup>
                        <m:e>
                          <m:r>
                            <m:rPr>
                              <m:scr m:val="double-struck"/>
                            </m:rPr>
                            <w:rPr>
                              <w:rFonts w:hint="default" w:ascii="Cambria Math" w:hAnsi="Cambria Math" w:eastAsia="MS Mincho"/>
                              <w:sz w:val="24"/>
                            </w:rPr>
                            <m:t>1</m:t>
                          </m:r>
                          <m:ctrlPr>
                            <w:rPr>
                              <w:rFonts w:ascii="Cambria Math" w:hAnsi="Cambria Math" w:eastAsia="sans-serif"/>
                              <w:sz w:val="24"/>
                            </w:rPr>
                          </m:ctrlPr>
                        </m:e>
                      </m:nary>
                      <m:ctrlPr>
                        <w:rPr>
                          <w:rFonts w:hint="default" w:ascii="Cambria Math" w:hAnsi="Cambria Math" w:eastAsia="sans-serif"/>
                          <w:i/>
                          <w:sz w:val="24"/>
                        </w:rPr>
                      </m:ctrlPr>
                    </m:e>
                    <m:sub>
                      <m:r>
                        <m:rPr/>
                        <w:rPr>
                          <w:rFonts w:hint="default" w:ascii="Cambria Math" w:hAnsi="Cambria Math" w:eastAsia="sans-serif"/>
                          <w:sz w:val="24"/>
                        </w:rPr>
                        <m:t>[k≠i]</m:t>
                      </m:r>
                      <m:ctrlPr>
                        <w:rPr>
                          <w:rFonts w:hint="default" w:ascii="Cambria Math" w:hAnsi="Cambria Math" w:eastAsia="sans-serif"/>
                          <w:i/>
                          <w:sz w:val="24"/>
                        </w:rPr>
                      </m:ctrlPr>
                    </m:sub>
                  </m:sSub>
                  <m:func>
                    <m:funcPr>
                      <m:ctrlPr>
                        <w:rPr>
                          <w:rFonts w:hint="default" w:ascii="Cambria Math" w:hAnsi="Cambria Math" w:eastAsia="sans-serif"/>
                          <w:sz w:val="24"/>
                        </w:rPr>
                      </m:ctrlPr>
                    </m:funcPr>
                    <m:fName>
                      <m:r>
                        <m:rPr>
                          <m:sty m:val="p"/>
                        </m:rPr>
                        <w:rPr>
                          <w:rFonts w:hint="default" w:ascii="Cambria Math" w:hAnsi="Cambria Math" w:eastAsia="sans-serif"/>
                          <w:sz w:val="24"/>
                        </w:rPr>
                        <m:t>exp</m:t>
                      </m:r>
                      <m:ctrlPr>
                        <w:rPr>
                          <w:rFonts w:hint="default" w:ascii="Cambria Math" w:hAnsi="Cambria Math" w:eastAsia="sans-serif"/>
                          <w:i/>
                          <w:sz w:val="24"/>
                        </w:rPr>
                      </m:ctrlPr>
                    </m:fName>
                    <m:e>
                      <m:r>
                        <m:rPr/>
                        <w:rPr>
                          <w:rFonts w:hint="default" w:ascii="Cambria Math" w:hAnsi="Cambria Math" w:eastAsia="sans-serif"/>
                          <w:sz w:val="24"/>
                        </w:rPr>
                        <m:t>(</m:t>
                      </m:r>
                      <m:ctrlPr>
                        <w:rPr>
                          <w:rFonts w:hint="default" w:ascii="Cambria Math" w:hAnsi="Cambria Math" w:eastAsia="sans-serif"/>
                          <w:i/>
                          <w:sz w:val="24"/>
                        </w:rPr>
                      </m:ctrlPr>
                    </m:e>
                  </m:func>
                  <m:r>
                    <m:rPr/>
                    <w:rPr>
                      <w:rFonts w:hint="default" w:ascii="Cambria Math" w:hAnsi="Cambria Math" w:eastAsia="sans-serif"/>
                      <w:sz w:val="24"/>
                    </w:rPr>
                    <m:t>sim(</m:t>
                  </m:r>
                  <m:sSub>
                    <m:sSubPr>
                      <m:ctrlPr>
                        <w:rPr>
                          <w:rFonts w:hint="default" w:ascii="Cambria Math" w:hAnsi="Cambria Math" w:eastAsia="sans-serif"/>
                          <w:sz w:val="24"/>
                        </w:rPr>
                      </m:ctrlPr>
                    </m:sSubPr>
                    <m:e>
                      <m:r>
                        <m:rPr/>
                        <w:rPr>
                          <w:rFonts w:hint="default" w:ascii="Cambria Math" w:hAnsi="Cambria Math" w:eastAsia="sans-serif"/>
                          <w:sz w:val="24"/>
                        </w:rPr>
                        <m:t>z</m:t>
                      </m:r>
                      <m:ctrlPr>
                        <w:rPr>
                          <w:rFonts w:hint="default" w:ascii="Cambria Math" w:hAnsi="Cambria Math" w:eastAsia="sans-serif"/>
                          <w:i/>
                          <w:sz w:val="24"/>
                        </w:rPr>
                      </m:ctrlPr>
                    </m:e>
                    <m:sub>
                      <m:r>
                        <m:rPr/>
                        <w:rPr>
                          <w:rFonts w:hint="default" w:ascii="Cambria Math" w:hAnsi="Cambria Math" w:eastAsia="sans-serif"/>
                          <w:sz w:val="24"/>
                        </w:rPr>
                        <m:t>i</m:t>
                      </m:r>
                      <m:ctrlPr>
                        <w:rPr>
                          <w:rFonts w:hint="default" w:ascii="Cambria Math" w:hAnsi="Cambria Math" w:eastAsia="sans-serif"/>
                          <w:i/>
                          <w:sz w:val="24"/>
                        </w:rPr>
                      </m:ctrlPr>
                    </m:sub>
                  </m:sSub>
                  <m:r>
                    <m:rPr/>
                    <w:rPr>
                      <w:rFonts w:hint="default" w:ascii="Cambria Math" w:hAnsi="Cambria Math" w:eastAsia="sans-serif"/>
                      <w:sz w:val="24"/>
                    </w:rPr>
                    <m:t>,</m:t>
                  </m:r>
                  <m:sSub>
                    <m:sSubPr>
                      <m:ctrlPr>
                        <w:rPr>
                          <w:rFonts w:hint="default" w:ascii="Cambria Math" w:hAnsi="Cambria Math" w:eastAsia="sans-serif"/>
                          <w:sz w:val="24"/>
                        </w:rPr>
                      </m:ctrlPr>
                    </m:sSubPr>
                    <m:e>
                      <m:r>
                        <m:rPr/>
                        <w:rPr>
                          <w:rFonts w:hint="default" w:ascii="Cambria Math" w:hAnsi="Cambria Math" w:eastAsia="sans-serif"/>
                          <w:sz w:val="24"/>
                        </w:rPr>
                        <m:t>z</m:t>
                      </m:r>
                      <m:ctrlPr>
                        <w:rPr>
                          <w:rFonts w:hint="default" w:ascii="Cambria Math" w:hAnsi="Cambria Math" w:eastAsia="sans-serif"/>
                          <w:i/>
                          <w:sz w:val="24"/>
                        </w:rPr>
                      </m:ctrlPr>
                    </m:e>
                    <m:sub>
                      <m:r>
                        <m:rPr/>
                        <w:rPr>
                          <w:rFonts w:hint="default" w:ascii="Cambria Math" w:hAnsi="Cambria Math" w:eastAsia="sans-serif"/>
                          <w:sz w:val="24"/>
                        </w:rPr>
                        <m:t>k</m:t>
                      </m:r>
                      <m:ctrlPr>
                        <w:rPr>
                          <w:rFonts w:hint="default" w:ascii="Cambria Math" w:hAnsi="Cambria Math" w:eastAsia="sans-serif"/>
                          <w:i/>
                          <w:sz w:val="24"/>
                        </w:rPr>
                      </m:ctrlPr>
                    </m:sub>
                  </m:sSub>
                  <m:r>
                    <m:rPr/>
                    <w:rPr>
                      <w:rFonts w:hint="default" w:ascii="Cambria Math" w:hAnsi="Cambria Math" w:eastAsia="sans-serif"/>
                      <w:sz w:val="24"/>
                    </w:rPr>
                    <m:t>)/τ)</m:t>
                  </m:r>
                  <m:ctrlPr>
                    <w:rPr>
                      <w:rFonts w:hint="default" w:ascii="Cambria Math" w:hAnsi="Cambria Math" w:eastAsia="sans-serif"/>
                      <w:sz w:val="24"/>
                    </w:rPr>
                  </m:ctrlPr>
                </m:den>
              </m:f>
              <m:ctrlPr>
                <w:rPr>
                  <w:rFonts w:hint="default" w:ascii="Cambria Math" w:hAnsi="Cambria Math" w:eastAsia="sans-serif"/>
                  <w:i/>
                  <w:sz w:val="24"/>
                </w:rPr>
              </m:ctrlPr>
            </m:e>
          </m:func>
        </m:oMath>
      </m:oMathPara>
    </w:p>
    <w:p w14:paraId="0BFE1BBE">
      <w:pPr>
        <w:keepNext w:val="0"/>
        <w:keepLines w:val="0"/>
        <w:pageBreakBefore w:val="0"/>
        <w:widowControl w:val="0"/>
        <w:kinsoku/>
        <w:wordWrap/>
        <w:overflowPunct/>
        <w:topLinePunct w:val="0"/>
        <w:autoSpaceDE/>
        <w:autoSpaceDN/>
        <w:bidi w:val="0"/>
        <w:adjustRightInd/>
        <w:snapToGrid/>
        <w:spacing w:beforeAutospacing="0" w:afterAutospacing="0" w:line="360" w:lineRule="auto"/>
        <w:textAlignment w:val="auto"/>
        <w:rPr>
          <w:rFonts w:hint="eastAsia"/>
          <w:lang w:val="en-US" w:eastAsia="zh-CN"/>
        </w:rPr>
      </w:pPr>
      <w:r>
        <w:rPr>
          <w:rFonts w:hint="eastAsia"/>
          <w:lang w:val="en-US" w:eastAsia="zh-CN"/>
        </w:rPr>
        <w:t>其中，</w:t>
      </w:r>
      <m:oMath>
        <m:sSub>
          <m:sSubPr>
            <m:ctrlPr>
              <w:rPr>
                <w:rFonts w:hint="default" w:ascii="Cambria Math"/>
              </w:rPr>
            </m:ctrlPr>
          </m:sSubPr>
          <m:e>
            <m:r>
              <m:rPr/>
              <w:rPr>
                <w:rFonts w:hint="default" w:ascii="Cambria Math"/>
              </w:rPr>
              <m:t>z</m:t>
            </m:r>
            <m:ctrlPr>
              <w:rPr>
                <w:rFonts w:hint="default" w:ascii="Cambria Math"/>
              </w:rPr>
            </m:ctrlPr>
          </m:e>
          <m:sub>
            <m:r>
              <m:rPr/>
              <w:rPr>
                <w:rFonts w:hint="default" w:ascii="Cambria Math"/>
              </w:rPr>
              <m:t>i</m:t>
            </m:r>
            <m:ctrlPr>
              <w:rPr>
                <w:rFonts w:hint="default" w:ascii="Cambria Math"/>
              </w:rPr>
            </m:ctrlPr>
          </m:sub>
        </m:sSub>
        <m:r>
          <m:rPr/>
          <w:rPr>
            <w:rFonts w:hint="default" w:ascii="Cambria Math"/>
          </w:rPr>
          <m:t>,</m:t>
        </m:r>
        <m:sSub>
          <m:sSubPr>
            <m:ctrlPr>
              <w:rPr>
                <w:rFonts w:hint="default" w:ascii="Cambria Math"/>
              </w:rPr>
            </m:ctrlPr>
          </m:sSubPr>
          <m:e>
            <m:r>
              <m:rPr/>
              <w:rPr>
                <w:rFonts w:hint="default" w:ascii="Cambria Math"/>
              </w:rPr>
              <m:t>z</m:t>
            </m:r>
            <m:ctrlPr>
              <w:rPr>
                <w:rFonts w:hint="default" w:ascii="Cambria Math"/>
              </w:rPr>
            </m:ctrlPr>
          </m:e>
          <m:sub>
            <m:r>
              <m:rPr/>
              <w:rPr>
                <w:rFonts w:hint="default" w:ascii="Cambria Math"/>
              </w:rPr>
              <m:t>j</m:t>
            </m:r>
            <m:ctrlPr>
              <w:rPr>
                <w:rFonts w:hint="default" w:ascii="Cambria Math"/>
              </w:rPr>
            </m:ctrlPr>
          </m:sub>
        </m:sSub>
      </m:oMath>
      <w:r>
        <w:rPr>
          <w:rFonts w:hint="eastAsia"/>
          <w:lang w:val="en-US" w:eastAsia="zh-CN"/>
        </w:rPr>
        <w:t>为归一化后的特征向量，</w:t>
      </w:r>
      <m:oMath>
        <m:r>
          <m:rPr/>
          <w:rPr>
            <w:rFonts w:hint="default" w:ascii="Cambria Math"/>
          </w:rPr>
          <m:t>sim(⋅,⋅)</m:t>
        </m:r>
      </m:oMath>
      <w:r>
        <w:rPr>
          <w:rFonts w:hint="eastAsia"/>
          <w:lang w:val="en-US" w:eastAsia="zh-CN"/>
        </w:rPr>
        <w:t>表示余弦相似度，</w:t>
      </w:r>
      <m:oMath>
        <m:r>
          <m:rPr/>
          <w:rPr>
            <w:rFonts w:hint="default" w:ascii="Cambria Math"/>
          </w:rPr>
          <m:t>τ</m:t>
        </m:r>
      </m:oMath>
      <w:r>
        <w:rPr>
          <w:rFonts w:hint="eastAsia"/>
          <w:lang w:val="en-US" w:eastAsia="zh-CN"/>
        </w:rPr>
        <w:t>为温度系数，</w:t>
      </w:r>
      <m:oMath>
        <m:r>
          <m:rPr/>
          <w:rPr>
            <w:rFonts w:hint="default" w:ascii="Cambria Math"/>
          </w:rPr>
          <m:t>B</m:t>
        </m:r>
      </m:oMath>
      <w:r>
        <w:rPr>
          <w:rFonts w:hint="eastAsia"/>
          <w:lang w:val="en-US" w:eastAsia="zh-CN"/>
        </w:rPr>
        <w:t>为批次大小，分母项包含了批次内所有的负样本。然而，经典的NT-Xent通常基于双视图设定，如CLIP中的图像–文本。当扩展至本文的四模态场景（Graph, SMILES, Fingerprint, Text）时，若采用全排列的“两两对齐”策略，将面临计算开销随模态数量呈平方级增长,噪声传播与训练不稳定性等问题。</w:t>
      </w:r>
    </w:p>
    <w:p w14:paraId="12D1CD27">
      <w:pPr>
        <w:keepNext w:val="0"/>
        <w:keepLines w:val="0"/>
        <w:pageBreakBefore w:val="0"/>
        <w:widowControl w:val="0"/>
        <w:kinsoku/>
        <w:wordWrap/>
        <w:overflowPunct/>
        <w:topLinePunct w:val="0"/>
        <w:autoSpaceDE/>
        <w:autoSpaceDN/>
        <w:bidi w:val="0"/>
        <w:adjustRightInd/>
        <w:snapToGrid/>
        <w:spacing w:beforeAutospacing="0" w:afterAutospacing="0" w:line="360" w:lineRule="auto"/>
        <w:textAlignment w:val="auto"/>
        <w:rPr>
          <w:rFonts w:hint="eastAsia"/>
          <w:lang w:val="en-US" w:eastAsia="zh-CN"/>
        </w:rPr>
      </w:pPr>
      <w:r>
        <w:rPr>
          <w:rFonts w:hint="eastAsia"/>
          <w:lang w:val="en-US" w:eastAsia="zh-CN"/>
        </w:rPr>
        <w:t>在分子表征学习中，分子图直接刻画了原子间的连接拓扑，被认为是最具“物理真实性”和“结构稳定性”的主模态；相比之下，SMILES序列、分子指纹及文本描述均可视为该核心结构的辅助视图。</w:t>
      </w:r>
    </w:p>
    <w:p w14:paraId="5FC3EF85">
      <w:pPr>
        <w:keepNext w:val="0"/>
        <w:keepLines w:val="0"/>
        <w:pageBreakBefore w:val="0"/>
        <w:widowControl w:val="0"/>
        <w:kinsoku/>
        <w:wordWrap/>
        <w:overflowPunct/>
        <w:topLinePunct w:val="0"/>
        <w:autoSpaceDE/>
        <w:autoSpaceDN/>
        <w:bidi w:val="0"/>
        <w:adjustRightInd/>
        <w:snapToGrid/>
        <w:spacing w:beforeAutospacing="0" w:afterAutospacing="0" w:line="360" w:lineRule="auto"/>
        <w:textAlignment w:val="auto"/>
        <w:rPr>
          <w:rFonts w:hint="eastAsia"/>
          <w:lang w:val="en-US" w:eastAsia="zh-CN"/>
        </w:rPr>
      </w:pPr>
      <w:r>
        <w:rPr>
          <w:rFonts w:hint="eastAsia"/>
          <w:lang w:val="en-US" w:eastAsia="zh-CN"/>
        </w:rPr>
        <w:t>基于此，本文采用Graph-centered对齐范式：仅计算分子图与其辅模态间的对齐损失，而不进行辅模态间的冗余对齐。设第</w:t>
      </w:r>
      <m:oMath>
        <m:r>
          <m:rPr/>
          <w:rPr>
            <w:rFonts w:hint="default" w:ascii="Cambria Math"/>
          </w:rPr>
          <m:t>i</m:t>
        </m:r>
      </m:oMath>
      <w:r>
        <w:rPr>
          <w:rFonts w:hint="eastAsia"/>
          <w:lang w:val="en-US" w:eastAsia="zh-CN"/>
        </w:rPr>
        <w:t>个分子样本在模态</w:t>
      </w:r>
      <m:oMath>
        <m:r>
          <m:rPr/>
          <w:rPr>
            <w:rFonts w:hint="default" w:ascii="Cambria Math"/>
          </w:rPr>
          <m:t>m∈{S,F,T}</m:t>
        </m:r>
      </m:oMath>
      <w:r>
        <w:rPr>
          <w:rFonts w:hint="eastAsia"/>
          <w:lang w:val="en-US" w:eastAsia="zh-CN"/>
        </w:rPr>
        <w:t>下的表示为</w:t>
      </w:r>
      <m:oMath>
        <m:sSubSup>
          <m:sSubSupPr>
            <m:ctrlPr>
              <w:rPr>
                <w:rFonts w:hint="default" w:ascii="Cambria Math"/>
              </w:rPr>
            </m:ctrlPr>
          </m:sSubSupPr>
          <m:e>
            <m:r>
              <m:rPr/>
              <w:rPr>
                <w:rFonts w:hint="default" w:ascii="Cambria Math"/>
              </w:rPr>
              <m:t>z</m:t>
            </m:r>
            <m:ctrlPr>
              <w:rPr>
                <w:rFonts w:hint="default" w:ascii="Cambria Math"/>
              </w:rPr>
            </m:ctrlPr>
          </m:e>
          <m:sub>
            <m:r>
              <m:rPr/>
              <w:rPr>
                <w:rFonts w:hint="default" w:ascii="Cambria Math"/>
              </w:rPr>
              <m:t>i</m:t>
            </m:r>
            <m:ctrlPr>
              <w:rPr>
                <w:rFonts w:hint="default" w:ascii="Cambria Math"/>
              </w:rPr>
            </m:ctrlPr>
          </m:sub>
          <m:sup>
            <m:r>
              <m:rPr/>
              <w:rPr>
                <w:rFonts w:hint="default" w:ascii="Cambria Math"/>
              </w:rPr>
              <m:t>(m)</m:t>
            </m:r>
            <m:ctrlPr>
              <w:rPr>
                <w:rFonts w:hint="default" w:ascii="Cambria Math"/>
              </w:rPr>
            </m:ctrlPr>
          </m:sup>
        </m:sSubSup>
      </m:oMath>
      <w:r>
        <w:rPr>
          <w:rFonts w:hint="eastAsia"/>
          <w:lang w:val="en-US" w:eastAsia="zh-CN"/>
        </w:rPr>
        <w:t>，Graph模态表示为</w:t>
      </w:r>
      <m:oMath>
        <m:sSubSup>
          <m:sSubSupPr>
            <m:ctrlPr>
              <w:rPr>
                <w:rFonts w:hint="default" w:ascii="Cambria Math"/>
              </w:rPr>
            </m:ctrlPr>
          </m:sSubSupPr>
          <m:e>
            <m:r>
              <m:rPr/>
              <w:rPr>
                <w:rFonts w:hint="default" w:ascii="Cambria Math"/>
              </w:rPr>
              <m:t>z</m:t>
            </m:r>
            <m:ctrlPr>
              <w:rPr>
                <w:rFonts w:hint="default" w:ascii="Cambria Math"/>
              </w:rPr>
            </m:ctrlPr>
          </m:e>
          <m:sub>
            <m:r>
              <m:rPr/>
              <w:rPr>
                <w:rFonts w:hint="default" w:ascii="Cambria Math"/>
              </w:rPr>
              <m:t>i</m:t>
            </m:r>
            <m:ctrlPr>
              <w:rPr>
                <w:rFonts w:hint="default" w:ascii="Cambria Math"/>
              </w:rPr>
            </m:ctrlPr>
          </m:sub>
          <m:sup>
            <m:r>
              <m:rPr/>
              <w:rPr>
                <w:rFonts w:hint="default" w:ascii="Cambria Math"/>
              </w:rPr>
              <m:t>(G)</m:t>
            </m:r>
            <m:ctrlPr>
              <w:rPr>
                <w:rFonts w:hint="default" w:ascii="Cambria Math"/>
              </w:rPr>
            </m:ctrlPr>
          </m:sup>
        </m:sSubSup>
      </m:oMath>
      <w:r>
        <w:rPr>
          <w:rFonts w:hint="eastAsia"/>
          <w:lang w:val="en-US" w:eastAsia="zh-CN"/>
        </w:rPr>
        <w:t>。为了确保对齐的对称性，本文定义双向对比损失</w:t>
      </w:r>
      <m:oMath>
        <m:sSub>
          <m:sSubPr>
            <m:ctrlPr>
              <w:rPr>
                <w:rFonts w:hint="default" w:ascii="Cambria Math"/>
              </w:rPr>
            </m:ctrlPr>
          </m:sSubPr>
          <m:e>
            <m:r>
              <m:rPr>
                <m:scr m:val="script"/>
              </m:rPr>
              <w:rPr>
                <w:rFonts w:hint="default" w:ascii="Cambria Math"/>
              </w:rPr>
              <m:t>ℒ</m:t>
            </m:r>
            <m:ctrlPr>
              <w:rPr>
                <w:rFonts w:hint="default" w:ascii="Cambria Math"/>
              </w:rPr>
            </m:ctrlPr>
          </m:e>
          <m:sub>
            <m:r>
              <m:rPr/>
              <w:rPr>
                <w:rFonts w:hint="default" w:ascii="Cambria Math"/>
              </w:rPr>
              <m:t>G,m</m:t>
            </m:r>
            <m:ctrlPr>
              <w:rPr>
                <w:rFonts w:hint="default" w:ascii="Cambria Math"/>
              </w:rPr>
            </m:ctrlPr>
          </m:sub>
        </m:sSub>
      </m:oMath>
      <w:r>
        <w:rPr>
          <w:rFonts w:hint="eastAsia"/>
          <w:lang w:val="en-US" w:eastAsia="zh-CN"/>
        </w:rPr>
        <w:t>为：</w:t>
      </w:r>
    </w:p>
    <w:p w14:paraId="23C5480B">
      <w:pPr>
        <w:keepNext w:val="0"/>
        <w:keepLines w:val="0"/>
        <w:pageBreakBefore w:val="0"/>
        <w:widowControl/>
        <w:suppressLineNumbers w:val="0"/>
        <w:kinsoku/>
        <w:wordWrap/>
        <w:overflowPunct/>
        <w:topLinePunct w:val="0"/>
        <w:autoSpaceDE/>
        <w:autoSpaceDN/>
        <w:bidi w:val="0"/>
        <w:adjustRightInd/>
        <w:snapToGrid/>
        <w:spacing w:before="0" w:beforeAutospacing="0" w:afterAutospacing="0" w:line="14" w:lineRule="atLeast"/>
        <w:jc w:val="left"/>
        <w:textAlignment w:val="auto"/>
        <w:rPr>
          <w:rFonts w:hint="eastAsia"/>
          <w:lang w:val="en-US" w:eastAsia="zh-CN"/>
        </w:rPr>
      </w:pPr>
      <m:oMathPara>
        <m:oMath>
          <m:sSub>
            <m:sSubPr>
              <m:ctrlPr>
                <w:rPr>
                  <w:rFonts w:hint="default" w:ascii="Cambria Math" w:hAnsi="Cambria Math" w:eastAsia="sans-serif"/>
                  <w:sz w:val="24"/>
                </w:rPr>
              </m:ctrlPr>
            </m:sSubPr>
            <m:e>
              <m:r>
                <m:rPr>
                  <m:scr m:val="script"/>
                </m:rPr>
                <w:rPr>
                  <w:rFonts w:hint="default" w:ascii="Cambria Math" w:hAnsi="Cambria Math" w:eastAsia="MS Mincho"/>
                  <w:sz w:val="24"/>
                </w:rPr>
                <m:t>ℒ</m:t>
              </m:r>
              <m:ctrlPr>
                <w:rPr>
                  <w:rFonts w:ascii="Cambria Math" w:hAnsi="Cambria Math" w:eastAsia="sans-serif"/>
                  <w:sz w:val="24"/>
                </w:rPr>
              </m:ctrlPr>
            </m:e>
            <m:sub>
              <m:r>
                <m:rPr/>
                <w:rPr>
                  <w:rFonts w:hint="default" w:ascii="Cambria Math" w:hAnsi="Cambria Math" w:eastAsia="sans-serif"/>
                  <w:sz w:val="24"/>
                </w:rPr>
                <m:t>G,m</m:t>
              </m:r>
              <m:ctrlPr>
                <w:rPr>
                  <w:rFonts w:ascii="Cambria Math" w:hAnsi="Cambria Math" w:eastAsia="sans-serif"/>
                  <w:sz w:val="24"/>
                </w:rPr>
              </m:ctrlPr>
            </m:sub>
          </m:sSub>
          <m:r>
            <m:rPr/>
            <w:rPr>
              <w:rFonts w:hint="default" w:ascii="Cambria Math" w:hAnsi="Cambria Math" w:eastAsia="sans-serif"/>
              <w:sz w:val="24"/>
            </w:rPr>
            <m:t>=</m:t>
          </m:r>
          <m:f>
            <m:fPr>
              <m:ctrlPr>
                <w:rPr>
                  <w:rFonts w:hint="default" w:ascii="Cambria Math" w:hAnsi="Cambria Math" w:eastAsia="sans-serif"/>
                  <w:i/>
                  <w:sz w:val="24"/>
                </w:rPr>
              </m:ctrlPr>
            </m:fPr>
            <m:num>
              <m:r>
                <m:rPr/>
                <w:rPr>
                  <w:rFonts w:hint="default" w:ascii="Cambria Math" w:hAnsi="Cambria Math" w:eastAsia="sans-serif"/>
                  <w:sz w:val="24"/>
                </w:rPr>
                <m:t>1</m:t>
              </m:r>
              <m:ctrlPr>
                <w:rPr>
                  <w:rFonts w:ascii="Cambria Math" w:hAnsi="Cambria Math" w:eastAsia="sans-serif"/>
                  <w:sz w:val="24"/>
                </w:rPr>
              </m:ctrlPr>
            </m:num>
            <m:den>
              <m:r>
                <m:rPr/>
                <w:rPr>
                  <w:rFonts w:hint="default" w:ascii="Cambria Math" w:hAnsi="Cambria Math" w:eastAsia="sans-serif"/>
                  <w:sz w:val="24"/>
                </w:rPr>
                <m:t>2</m:t>
              </m:r>
              <m:ctrlPr>
                <w:rPr>
                  <w:rFonts w:ascii="Cambria Math" w:hAnsi="Cambria Math" w:eastAsia="sans-serif"/>
                  <w:sz w:val="24"/>
                </w:rPr>
              </m:ctrlPr>
            </m:den>
          </m:f>
          <m:r>
            <m:rPr/>
            <w:rPr>
              <w:rFonts w:hint="default" w:ascii="Cambria Math" w:hAnsi="Cambria Math" w:eastAsia="sans-serif"/>
              <w:sz w:val="24"/>
            </w:rPr>
            <m:t>(</m:t>
          </m:r>
          <m:sSub>
            <m:sSubPr>
              <m:ctrlPr>
                <w:rPr>
                  <w:rFonts w:hint="default" w:ascii="Cambria Math" w:hAnsi="Cambria Math" w:eastAsia="sans-serif"/>
                  <w:sz w:val="24"/>
                </w:rPr>
              </m:ctrlPr>
            </m:sSubPr>
            <m:e>
              <m:r>
                <m:rPr>
                  <m:scr m:val="script"/>
                </m:rPr>
                <w:rPr>
                  <w:rFonts w:hint="default" w:ascii="Cambria Math" w:hAnsi="Cambria Math" w:eastAsia="MS Mincho"/>
                  <w:sz w:val="24"/>
                </w:rPr>
                <m:t>ℒ</m:t>
              </m:r>
              <m:ctrlPr>
                <w:rPr>
                  <w:rFonts w:ascii="Cambria Math" w:hAnsi="Cambria Math" w:eastAsia="sans-serif"/>
                  <w:sz w:val="24"/>
                </w:rPr>
              </m:ctrlPr>
            </m:e>
            <m:sub>
              <m:r>
                <m:rPr/>
                <w:rPr>
                  <w:rFonts w:hint="default" w:ascii="Cambria Math" w:hAnsi="Cambria Math" w:eastAsia="sans-serif"/>
                  <w:sz w:val="24"/>
                </w:rPr>
                <m:t>G→m</m:t>
              </m:r>
              <m:ctrlPr>
                <w:rPr>
                  <w:rFonts w:ascii="Cambria Math" w:hAnsi="Cambria Math" w:eastAsia="sans-serif"/>
                  <w:sz w:val="24"/>
                </w:rPr>
              </m:ctrlPr>
            </m:sub>
          </m:sSub>
          <m:r>
            <m:rPr/>
            <w:rPr>
              <w:rFonts w:hint="default" w:ascii="Cambria Math" w:hAnsi="Cambria Math" w:eastAsia="sans-serif"/>
              <w:sz w:val="24"/>
            </w:rPr>
            <m:t>+</m:t>
          </m:r>
          <m:sSub>
            <m:sSubPr>
              <m:ctrlPr>
                <w:rPr>
                  <w:rFonts w:hint="default" w:ascii="Cambria Math" w:hAnsi="Cambria Math" w:eastAsia="sans-serif"/>
                  <w:sz w:val="24"/>
                </w:rPr>
              </m:ctrlPr>
            </m:sSubPr>
            <m:e>
              <m:r>
                <m:rPr>
                  <m:scr m:val="script"/>
                </m:rPr>
                <w:rPr>
                  <w:rFonts w:hint="default" w:ascii="Cambria Math" w:hAnsi="Cambria Math" w:eastAsia="MS Mincho"/>
                  <w:sz w:val="24"/>
                </w:rPr>
                <m:t>ℒ</m:t>
              </m:r>
              <m:ctrlPr>
                <w:rPr>
                  <w:rFonts w:ascii="Cambria Math" w:hAnsi="Cambria Math" w:eastAsia="sans-serif"/>
                  <w:sz w:val="24"/>
                </w:rPr>
              </m:ctrlPr>
            </m:e>
            <m:sub>
              <m:r>
                <m:rPr/>
                <w:rPr>
                  <w:rFonts w:hint="default" w:ascii="Cambria Math" w:hAnsi="Cambria Math" w:eastAsia="sans-serif"/>
                  <w:sz w:val="24"/>
                </w:rPr>
                <m:t>m→G</m:t>
              </m:r>
              <m:ctrlPr>
                <w:rPr>
                  <w:rFonts w:ascii="Cambria Math" w:hAnsi="Cambria Math" w:eastAsia="sans-serif"/>
                  <w:sz w:val="24"/>
                </w:rPr>
              </m:ctrlPr>
            </m:sub>
          </m:sSub>
          <m:r>
            <m:rPr/>
            <w:rPr>
              <w:rFonts w:hint="default" w:ascii="Cambria Math" w:hAnsi="Cambria Math" w:eastAsia="sans-serif"/>
              <w:sz w:val="24"/>
            </w:rPr>
            <m:t>)</m:t>
          </m:r>
        </m:oMath>
      </m:oMathPara>
    </w:p>
    <w:p w14:paraId="691F2F6A">
      <w:pPr>
        <w:keepNext w:val="0"/>
        <w:keepLines w:val="0"/>
        <w:pageBreakBefore w:val="0"/>
        <w:widowControl w:val="0"/>
        <w:kinsoku/>
        <w:wordWrap/>
        <w:overflowPunct/>
        <w:topLinePunct w:val="0"/>
        <w:autoSpaceDE/>
        <w:autoSpaceDN/>
        <w:bidi w:val="0"/>
        <w:adjustRightInd/>
        <w:snapToGrid/>
        <w:spacing w:beforeAutospacing="0" w:afterAutospacing="0" w:line="360" w:lineRule="auto"/>
        <w:textAlignment w:val="auto"/>
        <w:rPr>
          <w:rFonts w:hint="eastAsia"/>
          <w:lang w:val="en-US" w:eastAsia="zh-CN"/>
        </w:rPr>
      </w:pPr>
      <w:r>
        <w:rPr>
          <w:rFonts w:hint="eastAsia"/>
          <w:lang w:val="en-US" w:eastAsia="zh-CN"/>
        </w:rPr>
        <w:t>其中，从Graph到模态</w:t>
      </w:r>
      <m:oMath>
        <m:r>
          <m:rPr/>
          <w:rPr>
            <w:rFonts w:hint="default" w:ascii="Cambria Math"/>
          </w:rPr>
          <m:t>m</m:t>
        </m:r>
      </m:oMath>
      <w:r>
        <w:rPr>
          <w:rFonts w:hint="eastAsia"/>
          <w:lang w:val="en-US" w:eastAsia="zh-CN"/>
        </w:rPr>
        <w:t>的单向对比损失定义为：</w:t>
      </w:r>
    </w:p>
    <w:p w14:paraId="3824D8F6">
      <w:pPr>
        <w:keepNext w:val="0"/>
        <w:keepLines w:val="0"/>
        <w:pageBreakBefore w:val="0"/>
        <w:widowControl/>
        <w:suppressLineNumbers w:val="0"/>
        <w:kinsoku/>
        <w:wordWrap/>
        <w:overflowPunct/>
        <w:topLinePunct w:val="0"/>
        <w:autoSpaceDE/>
        <w:autoSpaceDN/>
        <w:bidi w:val="0"/>
        <w:adjustRightInd/>
        <w:snapToGrid/>
        <w:spacing w:before="0" w:beforeAutospacing="0" w:afterAutospacing="0" w:line="14" w:lineRule="atLeast"/>
        <w:jc w:val="left"/>
        <w:textAlignment w:val="auto"/>
        <w:rPr>
          <w:rFonts w:hint="eastAsia"/>
          <w:lang w:val="en-US" w:eastAsia="zh-CN"/>
        </w:rPr>
      </w:pPr>
      <m:oMathPara>
        <m:oMath>
          <m:sSub>
            <m:sSubPr>
              <m:ctrlPr>
                <w:rPr>
                  <w:rFonts w:hint="default" w:ascii="Cambria Math" w:hAnsi="Cambria Math" w:eastAsia="sans-serif"/>
                  <w:sz w:val="24"/>
                </w:rPr>
              </m:ctrlPr>
            </m:sSubPr>
            <m:e>
              <m:r>
                <m:rPr>
                  <m:scr m:val="script"/>
                </m:rPr>
                <w:rPr>
                  <w:rFonts w:hint="default" w:ascii="Cambria Math" w:hAnsi="Cambria Math" w:eastAsia="MS Mincho"/>
                  <w:sz w:val="24"/>
                </w:rPr>
                <m:t>ℒ</m:t>
              </m:r>
              <m:ctrlPr>
                <w:rPr>
                  <w:rFonts w:ascii="Cambria Math" w:hAnsi="Cambria Math" w:eastAsia="sans-serif"/>
                  <w:sz w:val="24"/>
                </w:rPr>
              </m:ctrlPr>
            </m:e>
            <m:sub>
              <m:r>
                <m:rPr/>
                <w:rPr>
                  <w:rFonts w:hint="default" w:ascii="Cambria Math" w:hAnsi="Cambria Math" w:eastAsia="sans-serif"/>
                  <w:sz w:val="24"/>
                </w:rPr>
                <m:t>G→m</m:t>
              </m:r>
              <m:ctrlPr>
                <w:rPr>
                  <w:rFonts w:ascii="Cambria Math" w:hAnsi="Cambria Math" w:eastAsia="sans-serif"/>
                  <w:sz w:val="24"/>
                </w:rPr>
              </m:ctrlPr>
            </m:sub>
          </m:sSub>
          <m:r>
            <m:rPr/>
            <w:rPr>
              <w:rFonts w:hint="default" w:ascii="Cambria Math" w:hAnsi="Cambria Math" w:eastAsia="sans-serif"/>
              <w:sz w:val="24"/>
            </w:rPr>
            <m:t>=−</m:t>
          </m:r>
          <m:f>
            <m:fPr>
              <m:ctrlPr>
                <w:rPr>
                  <w:rFonts w:hint="default" w:ascii="Cambria Math" w:hAnsi="Cambria Math" w:eastAsia="sans-serif"/>
                  <w:i/>
                  <w:sz w:val="24"/>
                </w:rPr>
              </m:ctrlPr>
            </m:fPr>
            <m:num>
              <m:r>
                <m:rPr/>
                <w:rPr>
                  <w:rFonts w:hint="default" w:ascii="Cambria Math" w:hAnsi="Cambria Math" w:eastAsia="sans-serif"/>
                  <w:sz w:val="24"/>
                </w:rPr>
                <m:t>1</m:t>
              </m:r>
              <m:ctrlPr>
                <w:rPr>
                  <w:rFonts w:ascii="Cambria Math" w:hAnsi="Cambria Math" w:eastAsia="sans-serif"/>
                  <w:sz w:val="24"/>
                </w:rPr>
              </m:ctrlPr>
            </m:num>
            <m:den>
              <m:r>
                <m:rPr/>
                <w:rPr>
                  <w:rFonts w:hint="default" w:ascii="Cambria Math" w:hAnsi="Cambria Math" w:eastAsia="sans-serif"/>
                  <w:sz w:val="24"/>
                </w:rPr>
                <m:t>B</m:t>
              </m:r>
              <m:ctrlPr>
                <w:rPr>
                  <w:rFonts w:ascii="Cambria Math" w:hAnsi="Cambria Math" w:eastAsia="sans-serif"/>
                  <w:sz w:val="24"/>
                </w:rPr>
              </m:ctrlPr>
            </m:den>
          </m:f>
          <m:nary>
            <m:naryPr>
              <m:chr m:val="∑"/>
              <m:limLoc m:val="undOvr"/>
              <m:ctrlPr>
                <w:rPr>
                  <w:rFonts w:hint="default" w:ascii="Cambria Math" w:hAnsi="Cambria Math" w:eastAsia="sans-serif"/>
                  <w:i/>
                  <w:sz w:val="24"/>
                </w:rPr>
              </m:ctrlPr>
            </m:naryPr>
            <m:sub>
              <m:r>
                <m:rPr/>
                <w:rPr>
                  <w:rFonts w:hint="default" w:ascii="Cambria Math" w:hAnsi="Cambria Math" w:eastAsia="sans-serif"/>
                  <w:sz w:val="24"/>
                </w:rPr>
                <m:t>i=1</m:t>
              </m:r>
              <m:ctrlPr>
                <w:rPr>
                  <w:rFonts w:ascii="Cambria Math" w:hAnsi="Cambria Math" w:eastAsia="sans-serif"/>
                  <w:sz w:val="24"/>
                </w:rPr>
              </m:ctrlPr>
            </m:sub>
            <m:sup>
              <m:r>
                <m:rPr/>
                <w:rPr>
                  <w:rFonts w:hint="default" w:ascii="Cambria Math" w:hAnsi="Cambria Math" w:eastAsia="sans-serif"/>
                  <w:sz w:val="24"/>
                </w:rPr>
                <m:t>B</m:t>
              </m:r>
              <m:ctrlPr>
                <w:rPr>
                  <w:rFonts w:ascii="Cambria Math" w:hAnsi="Cambria Math" w:eastAsia="sans-serif"/>
                  <w:sz w:val="24"/>
                </w:rPr>
              </m:ctrlPr>
            </m:sup>
            <m:e>
              <m:func>
                <m:funcPr>
                  <m:ctrlPr>
                    <w:rPr>
                      <w:rFonts w:hint="default" w:ascii="Cambria Math" w:hAnsi="Cambria Math" w:eastAsia="sans-serif"/>
                      <w:sz w:val="24"/>
                    </w:rPr>
                  </m:ctrlPr>
                </m:funcPr>
                <m:fName>
                  <m:r>
                    <m:rPr>
                      <m:sty m:val="p"/>
                    </m:rPr>
                    <w:rPr>
                      <w:rFonts w:hint="default" w:ascii="Cambria Math" w:hAnsi="Cambria Math" w:eastAsia="sans-serif"/>
                      <w:sz w:val="24"/>
                    </w:rPr>
                    <m:t>log</m:t>
                  </m:r>
                  <m:ctrlPr>
                    <w:rPr>
                      <w:rFonts w:ascii="Cambria Math" w:hAnsi="Cambria Math" w:eastAsia="sans-serif"/>
                      <w:sz w:val="24"/>
                    </w:rPr>
                  </m:ctrlPr>
                </m:fName>
                <m:e>
                  <m:f>
                    <m:fPr>
                      <m:ctrlPr>
                        <w:rPr>
                          <w:rFonts w:hint="default" w:ascii="Cambria Math" w:hAnsi="Cambria Math" w:eastAsia="sans-serif"/>
                          <w:i/>
                          <w:sz w:val="24"/>
                        </w:rPr>
                      </m:ctrlPr>
                    </m:fPr>
                    <m:num>
                      <m:func>
                        <m:funcPr>
                          <m:ctrlPr>
                            <w:rPr>
                              <w:rFonts w:hint="default" w:ascii="Cambria Math" w:hAnsi="Cambria Math" w:eastAsia="sans-serif"/>
                              <w:sz w:val="24"/>
                            </w:rPr>
                          </m:ctrlPr>
                        </m:funcPr>
                        <m:fName>
                          <m:r>
                            <m:rPr>
                              <m:sty m:val="p"/>
                            </m:rPr>
                            <w:rPr>
                              <w:rFonts w:hint="default" w:ascii="Cambria Math" w:hAnsi="Cambria Math" w:eastAsia="sans-serif"/>
                              <w:sz w:val="24"/>
                            </w:rPr>
                            <m:t>exp</m:t>
                          </m:r>
                          <m:ctrlPr>
                            <w:rPr>
                              <w:rFonts w:ascii="Cambria Math" w:hAnsi="Cambria Math" w:eastAsia="sans-serif"/>
                              <w:sz w:val="24"/>
                            </w:rPr>
                          </m:ctrlPr>
                        </m:fName>
                        <m:e>
                          <m:r>
                            <m:rPr/>
                            <w:rPr>
                              <w:rFonts w:hint="default" w:ascii="Cambria Math" w:hAnsi="Cambria Math" w:eastAsia="sans-serif"/>
                              <w:sz w:val="24"/>
                            </w:rPr>
                            <m:t>(</m:t>
                          </m:r>
                          <m:ctrlPr>
                            <w:rPr>
                              <w:rFonts w:ascii="Cambria Math" w:hAnsi="Cambria Math" w:eastAsia="sans-serif"/>
                              <w:sz w:val="24"/>
                            </w:rPr>
                          </m:ctrlPr>
                        </m:e>
                      </m:func>
                      <m:r>
                        <m:rPr/>
                        <w:rPr>
                          <w:rFonts w:hint="default" w:ascii="Cambria Math" w:hAnsi="Cambria Math" w:eastAsia="sans-serif"/>
                          <w:sz w:val="24"/>
                        </w:rPr>
                        <m:t>sim(</m:t>
                      </m:r>
                      <m:sSubSup>
                        <m:sSubSupPr>
                          <m:ctrlPr>
                            <w:rPr>
                              <w:rFonts w:hint="default" w:ascii="Cambria Math" w:hAnsi="Cambria Math" w:eastAsia="sans-serif"/>
                              <w:sz w:val="24"/>
                            </w:rPr>
                          </m:ctrlPr>
                        </m:sSubSupPr>
                        <m:e>
                          <m:r>
                            <m:rPr/>
                            <w:rPr>
                              <w:rFonts w:hint="default" w:ascii="Cambria Math" w:hAnsi="Cambria Math" w:eastAsia="sans-serif"/>
                              <w:sz w:val="24"/>
                            </w:rPr>
                            <m:t>z</m:t>
                          </m:r>
                          <m:ctrlPr>
                            <w:rPr>
                              <w:rFonts w:ascii="Cambria Math" w:hAnsi="Cambria Math" w:eastAsia="sans-serif"/>
                              <w:sz w:val="24"/>
                            </w:rPr>
                          </m:ctrlPr>
                        </m:e>
                        <m:sub>
                          <m:r>
                            <m:rPr/>
                            <w:rPr>
                              <w:rFonts w:hint="default" w:ascii="Cambria Math" w:hAnsi="Cambria Math" w:eastAsia="sans-serif"/>
                              <w:sz w:val="24"/>
                            </w:rPr>
                            <m:t>i</m:t>
                          </m:r>
                          <m:ctrlPr>
                            <w:rPr>
                              <w:rFonts w:ascii="Cambria Math" w:hAnsi="Cambria Math" w:eastAsia="sans-serif"/>
                              <w:sz w:val="24"/>
                            </w:rPr>
                          </m:ctrlPr>
                        </m:sub>
                        <m:sup>
                          <m:r>
                            <m:rPr/>
                            <w:rPr>
                              <w:rFonts w:hint="default" w:ascii="Cambria Math" w:hAnsi="Cambria Math" w:eastAsia="sans-serif"/>
                              <w:sz w:val="24"/>
                            </w:rPr>
                            <m:t>(G)</m:t>
                          </m:r>
                          <m:ctrlPr>
                            <w:rPr>
                              <w:rFonts w:ascii="Cambria Math" w:hAnsi="Cambria Math" w:eastAsia="sans-serif"/>
                              <w:sz w:val="24"/>
                            </w:rPr>
                          </m:ctrlPr>
                        </m:sup>
                      </m:sSubSup>
                      <m:r>
                        <m:rPr/>
                        <w:rPr>
                          <w:rFonts w:hint="default" w:ascii="Cambria Math" w:hAnsi="Cambria Math" w:eastAsia="sans-serif"/>
                          <w:sz w:val="24"/>
                        </w:rPr>
                        <m:t>,</m:t>
                      </m:r>
                      <m:sSubSup>
                        <m:sSubSupPr>
                          <m:ctrlPr>
                            <w:rPr>
                              <w:rFonts w:hint="default" w:ascii="Cambria Math" w:hAnsi="Cambria Math" w:eastAsia="sans-serif"/>
                              <w:sz w:val="24"/>
                            </w:rPr>
                          </m:ctrlPr>
                        </m:sSubSupPr>
                        <m:e>
                          <m:r>
                            <m:rPr/>
                            <w:rPr>
                              <w:rFonts w:hint="default" w:ascii="Cambria Math" w:hAnsi="Cambria Math" w:eastAsia="sans-serif"/>
                              <w:sz w:val="24"/>
                            </w:rPr>
                            <m:t>z</m:t>
                          </m:r>
                          <m:ctrlPr>
                            <w:rPr>
                              <w:rFonts w:ascii="Cambria Math" w:hAnsi="Cambria Math" w:eastAsia="sans-serif"/>
                              <w:sz w:val="24"/>
                            </w:rPr>
                          </m:ctrlPr>
                        </m:e>
                        <m:sub>
                          <m:r>
                            <m:rPr/>
                            <w:rPr>
                              <w:rFonts w:hint="default" w:ascii="Cambria Math" w:hAnsi="Cambria Math" w:eastAsia="sans-serif"/>
                              <w:sz w:val="24"/>
                            </w:rPr>
                            <m:t>i</m:t>
                          </m:r>
                          <m:ctrlPr>
                            <w:rPr>
                              <w:rFonts w:ascii="Cambria Math" w:hAnsi="Cambria Math" w:eastAsia="sans-serif"/>
                              <w:sz w:val="24"/>
                            </w:rPr>
                          </m:ctrlPr>
                        </m:sub>
                        <m:sup>
                          <m:r>
                            <m:rPr/>
                            <w:rPr>
                              <w:rFonts w:hint="default" w:ascii="Cambria Math" w:hAnsi="Cambria Math" w:eastAsia="sans-serif"/>
                              <w:sz w:val="24"/>
                            </w:rPr>
                            <m:t>(m)</m:t>
                          </m:r>
                          <m:ctrlPr>
                            <w:rPr>
                              <w:rFonts w:ascii="Cambria Math" w:hAnsi="Cambria Math" w:eastAsia="sans-serif"/>
                              <w:sz w:val="24"/>
                            </w:rPr>
                          </m:ctrlPr>
                        </m:sup>
                      </m:sSubSup>
                      <m:r>
                        <m:rPr/>
                        <w:rPr>
                          <w:rFonts w:hint="default" w:ascii="Cambria Math" w:hAnsi="Cambria Math" w:eastAsia="sans-serif"/>
                          <w:sz w:val="24"/>
                        </w:rPr>
                        <m:t>)/τ)</m:t>
                      </m:r>
                      <m:ctrlPr>
                        <w:rPr>
                          <w:rFonts w:hint="default" w:ascii="Cambria Math" w:hAnsi="Cambria Math" w:eastAsia="sans-serif"/>
                          <w:sz w:val="24"/>
                        </w:rPr>
                      </m:ctrlPr>
                    </m:num>
                    <m:den>
                      <m:nary>
                        <m:naryPr>
                          <m:chr m:val="∑"/>
                          <m:limLoc m:val="undOvr"/>
                          <m:ctrlPr>
                            <w:rPr>
                              <w:rFonts w:hint="default" w:ascii="Cambria Math" w:hAnsi="Cambria Math" w:eastAsia="sans-serif"/>
                              <w:i/>
                              <w:sz w:val="24"/>
                            </w:rPr>
                          </m:ctrlPr>
                        </m:naryPr>
                        <m:sub>
                          <m:r>
                            <m:rPr/>
                            <w:rPr>
                              <w:rFonts w:hint="default" w:ascii="Cambria Math" w:hAnsi="Cambria Math" w:eastAsia="sans-serif"/>
                              <w:sz w:val="24"/>
                            </w:rPr>
                            <m:t>j=1</m:t>
                          </m:r>
                          <m:ctrlPr>
                            <w:rPr>
                              <w:rFonts w:ascii="Cambria Math" w:hAnsi="Cambria Math" w:eastAsia="sans-serif"/>
                              <w:sz w:val="24"/>
                            </w:rPr>
                          </m:ctrlPr>
                        </m:sub>
                        <m:sup>
                          <m:r>
                            <m:rPr/>
                            <w:rPr>
                              <w:rFonts w:hint="default" w:ascii="Cambria Math" w:hAnsi="Cambria Math" w:eastAsia="sans-serif"/>
                              <w:sz w:val="24"/>
                            </w:rPr>
                            <m:t>B</m:t>
                          </m:r>
                          <m:ctrlPr>
                            <w:rPr>
                              <w:rFonts w:ascii="Cambria Math" w:hAnsi="Cambria Math" w:eastAsia="sans-serif"/>
                              <w:sz w:val="24"/>
                            </w:rPr>
                          </m:ctrlPr>
                        </m:sup>
                        <m:e>
                          <m:func>
                            <m:funcPr>
                              <m:ctrlPr>
                                <w:rPr>
                                  <w:rFonts w:hint="default" w:ascii="Cambria Math" w:hAnsi="Cambria Math" w:eastAsia="sans-serif"/>
                                  <w:sz w:val="24"/>
                                </w:rPr>
                              </m:ctrlPr>
                            </m:funcPr>
                            <m:fName>
                              <m:r>
                                <m:rPr>
                                  <m:sty m:val="p"/>
                                </m:rPr>
                                <w:rPr>
                                  <w:rFonts w:hint="default" w:ascii="Cambria Math" w:hAnsi="Cambria Math" w:eastAsia="sans-serif"/>
                                  <w:sz w:val="24"/>
                                </w:rPr>
                                <m:t>exp</m:t>
                              </m:r>
                              <m:ctrlPr>
                                <w:rPr>
                                  <w:rFonts w:ascii="Cambria Math" w:hAnsi="Cambria Math" w:eastAsia="sans-serif"/>
                                  <w:sz w:val="24"/>
                                </w:rPr>
                              </m:ctrlPr>
                            </m:fName>
                            <m:e>
                              <m:r>
                                <m:rPr/>
                                <w:rPr>
                                  <w:rFonts w:hint="default" w:ascii="Cambria Math" w:hAnsi="Cambria Math" w:eastAsia="sans-serif"/>
                                  <w:sz w:val="24"/>
                                </w:rPr>
                                <m:t>(</m:t>
                              </m:r>
                              <m:ctrlPr>
                                <w:rPr>
                                  <w:rFonts w:ascii="Cambria Math" w:hAnsi="Cambria Math" w:eastAsia="sans-serif"/>
                                  <w:sz w:val="24"/>
                                </w:rPr>
                              </m:ctrlPr>
                            </m:e>
                          </m:func>
                          <m:ctrlPr>
                            <w:rPr>
                              <w:rFonts w:hint="default" w:ascii="Cambria Math" w:hAnsi="Cambria Math" w:eastAsia="sans-serif"/>
                              <w:sz w:val="24"/>
                            </w:rPr>
                          </m:ctrlPr>
                        </m:e>
                      </m:nary>
                      <m:r>
                        <m:rPr/>
                        <w:rPr>
                          <w:rFonts w:hint="default" w:ascii="Cambria Math" w:hAnsi="Cambria Math" w:eastAsia="sans-serif"/>
                          <w:sz w:val="24"/>
                        </w:rPr>
                        <m:t>sim(</m:t>
                      </m:r>
                      <m:sSubSup>
                        <m:sSubSupPr>
                          <m:ctrlPr>
                            <w:rPr>
                              <w:rFonts w:hint="default" w:ascii="Cambria Math" w:hAnsi="Cambria Math" w:eastAsia="sans-serif"/>
                              <w:sz w:val="24"/>
                            </w:rPr>
                          </m:ctrlPr>
                        </m:sSubSupPr>
                        <m:e>
                          <m:r>
                            <m:rPr/>
                            <w:rPr>
                              <w:rFonts w:hint="default" w:ascii="Cambria Math" w:hAnsi="Cambria Math" w:eastAsia="sans-serif"/>
                              <w:sz w:val="24"/>
                            </w:rPr>
                            <m:t>z</m:t>
                          </m:r>
                          <m:ctrlPr>
                            <w:rPr>
                              <w:rFonts w:hint="default" w:ascii="Cambria Math" w:hAnsi="Cambria Math" w:eastAsia="sans-serif"/>
                              <w:sz w:val="24"/>
                            </w:rPr>
                          </m:ctrlPr>
                        </m:e>
                        <m:sub>
                          <m:r>
                            <m:rPr/>
                            <w:rPr>
                              <w:rFonts w:hint="default" w:ascii="Cambria Math" w:hAnsi="Cambria Math" w:eastAsia="sans-serif"/>
                              <w:sz w:val="24"/>
                            </w:rPr>
                            <m:t>i</m:t>
                          </m:r>
                          <m:ctrlPr>
                            <w:rPr>
                              <w:rFonts w:hint="default" w:ascii="Cambria Math" w:hAnsi="Cambria Math" w:eastAsia="sans-serif"/>
                              <w:sz w:val="24"/>
                            </w:rPr>
                          </m:ctrlPr>
                        </m:sub>
                        <m:sup>
                          <m:r>
                            <m:rPr/>
                            <w:rPr>
                              <w:rFonts w:hint="default" w:ascii="Cambria Math" w:hAnsi="Cambria Math" w:eastAsia="sans-serif"/>
                              <w:sz w:val="24"/>
                            </w:rPr>
                            <m:t>(G)</m:t>
                          </m:r>
                          <m:ctrlPr>
                            <w:rPr>
                              <w:rFonts w:hint="default" w:ascii="Cambria Math" w:hAnsi="Cambria Math" w:eastAsia="sans-serif"/>
                              <w:sz w:val="24"/>
                            </w:rPr>
                          </m:ctrlPr>
                        </m:sup>
                      </m:sSubSup>
                      <m:r>
                        <m:rPr/>
                        <w:rPr>
                          <w:rFonts w:hint="default" w:ascii="Cambria Math" w:hAnsi="Cambria Math" w:eastAsia="sans-serif"/>
                          <w:sz w:val="24"/>
                        </w:rPr>
                        <m:t>,</m:t>
                      </m:r>
                      <m:sSubSup>
                        <m:sSubSupPr>
                          <m:ctrlPr>
                            <w:rPr>
                              <w:rFonts w:hint="default" w:ascii="Cambria Math" w:hAnsi="Cambria Math" w:eastAsia="sans-serif"/>
                              <w:sz w:val="24"/>
                            </w:rPr>
                          </m:ctrlPr>
                        </m:sSubSupPr>
                        <m:e>
                          <m:r>
                            <m:rPr/>
                            <w:rPr>
                              <w:rFonts w:hint="default" w:ascii="Cambria Math" w:hAnsi="Cambria Math" w:eastAsia="sans-serif"/>
                              <w:sz w:val="24"/>
                            </w:rPr>
                            <m:t>z</m:t>
                          </m:r>
                          <m:ctrlPr>
                            <w:rPr>
                              <w:rFonts w:hint="default" w:ascii="Cambria Math" w:hAnsi="Cambria Math" w:eastAsia="sans-serif"/>
                              <w:sz w:val="24"/>
                            </w:rPr>
                          </m:ctrlPr>
                        </m:e>
                        <m:sub>
                          <m:r>
                            <m:rPr/>
                            <w:rPr>
                              <w:rFonts w:hint="default" w:ascii="Cambria Math" w:hAnsi="Cambria Math" w:eastAsia="sans-serif"/>
                              <w:sz w:val="24"/>
                            </w:rPr>
                            <m:t>j</m:t>
                          </m:r>
                          <m:ctrlPr>
                            <w:rPr>
                              <w:rFonts w:hint="default" w:ascii="Cambria Math" w:hAnsi="Cambria Math" w:eastAsia="sans-serif"/>
                              <w:sz w:val="24"/>
                            </w:rPr>
                          </m:ctrlPr>
                        </m:sub>
                        <m:sup>
                          <m:r>
                            <m:rPr/>
                            <w:rPr>
                              <w:rFonts w:hint="default" w:ascii="Cambria Math" w:hAnsi="Cambria Math" w:eastAsia="sans-serif"/>
                              <w:sz w:val="24"/>
                            </w:rPr>
                            <m:t>(m)</m:t>
                          </m:r>
                          <m:ctrlPr>
                            <w:rPr>
                              <w:rFonts w:hint="default" w:ascii="Cambria Math" w:hAnsi="Cambria Math" w:eastAsia="sans-serif"/>
                              <w:sz w:val="24"/>
                            </w:rPr>
                          </m:ctrlPr>
                        </m:sup>
                      </m:sSubSup>
                      <m:r>
                        <m:rPr/>
                        <w:rPr>
                          <w:rFonts w:hint="default" w:ascii="Cambria Math" w:hAnsi="Cambria Math" w:eastAsia="sans-serif"/>
                          <w:sz w:val="24"/>
                        </w:rPr>
                        <m:t>)/τ)</m:t>
                      </m:r>
                      <m:ctrlPr>
                        <w:rPr>
                          <w:rFonts w:hint="default" w:ascii="Cambria Math" w:hAnsi="Cambria Math" w:eastAsia="sans-serif"/>
                          <w:sz w:val="24"/>
                        </w:rPr>
                      </m:ctrlPr>
                    </m:den>
                  </m:f>
                  <m:ctrlPr>
                    <w:rPr>
                      <w:rFonts w:hint="default" w:ascii="Cambria Math" w:hAnsi="Cambria Math" w:eastAsia="sans-serif"/>
                      <w:i/>
                      <w:sz w:val="24"/>
                    </w:rPr>
                  </m:ctrlPr>
                </m:e>
              </m:func>
              <m:ctrlPr>
                <w:rPr>
                  <w:rFonts w:hint="default" w:ascii="Cambria Math" w:hAnsi="Cambria Math" w:eastAsia="sans-serif"/>
                  <w:sz w:val="24"/>
                </w:rPr>
              </m:ctrlPr>
            </m:e>
          </m:nary>
        </m:oMath>
      </m:oMathPara>
    </w:p>
    <w:p w14:paraId="0AF73DE8">
      <w:pPr>
        <w:keepNext w:val="0"/>
        <w:keepLines w:val="0"/>
        <w:pageBreakBefore w:val="0"/>
        <w:widowControl w:val="0"/>
        <w:kinsoku/>
        <w:wordWrap/>
        <w:overflowPunct/>
        <w:topLinePunct w:val="0"/>
        <w:autoSpaceDE/>
        <w:autoSpaceDN/>
        <w:bidi w:val="0"/>
        <w:adjustRightInd/>
        <w:snapToGrid/>
        <w:spacing w:beforeAutospacing="0" w:afterAutospacing="0" w:line="360" w:lineRule="auto"/>
        <w:textAlignment w:val="auto"/>
        <w:rPr>
          <w:rFonts w:hint="eastAsia"/>
          <w:lang w:val="en-US" w:eastAsia="zh-CN"/>
        </w:rPr>
      </w:pPr>
      <w:r>
        <w:rPr>
          <w:rFonts w:hint="eastAsia"/>
          <w:lang w:val="en-US" w:eastAsia="zh-CN"/>
        </w:rPr>
        <w:t>在联合优化三个对齐任务</w:t>
      </w:r>
      <m:oMath>
        <m:r>
          <m:rPr>
            <m:sty m:val="p"/>
          </m:rPr>
          <w:rPr>
            <w:rFonts w:hint="default" w:ascii="Cambria Math"/>
          </w:rPr>
          <m:t>（</m:t>
        </m:r>
        <m:r>
          <m:rPr/>
          <w:rPr>
            <w:rFonts w:hint="default" w:ascii="Cambria Math"/>
          </w:rPr>
          <m:t>G↔S</m:t>
        </m:r>
        <m:r>
          <m:rPr>
            <m:sty m:val="p"/>
          </m:rPr>
          <w:rPr>
            <w:rFonts w:hint="default" w:ascii="Cambria Math"/>
          </w:rPr>
          <m:t>，</m:t>
        </m:r>
        <m:r>
          <m:rPr/>
          <w:rPr>
            <w:rFonts w:hint="default" w:ascii="Cambria Math"/>
          </w:rPr>
          <m:t>G↔F</m:t>
        </m:r>
        <m:r>
          <m:rPr>
            <m:sty m:val="p"/>
          </m:rPr>
          <w:rPr>
            <w:rFonts w:hint="default" w:ascii="Cambria Math"/>
          </w:rPr>
          <m:t>，</m:t>
        </m:r>
        <m:r>
          <m:rPr/>
          <w:rPr>
            <w:rFonts w:hint="default" w:ascii="Cambria Math"/>
          </w:rPr>
          <m:t>G↔T</m:t>
        </m:r>
        <m:r>
          <m:rPr>
            <m:sty m:val="p"/>
          </m:rPr>
          <w:rPr>
            <w:rFonts w:hint="default" w:ascii="Cambria Math"/>
          </w:rPr>
          <m:t>）</m:t>
        </m:r>
      </m:oMath>
      <w:r>
        <w:rPr>
          <w:rFonts w:hint="eastAsia"/>
          <w:lang w:val="en-US" w:eastAsia="zh-CN"/>
        </w:rPr>
        <w:t>时，由于各模态的信息熵与噪声水平存在显著差异，采用静态等权重加权（如</w:t>
      </w:r>
      <m:oMath>
        <m:r>
          <m:rPr/>
          <w:rPr>
            <w:rFonts w:hint="default" w:ascii="Cambria Math"/>
          </w:rPr>
          <m:t>1:1:1</m:t>
        </m:r>
      </m:oMath>
      <w:r>
        <w:rPr>
          <w:rFonts w:hint="eastAsia"/>
          <w:lang w:val="en-US" w:eastAsia="zh-CN"/>
        </w:rPr>
        <w:t>）往往难以达到最优收敛状态。特别是文本描述模态，由于LLM生成的自然语言具有更强的语义抽象性，其损失函数的量级与梯度方向可能与其他模态产生剧烈冲突。为此，本文借鉴同方差不确定性理论，通过为每个对齐任务引入可学习的噪声参数</w:t>
      </w:r>
      <m:oMath>
        <m:sSub>
          <m:sSubPr>
            <m:ctrlPr>
              <w:rPr>
                <w:rFonts w:hint="default" w:ascii="Cambria Math"/>
              </w:rPr>
            </m:ctrlPr>
          </m:sSubPr>
          <m:e>
            <m:r>
              <m:rPr/>
              <w:rPr>
                <w:rFonts w:hint="default" w:ascii="Cambria Math"/>
              </w:rPr>
              <m:t>σ</m:t>
            </m:r>
            <m:ctrlPr>
              <w:rPr>
                <w:rFonts w:hint="default" w:ascii="Cambria Math"/>
              </w:rPr>
            </m:ctrlPr>
          </m:e>
          <m:sub>
            <m:r>
              <m:rPr/>
              <w:rPr>
                <w:rFonts w:hint="default" w:ascii="Cambria Math"/>
              </w:rPr>
              <m:t>m</m:t>
            </m:r>
            <m:ctrlPr>
              <w:rPr>
                <w:rFonts w:hint="default" w:ascii="Cambria Math"/>
              </w:rPr>
            </m:ctrlPr>
          </m:sub>
        </m:sSub>
      </m:oMath>
      <w:r>
        <w:rPr>
          <w:rFonts w:hint="eastAsia"/>
          <w:lang w:val="en-US" w:eastAsia="zh-CN"/>
        </w:rPr>
        <w:t>，构建自适应加权损失函数：</w:t>
      </w:r>
    </w:p>
    <w:p w14:paraId="1B04EC56">
      <w:pPr>
        <w:keepNext w:val="0"/>
        <w:keepLines w:val="0"/>
        <w:pageBreakBefore w:val="0"/>
        <w:widowControl/>
        <w:suppressLineNumbers w:val="0"/>
        <w:kinsoku/>
        <w:wordWrap/>
        <w:overflowPunct/>
        <w:topLinePunct w:val="0"/>
        <w:autoSpaceDE/>
        <w:autoSpaceDN/>
        <w:bidi w:val="0"/>
        <w:adjustRightInd/>
        <w:snapToGrid/>
        <w:spacing w:before="0" w:beforeAutospacing="0" w:afterAutospacing="0" w:line="14" w:lineRule="atLeast"/>
        <w:jc w:val="left"/>
        <w:textAlignment w:val="auto"/>
        <w:rPr>
          <w:rFonts w:hint="default" w:hAnsi="Cambria Math" w:eastAsia="sans-serif"/>
          <w:i w:val="0"/>
          <w:sz w:val="24"/>
        </w:rPr>
      </w:pPr>
      <m:oMathPara>
        <m:oMath>
          <m:sSub>
            <m:sSubPr>
              <m:ctrlPr>
                <w:rPr>
                  <w:rFonts w:hint="default" w:ascii="Cambria Math" w:hAnsi="Cambria Math" w:eastAsia="sans-serif"/>
                  <w:sz w:val="24"/>
                </w:rPr>
              </m:ctrlPr>
            </m:sSubPr>
            <m:e>
              <m:r>
                <m:rPr>
                  <m:scr m:val="script"/>
                </m:rPr>
                <w:rPr>
                  <w:rFonts w:hint="default" w:ascii="Cambria Math" w:hAnsi="Cambria Math" w:eastAsia="MS Mincho"/>
                  <w:sz w:val="24"/>
                </w:rPr>
                <m:t>ℒ</m:t>
              </m:r>
              <m:ctrlPr>
                <w:rPr>
                  <w:rFonts w:ascii="Cambria Math" w:hAnsi="Cambria Math" w:eastAsia="sans-serif"/>
                  <w:sz w:val="24"/>
                </w:rPr>
              </m:ctrlPr>
            </m:e>
            <m:sub>
              <m:r>
                <m:rPr/>
                <w:rPr>
                  <w:rFonts w:hint="default" w:ascii="Cambria Math" w:hAnsi="Cambria Math" w:eastAsia="sans-serif"/>
                  <w:sz w:val="24"/>
                </w:rPr>
                <m:t>total</m:t>
              </m:r>
              <m:ctrlPr>
                <w:rPr>
                  <w:rFonts w:ascii="Cambria Math" w:hAnsi="Cambria Math" w:eastAsia="sans-serif"/>
                  <w:sz w:val="24"/>
                </w:rPr>
              </m:ctrlPr>
            </m:sub>
          </m:sSub>
          <m:r>
            <m:rPr/>
            <w:rPr>
              <w:rFonts w:hint="default" w:ascii="Cambria Math" w:hAnsi="Cambria Math" w:eastAsia="sans-serif"/>
              <w:sz w:val="24"/>
            </w:rPr>
            <m:t>=</m:t>
          </m:r>
          <m:nary>
            <m:naryPr>
              <m:chr m:val="∑"/>
              <m:limLoc m:val="undOvr"/>
              <m:supHide m:val="1"/>
              <m:ctrlPr>
                <w:rPr>
                  <w:rFonts w:hint="default" w:ascii="Cambria Math" w:hAnsi="Cambria Math" w:eastAsia="sans-serif"/>
                  <w:i/>
                  <w:sz w:val="24"/>
                </w:rPr>
              </m:ctrlPr>
            </m:naryPr>
            <m:sub>
              <m:r>
                <m:rPr/>
                <w:rPr>
                  <w:rFonts w:hint="default" w:ascii="Cambria Math" w:hAnsi="Cambria Math" w:eastAsia="sans-serif"/>
                  <w:sz w:val="24"/>
                </w:rPr>
                <m:t>m∈{S,F,T}</m:t>
              </m:r>
              <m:ctrlPr>
                <w:rPr>
                  <w:rFonts w:ascii="Cambria Math" w:hAnsi="Cambria Math" w:eastAsia="sans-serif"/>
                  <w:sz w:val="24"/>
                </w:rPr>
              </m:ctrlPr>
            </m:sub>
            <m:sup>
              <m:ctrlPr>
                <w:rPr>
                  <w:rFonts w:ascii="Cambria Math" w:hAnsi="Cambria Math" w:eastAsia="sans-serif"/>
                  <w:sz w:val="24"/>
                </w:rPr>
              </m:ctrlPr>
            </m:sup>
            <m:e>
              <m:d>
                <m:dPr>
                  <m:ctrlPr>
                    <w:rPr>
                      <w:rFonts w:hint="default" w:ascii="Cambria Math" w:hAnsi="Cambria Math" w:eastAsia="sans-serif"/>
                      <w:i/>
                      <w:sz w:val="24"/>
                    </w:rPr>
                  </m:ctrlPr>
                </m:dPr>
                <m:e>
                  <m:f>
                    <m:fPr>
                      <m:ctrlPr>
                        <w:rPr>
                          <w:rFonts w:hint="default" w:ascii="Cambria Math" w:hAnsi="Cambria Math" w:eastAsia="sans-serif"/>
                          <w:i/>
                          <w:sz w:val="24"/>
                        </w:rPr>
                      </m:ctrlPr>
                    </m:fPr>
                    <m:num>
                      <m:r>
                        <m:rPr/>
                        <w:rPr>
                          <w:rFonts w:hint="default" w:ascii="Cambria Math" w:hAnsi="Cambria Math" w:eastAsia="sans-serif"/>
                          <w:sz w:val="24"/>
                        </w:rPr>
                        <m:t>1</m:t>
                      </m:r>
                      <m:ctrlPr>
                        <w:rPr>
                          <w:rFonts w:ascii="Cambria Math" w:hAnsi="Cambria Math" w:eastAsia="sans-serif"/>
                          <w:sz w:val="24"/>
                        </w:rPr>
                      </m:ctrlPr>
                    </m:num>
                    <m:den>
                      <m:r>
                        <m:rPr/>
                        <w:rPr>
                          <w:rFonts w:hint="default" w:ascii="Cambria Math" w:hAnsi="Cambria Math" w:eastAsia="sans-serif"/>
                          <w:sz w:val="24"/>
                        </w:rPr>
                        <m:t>2</m:t>
                      </m:r>
                      <m:sSubSup>
                        <m:sSubSupPr>
                          <m:ctrlPr>
                            <w:rPr>
                              <w:rFonts w:hint="default" w:ascii="Cambria Math" w:hAnsi="Cambria Math" w:eastAsia="sans-serif"/>
                              <w:sz w:val="24"/>
                            </w:rPr>
                          </m:ctrlPr>
                        </m:sSubSupPr>
                        <m:e>
                          <m:r>
                            <m:rPr/>
                            <w:rPr>
                              <w:rFonts w:hint="default" w:ascii="Cambria Math" w:hAnsi="Cambria Math" w:eastAsia="sans-serif"/>
                              <w:sz w:val="24"/>
                            </w:rPr>
                            <m:t>σ</m:t>
                          </m:r>
                          <m:ctrlPr>
                            <w:rPr>
                              <w:rFonts w:ascii="Cambria Math" w:hAnsi="Cambria Math" w:eastAsia="sans-serif"/>
                              <w:sz w:val="24"/>
                            </w:rPr>
                          </m:ctrlPr>
                        </m:e>
                        <m:sub>
                          <m:r>
                            <m:rPr/>
                            <w:rPr>
                              <w:rFonts w:hint="default" w:ascii="Cambria Math" w:hAnsi="Cambria Math" w:eastAsia="sans-serif"/>
                              <w:sz w:val="24"/>
                            </w:rPr>
                            <m:t>m</m:t>
                          </m:r>
                          <m:ctrlPr>
                            <w:rPr>
                              <w:rFonts w:ascii="Cambria Math" w:hAnsi="Cambria Math" w:eastAsia="sans-serif"/>
                              <w:sz w:val="24"/>
                            </w:rPr>
                          </m:ctrlPr>
                        </m:sub>
                        <m:sup>
                          <m:r>
                            <m:rPr/>
                            <w:rPr>
                              <w:rFonts w:hint="default" w:ascii="Cambria Math" w:hAnsi="Cambria Math" w:eastAsia="sans-serif"/>
                              <w:sz w:val="24"/>
                            </w:rPr>
                            <m:t>2</m:t>
                          </m:r>
                          <m:ctrlPr>
                            <w:rPr>
                              <w:rFonts w:ascii="Cambria Math" w:hAnsi="Cambria Math" w:eastAsia="sans-serif"/>
                              <w:sz w:val="24"/>
                            </w:rPr>
                          </m:ctrlPr>
                        </m:sup>
                      </m:sSubSup>
                      <m:ctrlPr>
                        <w:rPr>
                          <w:rFonts w:hint="default" w:ascii="Cambria Math" w:hAnsi="Cambria Math" w:eastAsia="sans-serif"/>
                          <w:sz w:val="24"/>
                        </w:rPr>
                      </m:ctrlPr>
                    </m:den>
                  </m:f>
                  <m:sSub>
                    <m:sSubPr>
                      <m:ctrlPr>
                        <w:rPr>
                          <w:rFonts w:hint="default" w:ascii="Cambria Math" w:hAnsi="Cambria Math" w:eastAsia="sans-serif"/>
                          <w:sz w:val="24"/>
                        </w:rPr>
                      </m:ctrlPr>
                    </m:sSubPr>
                    <m:e>
                      <m:r>
                        <m:rPr>
                          <m:scr m:val="script"/>
                        </m:rPr>
                        <w:rPr>
                          <w:rFonts w:hint="default" w:ascii="Cambria Math" w:hAnsi="Cambria Math" w:eastAsia="MS Mincho"/>
                          <w:sz w:val="24"/>
                        </w:rPr>
                        <m:t>ℒ</m:t>
                      </m:r>
                      <m:ctrlPr>
                        <w:rPr>
                          <w:rFonts w:hint="default" w:ascii="Cambria Math" w:hAnsi="Cambria Math" w:eastAsia="sans-serif"/>
                          <w:sz w:val="24"/>
                        </w:rPr>
                      </m:ctrlPr>
                    </m:e>
                    <m:sub>
                      <m:r>
                        <m:rPr/>
                        <w:rPr>
                          <w:rFonts w:hint="default" w:ascii="Cambria Math" w:hAnsi="Cambria Math" w:eastAsia="sans-serif"/>
                          <w:sz w:val="24"/>
                        </w:rPr>
                        <m:t>G,m</m:t>
                      </m:r>
                      <m:ctrlPr>
                        <w:rPr>
                          <w:rFonts w:hint="default" w:ascii="Cambria Math" w:hAnsi="Cambria Math" w:eastAsia="sans-serif"/>
                          <w:sz w:val="24"/>
                        </w:rPr>
                      </m:ctrlPr>
                    </m:sub>
                  </m:sSub>
                  <m:r>
                    <m:rPr/>
                    <w:rPr>
                      <w:rFonts w:hint="default" w:ascii="Cambria Math" w:hAnsi="Cambria Math" w:eastAsia="sans-serif"/>
                      <w:sz w:val="24"/>
                    </w:rPr>
                    <m:t>+</m:t>
                  </m:r>
                  <m:func>
                    <m:funcPr>
                      <m:ctrlPr>
                        <w:rPr>
                          <w:rFonts w:hint="default" w:ascii="Cambria Math" w:hAnsi="Cambria Math" w:eastAsia="sans-serif"/>
                          <w:sz w:val="24"/>
                        </w:rPr>
                      </m:ctrlPr>
                    </m:funcPr>
                    <m:fName>
                      <m:r>
                        <m:rPr>
                          <m:sty m:val="p"/>
                        </m:rPr>
                        <w:rPr>
                          <w:rFonts w:hint="default" w:ascii="Cambria Math" w:hAnsi="Cambria Math" w:eastAsia="sans-serif"/>
                          <w:sz w:val="24"/>
                        </w:rPr>
                        <m:t>log</m:t>
                      </m:r>
                      <m:ctrlPr>
                        <w:rPr>
                          <w:rFonts w:hint="default" w:ascii="Cambria Math" w:hAnsi="Cambria Math" w:eastAsia="sans-serif"/>
                          <w:sz w:val="24"/>
                        </w:rPr>
                      </m:ctrlPr>
                    </m:fName>
                    <m:e>
                      <m:sSub>
                        <m:sSubPr>
                          <m:ctrlPr>
                            <w:rPr>
                              <w:rFonts w:hint="default" w:ascii="Cambria Math" w:hAnsi="Cambria Math" w:eastAsia="sans-serif"/>
                              <w:sz w:val="24"/>
                            </w:rPr>
                          </m:ctrlPr>
                        </m:sSubPr>
                        <m:e>
                          <m:r>
                            <m:rPr/>
                            <w:rPr>
                              <w:rFonts w:hint="default" w:ascii="Cambria Math" w:hAnsi="Cambria Math" w:eastAsia="sans-serif"/>
                              <w:sz w:val="24"/>
                            </w:rPr>
                            <m:t>σ</m:t>
                          </m:r>
                          <m:ctrlPr>
                            <w:rPr>
                              <w:rFonts w:ascii="Cambria Math" w:hAnsi="Cambria Math" w:eastAsia="sans-serif"/>
                              <w:sz w:val="24"/>
                            </w:rPr>
                          </m:ctrlPr>
                        </m:e>
                        <m:sub>
                          <m:r>
                            <m:rPr/>
                            <w:rPr>
                              <w:rFonts w:hint="default" w:ascii="Cambria Math" w:hAnsi="Cambria Math" w:eastAsia="sans-serif"/>
                              <w:sz w:val="24"/>
                            </w:rPr>
                            <m:t>m</m:t>
                          </m:r>
                          <m:ctrlPr>
                            <w:rPr>
                              <w:rFonts w:ascii="Cambria Math" w:hAnsi="Cambria Math" w:eastAsia="sans-serif"/>
                              <w:sz w:val="24"/>
                            </w:rPr>
                          </m:ctrlPr>
                        </m:sub>
                      </m:sSub>
                      <m:ctrlPr>
                        <w:rPr>
                          <w:rFonts w:hint="default" w:ascii="Cambria Math" w:hAnsi="Cambria Math" w:eastAsia="sans-serif"/>
                          <w:sz w:val="24"/>
                        </w:rPr>
                      </m:ctrlPr>
                    </m:e>
                  </m:func>
                  <m:ctrlPr>
                    <w:rPr>
                      <w:rFonts w:hint="default" w:ascii="Cambria Math" w:hAnsi="Cambria Math" w:eastAsia="sans-serif"/>
                      <w:sz w:val="24"/>
                    </w:rPr>
                  </m:ctrlPr>
                </m:e>
              </m:d>
              <m:ctrlPr>
                <w:rPr>
                  <w:rFonts w:hint="default" w:ascii="Cambria Math" w:hAnsi="Cambria Math" w:eastAsia="sans-serif"/>
                  <w:i/>
                  <w:sz w:val="24"/>
                </w:rPr>
              </m:ctrlPr>
            </m:e>
          </m:nary>
        </m:oMath>
      </m:oMathPara>
    </w:p>
    <w:p w14:paraId="6A3C81BB">
      <w:pPr>
        <w:bidi w:val="0"/>
        <w:rPr>
          <w:rFonts w:hint="eastAsia"/>
          <w:lang w:val="en-US" w:eastAsia="zh-CN"/>
        </w:rPr>
      </w:pPr>
      <w:r>
        <w:rPr>
          <w:rFonts w:hint="eastAsia"/>
          <w:lang w:val="en-US" w:eastAsia="zh-CN"/>
        </w:rPr>
        <w:t>在该机制下：</w:t>
      </w:r>
    </w:p>
    <w:p w14:paraId="5E1A4EAC">
      <w:pPr>
        <w:bidi w:val="0"/>
        <w:rPr>
          <w:rFonts w:hint="eastAsia"/>
          <w:lang w:val="en-US" w:eastAsia="zh-CN"/>
        </w:rPr>
      </w:pPr>
      <w:r>
        <w:rPr>
          <w:rFonts w:hint="eastAsia"/>
          <w:lang w:val="en-US" w:eastAsia="zh-CN"/>
        </w:rPr>
        <w:t>自适应权重调节：</w:t>
      </w:r>
      <m:oMath>
        <m:f>
          <m:fPr>
            <m:ctrlPr>
              <w:rPr>
                <w:rFonts w:hint="default" w:ascii="Cambria Math" w:hAnsi="Cambria Math"/>
              </w:rPr>
            </m:ctrlPr>
          </m:fPr>
          <m:num>
            <m:r>
              <m:rPr>
                <m:sty m:val="p"/>
              </m:rPr>
              <w:rPr>
                <w:rFonts w:hint="default" w:ascii="Times New Roman" w:hAnsi="Times New Roman"/>
              </w:rPr>
              <m:t>1</m:t>
            </m:r>
            <m:ctrlPr>
              <w:rPr>
                <w:rFonts w:hint="default" w:ascii="Cambria Math" w:hAnsi="Cambria Math"/>
              </w:rPr>
            </m:ctrlPr>
          </m:num>
          <m:den>
            <m:r>
              <m:rPr>
                <m:sty m:val="p"/>
              </m:rPr>
              <w:rPr>
                <w:rFonts w:hint="default" w:ascii="Times New Roman" w:hAnsi="Times New Roman"/>
              </w:rPr>
              <m:t>2</m:t>
            </m:r>
            <m:sSubSup>
              <m:sSubSupPr>
                <m:ctrlPr>
                  <w:rPr>
                    <w:rFonts w:hint="default" w:ascii="Cambria Math" w:hAnsi="Cambria Math"/>
                  </w:rPr>
                </m:ctrlPr>
              </m:sSubSupPr>
              <m:e>
                <m:r>
                  <m:rPr>
                    <m:sty m:val="p"/>
                  </m:rPr>
                  <w:rPr>
                    <w:rFonts w:hint="default" w:ascii="Times New Roman" w:hAnsi="Times New Roman"/>
                  </w:rPr>
                  <m:t>σ</m:t>
                </m:r>
                <m:ctrlPr>
                  <w:rPr>
                    <w:rFonts w:hint="default" w:ascii="Cambria Math" w:hAnsi="Cambria Math"/>
                  </w:rPr>
                </m:ctrlPr>
              </m:e>
              <m:sub>
                <m:r>
                  <m:rPr>
                    <m:sty m:val="p"/>
                  </m:rPr>
                  <w:rPr>
                    <w:rFonts w:hint="default" w:ascii="Times New Roman" w:hAnsi="Times New Roman"/>
                  </w:rPr>
                  <m:t>m</m:t>
                </m:r>
                <m:ctrlPr>
                  <w:rPr>
                    <w:rFonts w:hint="default" w:ascii="Cambria Math" w:hAnsi="Cambria Math"/>
                  </w:rPr>
                </m:ctrlPr>
              </m:sub>
              <m:sup>
                <m:r>
                  <m:rPr>
                    <m:sty m:val="p"/>
                  </m:rPr>
                  <w:rPr>
                    <w:rFonts w:hint="default" w:ascii="Times New Roman" w:hAnsi="Times New Roman"/>
                  </w:rPr>
                  <m:t>2</m:t>
                </m:r>
                <m:ctrlPr>
                  <w:rPr>
                    <w:rFonts w:hint="default" w:ascii="Cambria Math" w:hAnsi="Cambria Math"/>
                  </w:rPr>
                </m:ctrlPr>
              </m:sup>
            </m:sSubSup>
            <m:ctrlPr>
              <w:rPr>
                <w:rFonts w:hint="default" w:ascii="Cambria Math" w:hAnsi="Cambria Math"/>
              </w:rPr>
            </m:ctrlPr>
          </m:den>
        </m:f>
      </m:oMath>
      <w:r>
        <w:rPr>
          <w:rFonts w:hint="eastAsia"/>
          <w:lang w:val="en-US" w:eastAsia="zh-CN"/>
        </w:rPr>
        <w:t>项充当动态权重。当某一模态对齐任务表现出较高的不确定性或存在较大噪声时，模型会自动增大</w:t>
      </w:r>
      <m:oMath>
        <m:sSub>
          <m:sSubPr>
            <m:ctrlPr>
              <w:rPr>
                <w:rFonts w:hint="default" w:ascii="Cambria Math" w:hAnsi="Cambria Math"/>
              </w:rPr>
            </m:ctrlPr>
          </m:sSubPr>
          <m:e>
            <m:r>
              <m:rPr>
                <m:sty m:val="p"/>
              </m:rPr>
              <w:rPr>
                <w:rFonts w:hint="default" w:ascii="Times New Roman" w:hAnsi="Times New Roman"/>
              </w:rPr>
              <m:t>σ</m:t>
            </m:r>
            <m:ctrlPr>
              <w:rPr>
                <w:rFonts w:hint="default" w:ascii="Cambria Math" w:hAnsi="Cambria Math"/>
              </w:rPr>
            </m:ctrlPr>
          </m:e>
          <m:sub>
            <m:r>
              <m:rPr>
                <m:sty m:val="p"/>
              </m:rPr>
              <w:rPr>
                <w:rFonts w:hint="default" w:ascii="Times New Roman" w:hAnsi="Times New Roman"/>
              </w:rPr>
              <m:t>m</m:t>
            </m:r>
            <m:ctrlPr>
              <w:rPr>
                <w:rFonts w:hint="default" w:ascii="Cambria Math" w:hAnsi="Cambria Math"/>
              </w:rPr>
            </m:ctrlPr>
          </m:sub>
        </m:sSub>
      </m:oMath>
      <w:r>
        <w:rPr>
          <w:rFonts w:hint="eastAsia"/>
          <w:lang w:val="en-US" w:eastAsia="zh-CN"/>
        </w:rPr>
        <w:t>以降低该任务对总梯度的贡献。</w:t>
      </w:r>
    </w:p>
    <w:p w14:paraId="4E13DDCB">
      <w:pPr>
        <w:bidi w:val="0"/>
        <w:rPr>
          <w:rFonts w:hint="eastAsia"/>
          <w:lang w:val="en-US" w:eastAsia="zh-CN"/>
        </w:rPr>
      </w:pPr>
      <w:r>
        <w:rPr>
          <w:rFonts w:hint="eastAsia"/>
          <w:lang w:val="en-US" w:eastAsia="zh-CN"/>
        </w:rPr>
        <w:t>正则化约束：</w:t>
      </w:r>
      <m:oMath>
        <m:func>
          <m:funcPr>
            <m:ctrlPr>
              <w:rPr>
                <w:rFonts w:hint="default" w:ascii="Cambria Math" w:hAnsi="Cambria Math"/>
              </w:rPr>
            </m:ctrlPr>
          </m:funcPr>
          <m:fName>
            <m:r>
              <m:rPr>
                <m:sty m:val="p"/>
              </m:rPr>
              <w:rPr>
                <w:rFonts w:hint="default" w:ascii="Times New Roman" w:hAnsi="Times New Roman"/>
              </w:rPr>
              <m:t>log</m:t>
            </m:r>
            <m:ctrlPr>
              <w:rPr>
                <w:rFonts w:hint="default" w:ascii="Cambria Math" w:hAnsi="Cambria Math"/>
              </w:rPr>
            </m:ctrlPr>
          </m:fName>
          <m:e>
            <m:sSub>
              <m:sSubPr>
                <m:ctrlPr>
                  <w:rPr>
                    <w:rFonts w:hint="default" w:ascii="Cambria Math" w:hAnsi="Cambria Math"/>
                  </w:rPr>
                </m:ctrlPr>
              </m:sSubPr>
              <m:e>
                <m:r>
                  <m:rPr>
                    <m:sty m:val="p"/>
                  </m:rPr>
                  <w:rPr>
                    <w:rFonts w:hint="default" w:ascii="Times New Roman" w:hAnsi="Times New Roman"/>
                  </w:rPr>
                  <m:t>σ</m:t>
                </m:r>
                <m:ctrlPr>
                  <w:rPr>
                    <w:rFonts w:hint="default" w:ascii="Cambria Math" w:hAnsi="Cambria Math"/>
                  </w:rPr>
                </m:ctrlPr>
              </m:e>
              <m:sub>
                <m:r>
                  <m:rPr>
                    <m:sty m:val="p"/>
                  </m:rPr>
                  <w:rPr>
                    <w:rFonts w:hint="default" w:ascii="Times New Roman" w:hAnsi="Times New Roman"/>
                  </w:rPr>
                  <m:t>m</m:t>
                </m:r>
                <m:ctrlPr>
                  <w:rPr>
                    <w:rFonts w:hint="default" w:ascii="Cambria Math" w:hAnsi="Cambria Math"/>
                  </w:rPr>
                </m:ctrlPr>
              </m:sub>
            </m:sSub>
            <m:ctrlPr>
              <w:rPr>
                <w:rFonts w:hint="default" w:ascii="Cambria Math" w:hAnsi="Cambria Math"/>
              </w:rPr>
            </m:ctrlPr>
          </m:e>
        </m:func>
      </m:oMath>
      <w:r>
        <w:rPr>
          <w:rFonts w:hint="eastAsia"/>
          <w:lang w:val="en-US" w:eastAsia="zh-CN"/>
        </w:rPr>
        <w:t>项作为正则化因子，防止</w:t>
      </w:r>
      <m:oMath>
        <m:sSub>
          <m:sSubPr>
            <m:ctrlPr>
              <w:rPr>
                <w:rFonts w:hint="default" w:ascii="Cambria Math" w:hAnsi="Cambria Math"/>
              </w:rPr>
            </m:ctrlPr>
          </m:sSubPr>
          <m:e>
            <m:r>
              <m:rPr>
                <m:sty m:val="p"/>
              </m:rPr>
              <w:rPr>
                <w:rFonts w:hint="default" w:ascii="Times New Roman" w:hAnsi="Times New Roman"/>
              </w:rPr>
              <m:t>σ</m:t>
            </m:r>
            <m:ctrlPr>
              <w:rPr>
                <w:rFonts w:hint="default" w:ascii="Cambria Math" w:hAnsi="Cambria Math"/>
              </w:rPr>
            </m:ctrlPr>
          </m:e>
          <m:sub>
            <m:r>
              <m:rPr>
                <m:sty m:val="p"/>
              </m:rPr>
              <w:rPr>
                <w:rFonts w:hint="default" w:ascii="Times New Roman" w:hAnsi="Times New Roman"/>
              </w:rPr>
              <m:t>m</m:t>
            </m:r>
            <m:ctrlPr>
              <w:rPr>
                <w:rFonts w:hint="default" w:ascii="Cambria Math" w:hAnsi="Cambria Math"/>
              </w:rPr>
            </m:ctrlPr>
          </m:sub>
        </m:sSub>
      </m:oMath>
      <w:r>
        <w:rPr>
          <w:rFonts w:hint="eastAsia"/>
          <w:lang w:val="en-US" w:eastAsia="zh-CN"/>
        </w:rPr>
        <w:t>无限增大导致权重坍塌，迫使模型在“降低噪声影响”与“维持任务增益”之间寻求平衡。</w:t>
      </w:r>
    </w:p>
    <w:p w14:paraId="7692B78E">
      <w:pPr>
        <w:bidi w:val="0"/>
        <w:rPr>
          <w:rFonts w:hint="eastAsia"/>
          <w:lang w:val="en-US" w:eastAsia="zh-CN"/>
        </w:rPr>
      </w:pPr>
      <w:r>
        <w:rPr>
          <w:rFonts w:hint="eastAsia"/>
          <w:lang w:val="en-US" w:eastAsia="zh-CN"/>
        </w:rPr>
        <w:t>通过这种方式，模型能够在预训练过程中自主识别各模态的可靠性，优先学习确定性较强的结构关联，例如图模态和SMILES模态，并平滑处理复杂语义对齐，例如图模态和文本模态，从而显著提升了多模态表征的稳健性与收敛效率。</w:t>
      </w:r>
    </w:p>
    <w:p w14:paraId="4F115F04">
      <w:pPr>
        <w:pStyle w:val="4"/>
        <w:bidi w:val="0"/>
        <w:rPr>
          <w:rFonts w:hint="default"/>
          <w:lang w:val="en-US" w:eastAsia="zh-CN"/>
        </w:rPr>
      </w:pPr>
      <w:r>
        <w:rPr>
          <w:rFonts w:hint="eastAsia"/>
          <w:lang w:val="en-US" w:eastAsia="zh-CN"/>
        </w:rPr>
        <w:t>对比模型</w:t>
      </w:r>
    </w:p>
    <w:p w14:paraId="2CEAC2CF">
      <w:pPr>
        <w:bidi w:val="0"/>
        <w:rPr>
          <w:rFonts w:hint="default"/>
          <w:lang w:val="en-US" w:eastAsia="zh-CN"/>
        </w:rPr>
      </w:pPr>
      <w:r>
        <w:rPr>
          <w:rFonts w:hint="default"/>
          <w:lang w:val="en-US" w:eastAsia="zh-CN"/>
        </w:rPr>
        <w:t>Mol2Vec：受 NLP 中的 Word2Vec 启发，该方法将分子结构拆分为若干子结构并将其视为“词语”。通过在大量分子数据上运行 Skip-gram 算法进行无监督训练，学习子结构的向量表示，最终通过聚合这些向量获得分子的整体表示。</w:t>
      </w:r>
    </w:p>
    <w:p w14:paraId="58FF646A">
      <w:pPr>
        <w:bidi w:val="0"/>
        <w:rPr>
          <w:rFonts w:hint="default"/>
          <w:lang w:val="en-US" w:eastAsia="zh-CN"/>
        </w:rPr>
      </w:pPr>
      <w:r>
        <w:rPr>
          <w:rFonts w:hint="default"/>
          <w:lang w:val="en-US" w:eastAsia="zh-CN"/>
        </w:rPr>
        <w:t>N-Gram：一种基于分子拓扑特征的方法，将分子表示为由连续 $N$ 个化学键组成的路径集合。它不需要预先定义复杂的化学特征，具有良好的通用性和灵活性，能够从结构角度有效刻画分子的局部环境。</w:t>
      </w:r>
    </w:p>
    <w:p w14:paraId="284AD383">
      <w:pPr>
        <w:bidi w:val="0"/>
        <w:rPr>
          <w:rFonts w:hint="default"/>
          <w:lang w:val="en-US" w:eastAsia="zh-CN"/>
        </w:rPr>
      </w:pPr>
      <w:r>
        <w:rPr>
          <w:rFonts w:hint="default"/>
        </w:rPr>
        <w:t>GIN：一种极具表达能力的图深度学习模型。其理论基础在于能够达到 Weisfeiler-Lehman图同构测试的辨别能力上限，通过对节点及其邻居特征的强有力聚合，有效区分不同的分子图结构。</w:t>
      </w:r>
    </w:p>
    <w:p w14:paraId="2CFA57F0">
      <w:pPr>
        <w:bidi w:val="0"/>
        <w:rPr>
          <w:rFonts w:hint="default"/>
          <w:lang w:val="en-US" w:eastAsia="zh-CN"/>
        </w:rPr>
      </w:pPr>
      <w:r>
        <w:rPr>
          <w:rFonts w:hint="default"/>
          <w:lang w:val="en-US" w:eastAsia="zh-CN"/>
        </w:rPr>
        <w:t>AttentiveFP 是一种引入注意力机制的图神经网络模型。该方法通过注意力权重动态调整邻居节点在信息聚合过程中的重要性，使模型能够自动关注对分子性质预测更为关键的原子和化学键，从而提升模型的表达能力和预测性能。</w:t>
      </w:r>
    </w:p>
    <w:p w14:paraId="5261440F">
      <w:pPr>
        <w:bidi w:val="0"/>
        <w:rPr>
          <w:rFonts w:hint="default"/>
        </w:rPr>
      </w:pPr>
      <w:r>
        <w:rPr>
          <w:rFonts w:hint="default"/>
        </w:rPr>
        <w:t>MPNN：一种通用的框架，核心在于将化学键（边）的信息纳入节点表示学习的过程中，通过多轮信息传递（更新原子特征。</w:t>
      </w:r>
    </w:p>
    <w:p w14:paraId="3281D3F0">
      <w:pPr>
        <w:bidi w:val="0"/>
        <w:rPr>
          <w:rFonts w:hint="default"/>
        </w:rPr>
      </w:pPr>
      <w:r>
        <w:rPr>
          <w:rFonts w:hint="default"/>
        </w:rPr>
        <w:t>DMPNN：MPNN 的改进版本。它采用了定向信息传递机制，防止信息在传递过程中出现“回流”现象。同时结合了动态池化机制，根据具体任务自适应地聚合关键特征。</w:t>
      </w:r>
    </w:p>
    <w:p w14:paraId="3CED3A89">
      <w:pPr>
        <w:bidi w:val="0"/>
        <w:rPr>
          <w:rFonts w:hint="default"/>
        </w:rPr>
      </w:pPr>
      <w:r>
        <w:rPr>
          <w:rFonts w:hint="default"/>
        </w:rPr>
        <w:t>GROVER</w:t>
      </w:r>
      <w:r>
        <w:rPr>
          <w:rFonts w:hint="eastAsia"/>
          <w:lang w:eastAsia="zh-CN"/>
        </w:rPr>
        <w:t>：</w:t>
      </w:r>
      <w:r>
        <w:rPr>
          <w:rFonts w:hint="default"/>
        </w:rPr>
        <w:t>目前的先进模型之一。它结合了图卷积网络和 Transformer 的自注意力机制，能够同时提取分子的结构特征和属性特征。通过大规模梯度累积策略和精心设计的自监督任务，在大规模数据集上展现了极强的特征提取能力。</w:t>
      </w:r>
    </w:p>
    <w:p w14:paraId="65506E3B">
      <w:pPr>
        <w:bidi w:val="0"/>
        <w:rPr>
          <w:rFonts w:hint="default"/>
        </w:rPr>
      </w:pPr>
      <w:r>
        <w:rPr>
          <w:rFonts w:hint="default"/>
        </w:rPr>
        <w:t>SchNet：专门面向量子化学建模的深度学习方法。不同于传统的二维图模型，SchNet 重点建模原子的三维空间位置。它通过连续滤波卷积作用于原子间的欧几里得距离，从而模拟分子的电子结构和量子动力学相互作用，无需人工设计特征即可自动学习分子的电子特性。</w:t>
      </w:r>
    </w:p>
    <w:p w14:paraId="3C974FF1">
      <w:pPr>
        <w:bidi w:val="0"/>
        <w:rPr>
          <w:rFonts w:hint="eastAsia"/>
          <w:lang w:eastAsia="zh-CN"/>
        </w:rPr>
      </w:pPr>
      <w:r>
        <w:rPr>
          <w:rFonts w:hint="default"/>
        </w:rPr>
        <w:t>CMPNN</w:t>
      </w:r>
      <w:r>
        <w:rPr>
          <w:rFonts w:hint="eastAsia"/>
          <w:lang w:eastAsia="zh-CN"/>
        </w:rPr>
        <w:t>：</w:t>
      </w:r>
      <w:r>
        <w:rPr>
          <w:rFonts w:hint="default"/>
        </w:rPr>
        <w:t>这是对传统消息传递神经网络（MPNN）的重要改进</w:t>
      </w:r>
      <w:r>
        <w:rPr>
          <w:rFonts w:hint="eastAsia"/>
          <w:lang w:eastAsia="zh-CN"/>
        </w:rPr>
        <w:t>。</w:t>
      </w:r>
      <w:r>
        <w:rPr>
          <w:rFonts w:hint="default"/>
        </w:rPr>
        <w:t>它通过在原子和化学键之间引入显式的“通信”机制，增强了模型对局部和全局信息的捕捉能力</w:t>
      </w:r>
      <w:r>
        <w:rPr>
          <w:rFonts w:hint="eastAsia"/>
          <w:lang w:eastAsia="zh-CN"/>
        </w:rPr>
        <w:t>。</w:t>
      </w:r>
    </w:p>
    <w:p w14:paraId="4720EB71">
      <w:pPr>
        <w:bidi w:val="0"/>
        <w:rPr>
          <w:rFonts w:hint="default"/>
        </w:rPr>
      </w:pPr>
      <w:r>
        <w:rPr>
          <w:rFonts w:hint="default"/>
        </w:rPr>
        <w:t>GraphMVP</w:t>
      </w:r>
      <w:r>
        <w:rPr>
          <w:rFonts w:hint="eastAsia"/>
          <w:lang w:eastAsia="zh-CN"/>
        </w:rPr>
        <w:t>：</w:t>
      </w:r>
      <w:r>
        <w:rPr>
          <w:rFonts w:hint="default"/>
        </w:rPr>
        <w:t>一种先进的图自监督学习模型，旨在通过对分子的 2D 拓扑图和 3D 几何构象进行多视图对齐来学习表征 。它通过对比学习拉近同一分子的二维和三维表示，使模型具备对分子空间构象的感知能力 。</w:t>
      </w:r>
    </w:p>
    <w:p w14:paraId="279FDE45">
      <w:pPr>
        <w:bidi w:val="0"/>
        <w:rPr>
          <w:rFonts w:hint="default"/>
        </w:rPr>
      </w:pPr>
      <w:r>
        <w:rPr>
          <w:rFonts w:hint="default"/>
        </w:rPr>
        <w:t>MoleculeST</w:t>
      </w:r>
      <w:r>
        <w:rPr>
          <w:rFonts w:hint="eastAsia"/>
          <w:lang w:val="en-US" w:eastAsia="zh-CN"/>
        </w:rPr>
        <w:t>M：</w:t>
      </w:r>
      <w:r>
        <w:rPr>
          <w:rFonts w:hint="default"/>
        </w:rPr>
        <w:t>这是一种基于语言模型的多模态分子预训练框架 。它利用化学文本描述与分子结构之间的配对关系进行预训练，旨在将分子的化学结构映射至与其语义功能一致的向量空间 。</w:t>
      </w:r>
    </w:p>
    <w:p w14:paraId="5D55EF69">
      <w:pPr>
        <w:bidi w:val="0"/>
        <w:rPr>
          <w:rFonts w:hint="default"/>
        </w:rPr>
      </w:pPr>
      <w:r>
        <w:rPr>
          <w:rFonts w:hint="default"/>
        </w:rPr>
        <w:t xml:space="preserve">MoMu </w:t>
      </w:r>
      <w:r>
        <w:rPr>
          <w:rFonts w:hint="eastAsia"/>
          <w:lang w:eastAsia="zh-CN"/>
        </w:rPr>
        <w:t>：</w:t>
      </w:r>
      <w:r>
        <w:rPr>
          <w:rFonts w:hint="default"/>
        </w:rPr>
        <w:t>该模型专注于跨模态的图–文本对齐学习 。它通过构建大规模的分子图与对应的化学描述文本对，利用对比学习目标函数使模型能够同时从视觉（图结构）和语义（文本）两个维度理解分子性质 。</w:t>
      </w:r>
    </w:p>
    <w:p w14:paraId="365FD065">
      <w:pPr>
        <w:bidi w:val="0"/>
        <w:rPr>
          <w:rFonts w:hint="default"/>
        </w:rPr>
      </w:pPr>
      <w:r>
        <w:rPr>
          <w:rFonts w:hint="default"/>
        </w:rPr>
        <w:t xml:space="preserve">KV-PLM </w:t>
      </w:r>
      <w:r>
        <w:rPr>
          <w:rFonts w:hint="eastAsia"/>
          <w:lang w:eastAsia="zh-CN"/>
        </w:rPr>
        <w:t>：</w:t>
      </w:r>
      <w:r>
        <w:rPr>
          <w:rFonts w:hint="default"/>
        </w:rPr>
        <w:t>一种知识增强的预训练语言模型。它尝试在预训练过程中显式注入分子的理化性质知识或专家规则，以缩短分子的结构信息与下游性质预测任务之间的语义鸿沟</w:t>
      </w:r>
      <w:r>
        <w:rPr>
          <w:rFonts w:hint="eastAsia"/>
          <w:lang w:eastAsia="zh-CN"/>
        </w:rPr>
        <w:t>。</w:t>
      </w:r>
    </w:p>
    <w:p w14:paraId="75AAD397">
      <w:pPr>
        <w:pStyle w:val="3"/>
        <w:pageBreakBefore w:val="0"/>
        <w:kinsoku/>
        <w:wordWrap/>
        <w:overflowPunct/>
        <w:topLinePunct w:val="0"/>
        <w:autoSpaceDE/>
        <w:autoSpaceDN/>
        <w:bidi w:val="0"/>
        <w:adjustRightInd/>
        <w:spacing w:beforeAutospacing="0" w:afterAutospacing="0" w:line="360" w:lineRule="auto"/>
        <w:ind w:left="567" w:leftChars="0" w:hanging="567" w:firstLineChars="0"/>
        <w:textAlignment w:val="auto"/>
        <w:rPr>
          <w:rFonts w:hint="eastAsia"/>
          <w:lang w:val="en-US" w:eastAsia="zh-CN"/>
        </w:rPr>
      </w:pPr>
      <w:r>
        <w:rPr>
          <w:rFonts w:hint="eastAsia"/>
          <w:lang w:val="en-US" w:eastAsia="zh-CN"/>
        </w:rPr>
        <w:t>实验及结果分析</w:t>
      </w:r>
    </w:p>
    <w:p w14:paraId="79FCBCC0">
      <w:pPr>
        <w:pStyle w:val="4"/>
        <w:bidi w:val="0"/>
        <w:rPr>
          <w:rFonts w:hint="eastAsia"/>
          <w:lang w:val="en-US" w:eastAsia="zh-CN"/>
        </w:rPr>
      </w:pPr>
      <w:r>
        <w:rPr>
          <w:rFonts w:hint="eastAsia"/>
          <w:lang w:val="en-US" w:eastAsia="zh-CN"/>
        </w:rPr>
        <w:t>对比实验</w:t>
      </w:r>
    </w:p>
    <w:p w14:paraId="5F5E45C6">
      <w:pPr>
        <w:bidi w:val="0"/>
        <w:rPr>
          <w:rFonts w:hint="eastAsia"/>
          <w:lang w:val="en-US" w:eastAsia="zh-CN"/>
        </w:rPr>
      </w:pPr>
      <w:r>
        <w:rPr>
          <w:rFonts w:hint="eastAsia"/>
          <w:lang w:val="en-US" w:eastAsia="zh-CN"/>
        </w:rPr>
        <w:t>针对 MoleculeNet 涵盖的 9 个分子性质预测基准数据集，本研究开展了多维度的系统性评估。在数据处理层面，全数遵循 MoleculeNet 推荐的标准化协议，即采用骨架分割（Scaffold Split）策略，将样本集按 8:1:1 的比例严格划分为训练集、验证集与测试集，以评估模型在非同源分子结构上的泛化能力。为消除随机性干扰，所有实验均在不同随机种子下重复进行多轮，最终汇报各项指标的均值及其标准差。</w:t>
      </w:r>
    </w:p>
    <w:tbl>
      <w:tblPr>
        <w:tblStyle w:val="17"/>
        <w:tblpPr w:leftFromText="180" w:rightFromText="180" w:vertAnchor="text" w:horzAnchor="page" w:tblpX="2200" w:tblpY="459"/>
        <w:tblOverlap w:val="never"/>
        <w:tblW w:w="7957" w:type="dxa"/>
        <w:tblInd w:w="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autofit"/>
        <w:tblCellMar>
          <w:top w:w="0" w:type="dxa"/>
          <w:left w:w="108" w:type="dxa"/>
          <w:bottom w:w="0" w:type="dxa"/>
          <w:right w:w="108" w:type="dxa"/>
        </w:tblCellMar>
      </w:tblPr>
      <w:tblGrid>
        <w:gridCol w:w="1441"/>
        <w:gridCol w:w="1086"/>
        <w:gridCol w:w="1086"/>
        <w:gridCol w:w="1086"/>
        <w:gridCol w:w="1086"/>
        <w:gridCol w:w="1086"/>
        <w:gridCol w:w="1086"/>
      </w:tblGrid>
      <w:tr w14:paraId="1334F704">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trPr>
        <w:tc>
          <w:tcPr>
            <w:tcW w:w="1441" w:type="dxa"/>
            <w:tcBorders>
              <w:top w:val="single" w:color="000000" w:sz="12" w:space="0"/>
              <w:left w:val="nil"/>
              <w:bottom w:val="nil"/>
              <w:right w:val="nil"/>
            </w:tcBorders>
            <w:vAlign w:val="bottom"/>
          </w:tcPr>
          <w:p w14:paraId="093D8AB2">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Datasets</w:t>
            </w:r>
          </w:p>
        </w:tc>
        <w:tc>
          <w:tcPr>
            <w:tcW w:w="1086" w:type="dxa"/>
            <w:tcBorders>
              <w:top w:val="single" w:color="000000" w:sz="12" w:space="0"/>
              <w:left w:val="nil"/>
              <w:bottom w:val="nil"/>
              <w:right w:val="nil"/>
            </w:tcBorders>
            <w:shd w:val="clear" w:color="auto" w:fill="auto"/>
            <w:vAlign w:val="bottom"/>
          </w:tcPr>
          <w:p w14:paraId="11C4F733">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BACE</w:t>
            </w:r>
          </w:p>
        </w:tc>
        <w:tc>
          <w:tcPr>
            <w:tcW w:w="1086" w:type="dxa"/>
            <w:tcBorders>
              <w:top w:val="single" w:color="000000" w:sz="12" w:space="0"/>
              <w:left w:val="nil"/>
              <w:bottom w:val="nil"/>
              <w:right w:val="nil"/>
            </w:tcBorders>
            <w:vAlign w:val="bottom"/>
          </w:tcPr>
          <w:p w14:paraId="6E876241">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BBBP</w:t>
            </w:r>
          </w:p>
        </w:tc>
        <w:tc>
          <w:tcPr>
            <w:tcW w:w="1086" w:type="dxa"/>
            <w:tcBorders>
              <w:top w:val="single" w:color="000000" w:sz="12" w:space="0"/>
              <w:left w:val="nil"/>
              <w:bottom w:val="nil"/>
              <w:right w:val="nil"/>
            </w:tcBorders>
            <w:vAlign w:val="bottom"/>
          </w:tcPr>
          <w:p w14:paraId="63E56A44">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ClinTox</w:t>
            </w:r>
          </w:p>
        </w:tc>
        <w:tc>
          <w:tcPr>
            <w:tcW w:w="1086" w:type="dxa"/>
            <w:tcBorders>
              <w:top w:val="single" w:color="000000" w:sz="12" w:space="0"/>
              <w:left w:val="nil"/>
              <w:bottom w:val="nil"/>
              <w:right w:val="nil"/>
            </w:tcBorders>
            <w:vAlign w:val="bottom"/>
          </w:tcPr>
          <w:p w14:paraId="7D25EEA3">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Tox21</w:t>
            </w:r>
          </w:p>
        </w:tc>
        <w:tc>
          <w:tcPr>
            <w:tcW w:w="1086" w:type="dxa"/>
            <w:tcBorders>
              <w:top w:val="single" w:color="000000" w:sz="12" w:space="0"/>
              <w:left w:val="nil"/>
              <w:bottom w:val="nil"/>
              <w:right w:val="nil"/>
            </w:tcBorders>
            <w:vAlign w:val="bottom"/>
          </w:tcPr>
          <w:p w14:paraId="78E3F0CE">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ToxCast</w:t>
            </w:r>
          </w:p>
        </w:tc>
        <w:tc>
          <w:tcPr>
            <w:tcW w:w="1086" w:type="dxa"/>
            <w:tcBorders>
              <w:top w:val="single" w:color="000000" w:sz="12" w:space="0"/>
              <w:left w:val="nil"/>
              <w:bottom w:val="nil"/>
              <w:right w:val="nil"/>
            </w:tcBorders>
            <w:vAlign w:val="bottom"/>
          </w:tcPr>
          <w:p w14:paraId="6A64100F">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SIDER</w:t>
            </w:r>
          </w:p>
        </w:tc>
      </w:tr>
      <w:tr w14:paraId="7D2FB51F">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trPr>
        <w:tc>
          <w:tcPr>
            <w:tcW w:w="1441" w:type="dxa"/>
            <w:tcBorders>
              <w:top w:val="nil"/>
              <w:left w:val="nil"/>
              <w:bottom w:val="nil"/>
              <w:right w:val="nil"/>
            </w:tcBorders>
            <w:vAlign w:val="bottom"/>
          </w:tcPr>
          <w:p w14:paraId="6F669EAC">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 Molecules</w:t>
            </w:r>
          </w:p>
        </w:tc>
        <w:tc>
          <w:tcPr>
            <w:tcW w:w="1086" w:type="dxa"/>
            <w:tcBorders>
              <w:top w:val="nil"/>
              <w:left w:val="nil"/>
              <w:bottom w:val="nil"/>
              <w:right w:val="nil"/>
            </w:tcBorders>
            <w:shd w:val="clear" w:color="auto" w:fill="auto"/>
            <w:vAlign w:val="bottom"/>
          </w:tcPr>
          <w:p w14:paraId="554E1871">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1513</w:t>
            </w:r>
          </w:p>
        </w:tc>
        <w:tc>
          <w:tcPr>
            <w:tcW w:w="1086" w:type="dxa"/>
            <w:tcBorders>
              <w:top w:val="nil"/>
              <w:left w:val="nil"/>
              <w:bottom w:val="nil"/>
              <w:right w:val="nil"/>
            </w:tcBorders>
            <w:vAlign w:val="bottom"/>
          </w:tcPr>
          <w:p w14:paraId="0EBA8FF3">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2039</w:t>
            </w:r>
          </w:p>
        </w:tc>
        <w:tc>
          <w:tcPr>
            <w:tcW w:w="1086" w:type="dxa"/>
            <w:tcBorders>
              <w:top w:val="nil"/>
              <w:left w:val="nil"/>
              <w:bottom w:val="nil"/>
              <w:right w:val="nil"/>
            </w:tcBorders>
            <w:vAlign w:val="bottom"/>
          </w:tcPr>
          <w:p w14:paraId="70CFAF8F">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1478</w:t>
            </w:r>
          </w:p>
        </w:tc>
        <w:tc>
          <w:tcPr>
            <w:tcW w:w="1086" w:type="dxa"/>
            <w:tcBorders>
              <w:top w:val="nil"/>
              <w:left w:val="nil"/>
              <w:bottom w:val="nil"/>
              <w:right w:val="nil"/>
            </w:tcBorders>
            <w:vAlign w:val="bottom"/>
          </w:tcPr>
          <w:p w14:paraId="797BF983">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7831</w:t>
            </w:r>
          </w:p>
        </w:tc>
        <w:tc>
          <w:tcPr>
            <w:tcW w:w="1086" w:type="dxa"/>
            <w:tcBorders>
              <w:top w:val="nil"/>
              <w:left w:val="nil"/>
              <w:bottom w:val="nil"/>
              <w:right w:val="nil"/>
            </w:tcBorders>
            <w:vAlign w:val="bottom"/>
          </w:tcPr>
          <w:p w14:paraId="75DB7F79">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8575</w:t>
            </w:r>
          </w:p>
        </w:tc>
        <w:tc>
          <w:tcPr>
            <w:tcW w:w="1086" w:type="dxa"/>
            <w:tcBorders>
              <w:top w:val="nil"/>
              <w:left w:val="nil"/>
              <w:bottom w:val="nil"/>
              <w:right w:val="nil"/>
            </w:tcBorders>
            <w:vAlign w:val="bottom"/>
          </w:tcPr>
          <w:p w14:paraId="06375AEA">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1472</w:t>
            </w:r>
          </w:p>
        </w:tc>
      </w:tr>
      <w:tr w14:paraId="58B2B3C8">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trPr>
        <w:tc>
          <w:tcPr>
            <w:tcW w:w="1441" w:type="dxa"/>
            <w:tcBorders>
              <w:top w:val="nil"/>
              <w:left w:val="nil"/>
              <w:right w:val="nil"/>
            </w:tcBorders>
            <w:vAlign w:val="bottom"/>
          </w:tcPr>
          <w:p w14:paraId="444660FD">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 Tasks</w:t>
            </w:r>
          </w:p>
        </w:tc>
        <w:tc>
          <w:tcPr>
            <w:tcW w:w="1086" w:type="dxa"/>
            <w:tcBorders>
              <w:top w:val="nil"/>
              <w:left w:val="nil"/>
              <w:right w:val="nil"/>
            </w:tcBorders>
            <w:shd w:val="clear" w:color="auto" w:fill="auto"/>
            <w:vAlign w:val="bottom"/>
          </w:tcPr>
          <w:p w14:paraId="0DC4BCA8">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w:t>
            </w:r>
          </w:p>
        </w:tc>
        <w:tc>
          <w:tcPr>
            <w:tcW w:w="1086" w:type="dxa"/>
            <w:tcBorders>
              <w:top w:val="nil"/>
              <w:left w:val="nil"/>
              <w:right w:val="nil"/>
            </w:tcBorders>
            <w:vAlign w:val="bottom"/>
          </w:tcPr>
          <w:p w14:paraId="69E5F65F">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1</w:t>
            </w:r>
          </w:p>
        </w:tc>
        <w:tc>
          <w:tcPr>
            <w:tcW w:w="1086" w:type="dxa"/>
            <w:tcBorders>
              <w:top w:val="nil"/>
              <w:left w:val="nil"/>
              <w:right w:val="nil"/>
            </w:tcBorders>
            <w:vAlign w:val="bottom"/>
          </w:tcPr>
          <w:p w14:paraId="4E15BE68">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2</w:t>
            </w:r>
          </w:p>
        </w:tc>
        <w:tc>
          <w:tcPr>
            <w:tcW w:w="1086" w:type="dxa"/>
            <w:tcBorders>
              <w:top w:val="nil"/>
              <w:left w:val="nil"/>
              <w:right w:val="nil"/>
            </w:tcBorders>
            <w:vAlign w:val="bottom"/>
          </w:tcPr>
          <w:p w14:paraId="1B916FEF">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12</w:t>
            </w:r>
          </w:p>
        </w:tc>
        <w:tc>
          <w:tcPr>
            <w:tcW w:w="1086" w:type="dxa"/>
            <w:tcBorders>
              <w:top w:val="nil"/>
              <w:left w:val="nil"/>
              <w:right w:val="nil"/>
            </w:tcBorders>
            <w:vAlign w:val="bottom"/>
          </w:tcPr>
          <w:p w14:paraId="38724CA7">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617</w:t>
            </w:r>
          </w:p>
        </w:tc>
        <w:tc>
          <w:tcPr>
            <w:tcW w:w="1086" w:type="dxa"/>
            <w:tcBorders>
              <w:top w:val="nil"/>
              <w:left w:val="nil"/>
              <w:right w:val="nil"/>
            </w:tcBorders>
            <w:vAlign w:val="bottom"/>
          </w:tcPr>
          <w:p w14:paraId="5D20B397">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27</w:t>
            </w:r>
          </w:p>
        </w:tc>
      </w:tr>
      <w:tr w14:paraId="00A1AF5B">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trPr>
        <w:tc>
          <w:tcPr>
            <w:tcW w:w="1441" w:type="dxa"/>
            <w:tcBorders>
              <w:left w:val="nil"/>
              <w:bottom w:val="nil"/>
              <w:right w:val="nil"/>
            </w:tcBorders>
            <w:vAlign w:val="bottom"/>
          </w:tcPr>
          <w:p w14:paraId="4EC781E6">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AttentiveFP</w:t>
            </w:r>
          </w:p>
        </w:tc>
        <w:tc>
          <w:tcPr>
            <w:tcW w:w="1086" w:type="dxa"/>
            <w:tcBorders>
              <w:left w:val="nil"/>
              <w:bottom w:val="nil"/>
              <w:right w:val="nil"/>
            </w:tcBorders>
            <w:shd w:val="clear" w:color="auto" w:fill="auto"/>
            <w:vAlign w:val="bottom"/>
          </w:tcPr>
          <w:p w14:paraId="6761C2D5">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ascii="Times New Roman" w:hAnsi="Times New Roman" w:eastAsia="宋体" w:cs="Times New Roman"/>
                <w:color w:val="auto"/>
                <w:kern w:val="2"/>
                <w:sz w:val="21"/>
                <w:szCs w:val="24"/>
                <w:vertAlign w:val="baseline"/>
                <w:lang w:val="en-US" w:eastAsia="zh-CN" w:bidi="ar-SA"/>
              </w:rPr>
            </w:pPr>
            <w:r>
              <w:rPr>
                <w:rFonts w:hint="eastAsia"/>
                <w:color w:val="auto"/>
                <w:vertAlign w:val="baseline"/>
                <w:lang w:val="en-US" w:eastAsia="zh-CN"/>
              </w:rPr>
              <w:t>0.863</w:t>
            </w:r>
            <w:r>
              <w:rPr>
                <w:rFonts w:hint="eastAsia"/>
                <w:color w:val="auto"/>
                <w:vertAlign w:val="subscript"/>
                <w:lang w:val="en-US" w:eastAsia="zh-CN"/>
              </w:rPr>
              <w:t>(0.150)</w:t>
            </w:r>
          </w:p>
        </w:tc>
        <w:tc>
          <w:tcPr>
            <w:tcW w:w="1086" w:type="dxa"/>
            <w:tcBorders>
              <w:left w:val="nil"/>
              <w:bottom w:val="nil"/>
              <w:right w:val="nil"/>
            </w:tcBorders>
            <w:vAlign w:val="bottom"/>
          </w:tcPr>
          <w:p w14:paraId="4683DF2A">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0.908</w:t>
            </w:r>
            <w:r>
              <w:rPr>
                <w:rFonts w:hint="eastAsia"/>
                <w:color w:val="auto"/>
                <w:vertAlign w:val="subscript"/>
                <w:lang w:val="en-US" w:eastAsia="zh-CN"/>
              </w:rPr>
              <w:t>(0.050)</w:t>
            </w:r>
          </w:p>
        </w:tc>
        <w:tc>
          <w:tcPr>
            <w:tcW w:w="1086" w:type="dxa"/>
            <w:tcBorders>
              <w:left w:val="nil"/>
              <w:bottom w:val="nil"/>
              <w:right w:val="nil"/>
            </w:tcBorders>
            <w:vAlign w:val="bottom"/>
          </w:tcPr>
          <w:p w14:paraId="25288D90">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0.933</w:t>
            </w:r>
            <w:r>
              <w:rPr>
                <w:rFonts w:hint="eastAsia"/>
                <w:color w:val="auto"/>
                <w:vertAlign w:val="subscript"/>
                <w:lang w:val="en-US" w:eastAsia="zh-CN"/>
              </w:rPr>
              <w:t>(0.020)</w:t>
            </w:r>
          </w:p>
        </w:tc>
        <w:tc>
          <w:tcPr>
            <w:tcW w:w="1086" w:type="dxa"/>
            <w:tcBorders>
              <w:left w:val="nil"/>
              <w:bottom w:val="nil"/>
              <w:right w:val="nil"/>
            </w:tcBorders>
            <w:vAlign w:val="bottom"/>
          </w:tcPr>
          <w:p w14:paraId="3A187F6A">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0.807</w:t>
            </w:r>
            <w:r>
              <w:rPr>
                <w:rFonts w:hint="eastAsia"/>
                <w:color w:val="auto"/>
                <w:vertAlign w:val="subscript"/>
                <w:lang w:val="en-US" w:eastAsia="zh-CN"/>
              </w:rPr>
              <w:t>(0.021)</w:t>
            </w:r>
          </w:p>
        </w:tc>
        <w:tc>
          <w:tcPr>
            <w:tcW w:w="1086" w:type="dxa"/>
            <w:tcBorders>
              <w:left w:val="nil"/>
              <w:bottom w:val="nil"/>
              <w:right w:val="nil"/>
            </w:tcBorders>
            <w:vAlign w:val="bottom"/>
          </w:tcPr>
          <w:p w14:paraId="1DBC1A0A">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0.637</w:t>
            </w:r>
            <w:r>
              <w:rPr>
                <w:rFonts w:hint="eastAsia"/>
                <w:color w:val="auto"/>
                <w:vertAlign w:val="subscript"/>
                <w:lang w:val="en-US" w:eastAsia="zh-CN"/>
              </w:rPr>
              <w:t>(0.103)</w:t>
            </w:r>
          </w:p>
        </w:tc>
        <w:tc>
          <w:tcPr>
            <w:tcW w:w="1086" w:type="dxa"/>
            <w:tcBorders>
              <w:left w:val="nil"/>
              <w:bottom w:val="nil"/>
              <w:right w:val="nil"/>
            </w:tcBorders>
            <w:vAlign w:val="bottom"/>
          </w:tcPr>
          <w:p w14:paraId="30874195">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0.605</w:t>
            </w:r>
            <w:r>
              <w:rPr>
                <w:rFonts w:hint="eastAsia"/>
                <w:color w:val="auto"/>
                <w:vertAlign w:val="subscript"/>
                <w:lang w:val="en-US" w:eastAsia="zh-CN"/>
              </w:rPr>
              <w:t>(0.061)</w:t>
            </w:r>
          </w:p>
        </w:tc>
      </w:tr>
      <w:tr w14:paraId="29BA61CF">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trPr>
        <w:tc>
          <w:tcPr>
            <w:tcW w:w="1441" w:type="dxa"/>
            <w:tcBorders>
              <w:top w:val="nil"/>
              <w:left w:val="nil"/>
              <w:bottom w:val="nil"/>
              <w:right w:val="nil"/>
            </w:tcBorders>
            <w:vAlign w:val="bottom"/>
          </w:tcPr>
          <w:p w14:paraId="595D9BFF">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color w:val="auto"/>
                <w:vertAlign w:val="baseline"/>
                <w:lang w:val="en-US" w:eastAsia="zh-CN"/>
              </w:rPr>
            </w:pPr>
            <w:r>
              <w:rPr>
                <w:rFonts w:hint="eastAsia"/>
                <w:color w:val="auto"/>
                <w:vertAlign w:val="baseline"/>
                <w:lang w:val="en-US" w:eastAsia="zh-CN"/>
              </w:rPr>
              <w:t>Mol2Vec</w:t>
            </w:r>
          </w:p>
        </w:tc>
        <w:tc>
          <w:tcPr>
            <w:tcW w:w="1086" w:type="dxa"/>
            <w:tcBorders>
              <w:top w:val="nil"/>
              <w:left w:val="nil"/>
              <w:bottom w:val="nil"/>
              <w:right w:val="nil"/>
            </w:tcBorders>
            <w:shd w:val="clear" w:color="auto" w:fill="auto"/>
            <w:vAlign w:val="bottom"/>
          </w:tcPr>
          <w:p w14:paraId="6B30F4A3">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ascii="Times New Roman" w:hAnsi="Times New Roman" w:eastAsia="宋体" w:cs="Times New Roman"/>
                <w:color w:val="auto"/>
                <w:kern w:val="2"/>
                <w:sz w:val="21"/>
                <w:szCs w:val="24"/>
                <w:vertAlign w:val="baseline"/>
                <w:lang w:val="en-US" w:eastAsia="zh-CN" w:bidi="ar-SA"/>
              </w:rPr>
            </w:pPr>
            <w:r>
              <w:rPr>
                <w:rFonts w:hint="eastAsia"/>
                <w:color w:val="auto"/>
                <w:vertAlign w:val="baseline"/>
                <w:lang w:val="en-US" w:eastAsia="zh-CN"/>
              </w:rPr>
              <w:t>0.802</w:t>
            </w:r>
            <w:r>
              <w:rPr>
                <w:rFonts w:hint="eastAsia"/>
                <w:color w:val="auto"/>
                <w:vertAlign w:val="subscript"/>
                <w:lang w:val="en-US" w:eastAsia="zh-CN"/>
              </w:rPr>
              <w:t>(0.008)</w:t>
            </w:r>
          </w:p>
        </w:tc>
        <w:tc>
          <w:tcPr>
            <w:tcW w:w="1086" w:type="dxa"/>
            <w:tcBorders>
              <w:top w:val="nil"/>
              <w:left w:val="nil"/>
              <w:bottom w:val="nil"/>
              <w:right w:val="nil"/>
            </w:tcBorders>
            <w:vAlign w:val="bottom"/>
          </w:tcPr>
          <w:p w14:paraId="47E76C50">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0.826</w:t>
            </w:r>
            <w:r>
              <w:rPr>
                <w:rFonts w:hint="eastAsia"/>
                <w:color w:val="auto"/>
                <w:vertAlign w:val="subscript"/>
                <w:lang w:val="en-US" w:eastAsia="zh-CN"/>
              </w:rPr>
              <w:t>(0.027)</w:t>
            </w:r>
          </w:p>
        </w:tc>
        <w:tc>
          <w:tcPr>
            <w:tcW w:w="1086" w:type="dxa"/>
            <w:tcBorders>
              <w:top w:val="nil"/>
              <w:left w:val="nil"/>
              <w:bottom w:val="nil"/>
              <w:right w:val="nil"/>
            </w:tcBorders>
            <w:vAlign w:val="bottom"/>
          </w:tcPr>
          <w:p w14:paraId="51C16E27">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0.750</w:t>
            </w:r>
            <w:r>
              <w:rPr>
                <w:rFonts w:hint="eastAsia"/>
                <w:color w:val="auto"/>
                <w:vertAlign w:val="subscript"/>
                <w:lang w:val="en-US" w:eastAsia="zh-CN"/>
              </w:rPr>
              <w:t>(0.127)</w:t>
            </w:r>
          </w:p>
        </w:tc>
        <w:tc>
          <w:tcPr>
            <w:tcW w:w="1086" w:type="dxa"/>
            <w:tcBorders>
              <w:top w:val="nil"/>
              <w:left w:val="nil"/>
              <w:bottom w:val="nil"/>
              <w:right w:val="nil"/>
            </w:tcBorders>
            <w:vAlign w:val="bottom"/>
          </w:tcPr>
          <w:p w14:paraId="1024D2D2">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0.754</w:t>
            </w:r>
            <w:r>
              <w:rPr>
                <w:rFonts w:hint="eastAsia"/>
                <w:color w:val="auto"/>
                <w:vertAlign w:val="subscript"/>
                <w:lang w:val="en-US" w:eastAsia="zh-CN"/>
              </w:rPr>
              <w:t>(0.101)</w:t>
            </w:r>
          </w:p>
        </w:tc>
        <w:tc>
          <w:tcPr>
            <w:tcW w:w="1086" w:type="dxa"/>
            <w:tcBorders>
              <w:top w:val="nil"/>
              <w:left w:val="nil"/>
              <w:bottom w:val="nil"/>
              <w:right w:val="nil"/>
            </w:tcBorders>
            <w:vAlign w:val="bottom"/>
          </w:tcPr>
          <w:p w14:paraId="4333F04B">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0.614</w:t>
            </w:r>
            <w:r>
              <w:rPr>
                <w:rFonts w:hint="eastAsia"/>
                <w:color w:val="auto"/>
                <w:vertAlign w:val="subscript"/>
                <w:lang w:val="en-US" w:eastAsia="zh-CN"/>
              </w:rPr>
              <w:t>(0.031)</w:t>
            </w:r>
          </w:p>
        </w:tc>
        <w:tc>
          <w:tcPr>
            <w:tcW w:w="1086" w:type="dxa"/>
            <w:tcBorders>
              <w:top w:val="nil"/>
              <w:left w:val="nil"/>
              <w:bottom w:val="nil"/>
              <w:right w:val="nil"/>
            </w:tcBorders>
            <w:vAlign w:val="bottom"/>
          </w:tcPr>
          <w:p w14:paraId="4B3BD5B7">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0.592</w:t>
            </w:r>
            <w:r>
              <w:rPr>
                <w:rFonts w:hint="eastAsia"/>
                <w:color w:val="auto"/>
                <w:vertAlign w:val="subscript"/>
                <w:lang w:val="en-US" w:eastAsia="zh-CN"/>
              </w:rPr>
              <w:t>(0.003)</w:t>
            </w:r>
          </w:p>
        </w:tc>
      </w:tr>
      <w:tr w14:paraId="25E386CC">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trPr>
        <w:tc>
          <w:tcPr>
            <w:tcW w:w="1441" w:type="dxa"/>
            <w:tcBorders>
              <w:top w:val="nil"/>
              <w:left w:val="nil"/>
              <w:bottom w:val="nil"/>
              <w:right w:val="nil"/>
            </w:tcBorders>
            <w:vAlign w:val="bottom"/>
          </w:tcPr>
          <w:p w14:paraId="1D06CE19">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color w:val="auto"/>
                <w:vertAlign w:val="baseline"/>
                <w:lang w:val="en-US" w:eastAsia="zh-CN"/>
              </w:rPr>
            </w:pPr>
            <w:r>
              <w:rPr>
                <w:rFonts w:hint="eastAsia"/>
                <w:color w:val="auto"/>
                <w:vertAlign w:val="baseline"/>
                <w:lang w:val="en-US" w:eastAsia="zh-CN"/>
              </w:rPr>
              <w:t>GROVER</w:t>
            </w:r>
          </w:p>
        </w:tc>
        <w:tc>
          <w:tcPr>
            <w:tcW w:w="1086" w:type="dxa"/>
            <w:tcBorders>
              <w:top w:val="nil"/>
              <w:left w:val="nil"/>
              <w:bottom w:val="nil"/>
              <w:right w:val="nil"/>
            </w:tcBorders>
            <w:shd w:val="clear" w:color="auto" w:fill="auto"/>
            <w:vAlign w:val="bottom"/>
          </w:tcPr>
          <w:p w14:paraId="6BCD3FC9">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ascii="Times New Roman" w:hAnsi="Times New Roman" w:eastAsia="宋体" w:cs="Times New Roman"/>
                <w:color w:val="auto"/>
                <w:kern w:val="2"/>
                <w:sz w:val="21"/>
                <w:szCs w:val="24"/>
                <w:vertAlign w:val="baseline"/>
                <w:lang w:val="en-US" w:eastAsia="zh-CN" w:bidi="ar-SA"/>
              </w:rPr>
            </w:pPr>
            <w:r>
              <w:rPr>
                <w:rFonts w:hint="eastAsia"/>
                <w:color w:val="auto"/>
                <w:vertAlign w:val="baseline"/>
                <w:lang w:val="en-US" w:eastAsia="zh-CN"/>
              </w:rPr>
              <w:t>0.810</w:t>
            </w:r>
            <w:r>
              <w:rPr>
                <w:rFonts w:hint="eastAsia"/>
                <w:color w:val="auto"/>
                <w:vertAlign w:val="subscript"/>
                <w:lang w:val="en-US" w:eastAsia="zh-CN"/>
              </w:rPr>
              <w:t>(0.044)</w:t>
            </w:r>
          </w:p>
        </w:tc>
        <w:tc>
          <w:tcPr>
            <w:tcW w:w="1086" w:type="dxa"/>
            <w:tcBorders>
              <w:top w:val="nil"/>
              <w:left w:val="nil"/>
              <w:bottom w:val="nil"/>
              <w:right w:val="nil"/>
            </w:tcBorders>
            <w:vAlign w:val="bottom"/>
          </w:tcPr>
          <w:p w14:paraId="05CF947E">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0.695</w:t>
            </w:r>
            <w:r>
              <w:rPr>
                <w:rFonts w:hint="eastAsia"/>
                <w:color w:val="auto"/>
                <w:vertAlign w:val="subscript"/>
                <w:lang w:val="en-US" w:eastAsia="zh-CN"/>
              </w:rPr>
              <w:t>(0.185)</w:t>
            </w:r>
          </w:p>
        </w:tc>
        <w:tc>
          <w:tcPr>
            <w:tcW w:w="1086" w:type="dxa"/>
            <w:tcBorders>
              <w:top w:val="nil"/>
              <w:left w:val="nil"/>
              <w:bottom w:val="nil"/>
              <w:right w:val="nil"/>
            </w:tcBorders>
            <w:vAlign w:val="bottom"/>
          </w:tcPr>
          <w:p w14:paraId="22D0DEE6">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0.762</w:t>
            </w:r>
            <w:r>
              <w:rPr>
                <w:rFonts w:hint="eastAsia"/>
                <w:color w:val="auto"/>
                <w:vertAlign w:val="subscript"/>
                <w:lang w:val="en-US" w:eastAsia="zh-CN"/>
              </w:rPr>
              <w:t>(0.013)</w:t>
            </w:r>
          </w:p>
        </w:tc>
        <w:tc>
          <w:tcPr>
            <w:tcW w:w="1086" w:type="dxa"/>
            <w:tcBorders>
              <w:top w:val="nil"/>
              <w:left w:val="nil"/>
              <w:bottom w:val="nil"/>
              <w:right w:val="nil"/>
            </w:tcBorders>
            <w:vAlign w:val="bottom"/>
          </w:tcPr>
          <w:p w14:paraId="4AB6CC7E">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0.735</w:t>
            </w:r>
            <w:r>
              <w:rPr>
                <w:rFonts w:hint="eastAsia"/>
                <w:color w:val="auto"/>
                <w:vertAlign w:val="subscript"/>
                <w:lang w:val="en-US" w:eastAsia="zh-CN"/>
              </w:rPr>
              <w:t>(0.027)</w:t>
            </w:r>
          </w:p>
        </w:tc>
        <w:tc>
          <w:tcPr>
            <w:tcW w:w="1086" w:type="dxa"/>
            <w:tcBorders>
              <w:top w:val="nil"/>
              <w:left w:val="nil"/>
              <w:bottom w:val="nil"/>
              <w:right w:val="nil"/>
            </w:tcBorders>
            <w:vAlign w:val="bottom"/>
          </w:tcPr>
          <w:p w14:paraId="231AB97D">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0.653</w:t>
            </w:r>
            <w:r>
              <w:rPr>
                <w:rFonts w:hint="eastAsia"/>
                <w:color w:val="auto"/>
                <w:vertAlign w:val="subscript"/>
                <w:lang w:val="en-US" w:eastAsia="zh-CN"/>
              </w:rPr>
              <w:t>(0.005)</w:t>
            </w:r>
          </w:p>
        </w:tc>
        <w:tc>
          <w:tcPr>
            <w:tcW w:w="1086" w:type="dxa"/>
            <w:tcBorders>
              <w:top w:val="nil"/>
              <w:left w:val="nil"/>
              <w:bottom w:val="nil"/>
              <w:right w:val="nil"/>
            </w:tcBorders>
            <w:vAlign w:val="bottom"/>
          </w:tcPr>
          <w:p w14:paraId="5F8977C6">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0.614</w:t>
            </w:r>
            <w:r>
              <w:rPr>
                <w:rFonts w:hint="eastAsia"/>
                <w:color w:val="auto"/>
                <w:vertAlign w:val="subscript"/>
                <w:lang w:val="en-US" w:eastAsia="zh-CN"/>
              </w:rPr>
              <w:t>(0.017)</w:t>
            </w:r>
          </w:p>
        </w:tc>
      </w:tr>
      <w:tr w14:paraId="12ABB709">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trPr>
        <w:tc>
          <w:tcPr>
            <w:tcW w:w="1441" w:type="dxa"/>
            <w:tcBorders>
              <w:top w:val="nil"/>
              <w:left w:val="nil"/>
              <w:bottom w:val="nil"/>
              <w:right w:val="nil"/>
            </w:tcBorders>
            <w:vAlign w:val="bottom"/>
          </w:tcPr>
          <w:p w14:paraId="14122C63">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color w:val="auto"/>
                <w:vertAlign w:val="baseline"/>
                <w:lang w:val="en-US" w:eastAsia="zh-CN"/>
              </w:rPr>
            </w:pPr>
            <w:r>
              <w:rPr>
                <w:rFonts w:hint="eastAsia"/>
                <w:color w:val="auto"/>
                <w:vertAlign w:val="baseline"/>
                <w:lang w:val="en-US" w:eastAsia="zh-CN"/>
              </w:rPr>
              <w:t>GraphMVP</w:t>
            </w:r>
          </w:p>
        </w:tc>
        <w:tc>
          <w:tcPr>
            <w:tcW w:w="1086" w:type="dxa"/>
            <w:tcBorders>
              <w:top w:val="nil"/>
              <w:left w:val="nil"/>
              <w:bottom w:val="nil"/>
              <w:right w:val="nil"/>
            </w:tcBorders>
            <w:shd w:val="clear" w:color="auto" w:fill="auto"/>
            <w:vAlign w:val="bottom"/>
          </w:tcPr>
          <w:p w14:paraId="3BF24EDC">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ascii="Times New Roman" w:hAnsi="Times New Roman" w:eastAsia="宋体" w:cs="Times New Roman"/>
                <w:color w:val="auto"/>
                <w:kern w:val="2"/>
                <w:sz w:val="21"/>
                <w:szCs w:val="24"/>
                <w:vertAlign w:val="baseline"/>
                <w:lang w:val="en-US" w:eastAsia="zh-CN" w:bidi="ar-SA"/>
              </w:rPr>
            </w:pPr>
            <w:r>
              <w:rPr>
                <w:rFonts w:hint="eastAsia"/>
                <w:color w:val="auto"/>
                <w:vertAlign w:val="baseline"/>
                <w:lang w:val="en-US" w:eastAsia="zh-CN"/>
              </w:rPr>
              <w:t>0.812</w:t>
            </w:r>
            <w:r>
              <w:rPr>
                <w:rFonts w:hint="eastAsia"/>
                <w:color w:val="auto"/>
                <w:vertAlign w:val="subscript"/>
                <w:lang w:val="en-US" w:eastAsia="zh-CN"/>
              </w:rPr>
              <w:t>(0.009)</w:t>
            </w:r>
          </w:p>
        </w:tc>
        <w:tc>
          <w:tcPr>
            <w:tcW w:w="1086" w:type="dxa"/>
            <w:tcBorders>
              <w:top w:val="nil"/>
              <w:left w:val="nil"/>
              <w:bottom w:val="nil"/>
              <w:right w:val="nil"/>
            </w:tcBorders>
            <w:vAlign w:val="bottom"/>
          </w:tcPr>
          <w:p w14:paraId="616262F2">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0.724</w:t>
            </w:r>
            <w:r>
              <w:rPr>
                <w:rFonts w:hint="eastAsia"/>
                <w:color w:val="auto"/>
                <w:vertAlign w:val="subscript"/>
                <w:lang w:val="en-US" w:eastAsia="zh-CN"/>
              </w:rPr>
              <w:t>(0.016)</w:t>
            </w:r>
          </w:p>
        </w:tc>
        <w:tc>
          <w:tcPr>
            <w:tcW w:w="1086" w:type="dxa"/>
            <w:tcBorders>
              <w:top w:val="nil"/>
              <w:left w:val="nil"/>
              <w:bottom w:val="nil"/>
              <w:right w:val="nil"/>
            </w:tcBorders>
            <w:vAlign w:val="bottom"/>
          </w:tcPr>
          <w:p w14:paraId="26441BDA">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0.791</w:t>
            </w:r>
            <w:r>
              <w:rPr>
                <w:rFonts w:hint="eastAsia"/>
                <w:color w:val="auto"/>
                <w:vertAlign w:val="subscript"/>
                <w:lang w:val="en-US" w:eastAsia="zh-CN"/>
              </w:rPr>
              <w:t>(0.028)</w:t>
            </w:r>
          </w:p>
        </w:tc>
        <w:tc>
          <w:tcPr>
            <w:tcW w:w="1086" w:type="dxa"/>
            <w:tcBorders>
              <w:top w:val="nil"/>
              <w:left w:val="nil"/>
              <w:bottom w:val="nil"/>
              <w:right w:val="nil"/>
            </w:tcBorders>
            <w:vAlign w:val="bottom"/>
          </w:tcPr>
          <w:p w14:paraId="0038320B">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0.759</w:t>
            </w:r>
            <w:r>
              <w:rPr>
                <w:rFonts w:hint="eastAsia"/>
                <w:color w:val="auto"/>
                <w:vertAlign w:val="subscript"/>
                <w:lang w:val="en-US" w:eastAsia="zh-CN"/>
              </w:rPr>
              <w:t>(0.005)</w:t>
            </w:r>
          </w:p>
        </w:tc>
        <w:tc>
          <w:tcPr>
            <w:tcW w:w="1086" w:type="dxa"/>
            <w:tcBorders>
              <w:top w:val="nil"/>
              <w:left w:val="nil"/>
              <w:bottom w:val="nil"/>
              <w:right w:val="nil"/>
            </w:tcBorders>
            <w:vAlign w:val="bottom"/>
          </w:tcPr>
          <w:p w14:paraId="76390A40">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0.631</w:t>
            </w:r>
            <w:r>
              <w:rPr>
                <w:rFonts w:hint="eastAsia"/>
                <w:color w:val="auto"/>
                <w:vertAlign w:val="subscript"/>
                <w:lang w:val="en-US" w:eastAsia="zh-CN"/>
              </w:rPr>
              <w:t>(0.114)</w:t>
            </w:r>
          </w:p>
        </w:tc>
        <w:tc>
          <w:tcPr>
            <w:tcW w:w="1086" w:type="dxa"/>
            <w:tcBorders>
              <w:top w:val="nil"/>
              <w:left w:val="nil"/>
              <w:bottom w:val="nil"/>
              <w:right w:val="nil"/>
            </w:tcBorders>
            <w:vAlign w:val="bottom"/>
          </w:tcPr>
          <w:p w14:paraId="503CAAE4">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0.639</w:t>
            </w:r>
            <w:r>
              <w:rPr>
                <w:rFonts w:hint="eastAsia"/>
                <w:color w:val="auto"/>
                <w:vertAlign w:val="subscript"/>
                <w:lang w:val="en-US" w:eastAsia="zh-CN"/>
              </w:rPr>
              <w:t>(0.012)</w:t>
            </w:r>
          </w:p>
        </w:tc>
      </w:tr>
      <w:tr w14:paraId="7C80F1F9">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trPr>
        <w:tc>
          <w:tcPr>
            <w:tcW w:w="1441" w:type="dxa"/>
            <w:tcBorders>
              <w:top w:val="nil"/>
              <w:left w:val="nil"/>
              <w:bottom w:val="nil"/>
              <w:right w:val="nil"/>
            </w:tcBorders>
            <w:vAlign w:val="bottom"/>
          </w:tcPr>
          <w:p w14:paraId="0939B7D6">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color w:val="auto"/>
                <w:vertAlign w:val="baseline"/>
                <w:lang w:val="en-US" w:eastAsia="zh-CN"/>
              </w:rPr>
            </w:pPr>
            <w:r>
              <w:rPr>
                <w:rFonts w:hint="eastAsia"/>
                <w:color w:val="auto"/>
                <w:vertAlign w:val="baseline"/>
                <w:lang w:val="en-US" w:eastAsia="zh-CN"/>
              </w:rPr>
              <w:t>MPNN</w:t>
            </w:r>
          </w:p>
        </w:tc>
        <w:tc>
          <w:tcPr>
            <w:tcW w:w="1086" w:type="dxa"/>
            <w:tcBorders>
              <w:top w:val="nil"/>
              <w:left w:val="nil"/>
              <w:bottom w:val="nil"/>
              <w:right w:val="nil"/>
            </w:tcBorders>
            <w:shd w:val="clear" w:color="auto" w:fill="auto"/>
            <w:vAlign w:val="bottom"/>
          </w:tcPr>
          <w:p w14:paraId="7C4EB587">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ascii="Times New Roman" w:hAnsi="Times New Roman" w:eastAsia="宋体" w:cs="Times New Roman"/>
                <w:color w:val="auto"/>
                <w:kern w:val="2"/>
                <w:sz w:val="21"/>
                <w:szCs w:val="24"/>
                <w:vertAlign w:val="baseline"/>
                <w:lang w:val="en-US" w:eastAsia="zh-CN" w:bidi="ar-SA"/>
              </w:rPr>
            </w:pPr>
            <w:r>
              <w:rPr>
                <w:rFonts w:hint="eastAsia"/>
                <w:color w:val="auto"/>
                <w:vertAlign w:val="baseline"/>
                <w:lang w:val="en-US" w:eastAsia="zh-CN"/>
              </w:rPr>
              <w:t>0.815</w:t>
            </w:r>
            <w:r>
              <w:rPr>
                <w:rFonts w:hint="eastAsia"/>
                <w:color w:val="auto"/>
                <w:vertAlign w:val="subscript"/>
                <w:lang w:val="en-US" w:eastAsia="zh-CN"/>
              </w:rPr>
              <w:t>(0.043)</w:t>
            </w:r>
          </w:p>
        </w:tc>
        <w:tc>
          <w:tcPr>
            <w:tcW w:w="1086" w:type="dxa"/>
            <w:tcBorders>
              <w:top w:val="nil"/>
              <w:left w:val="nil"/>
              <w:bottom w:val="nil"/>
              <w:right w:val="nil"/>
            </w:tcBorders>
            <w:vAlign w:val="bottom"/>
          </w:tcPr>
          <w:p w14:paraId="2A92098E">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0.913</w:t>
            </w:r>
            <w:r>
              <w:rPr>
                <w:rFonts w:hint="eastAsia"/>
                <w:color w:val="auto"/>
                <w:vertAlign w:val="subscript"/>
                <w:lang w:val="en-US" w:eastAsia="zh-CN"/>
              </w:rPr>
              <w:t>(0.042)</w:t>
            </w:r>
          </w:p>
        </w:tc>
        <w:tc>
          <w:tcPr>
            <w:tcW w:w="1086" w:type="dxa"/>
            <w:tcBorders>
              <w:top w:val="nil"/>
              <w:left w:val="nil"/>
              <w:bottom w:val="nil"/>
              <w:right w:val="nil"/>
            </w:tcBorders>
            <w:vAlign w:val="bottom"/>
          </w:tcPr>
          <w:p w14:paraId="1FE916F8">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0.879</w:t>
            </w:r>
            <w:r>
              <w:rPr>
                <w:rFonts w:hint="eastAsia"/>
                <w:color w:val="auto"/>
                <w:vertAlign w:val="subscript"/>
                <w:lang w:val="en-US" w:eastAsia="zh-CN"/>
              </w:rPr>
              <w:t>(0.054)</w:t>
            </w:r>
          </w:p>
        </w:tc>
        <w:tc>
          <w:tcPr>
            <w:tcW w:w="1086" w:type="dxa"/>
            <w:tcBorders>
              <w:top w:val="nil"/>
              <w:left w:val="nil"/>
              <w:bottom w:val="nil"/>
              <w:right w:val="nil"/>
            </w:tcBorders>
            <w:vAlign w:val="bottom"/>
          </w:tcPr>
          <w:p w14:paraId="23BCF285">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0.808</w:t>
            </w:r>
            <w:r>
              <w:rPr>
                <w:rFonts w:hint="eastAsia"/>
                <w:color w:val="auto"/>
                <w:vertAlign w:val="subscript"/>
                <w:lang w:val="en-US" w:eastAsia="zh-CN"/>
              </w:rPr>
              <w:t>(0.024)</w:t>
            </w:r>
          </w:p>
        </w:tc>
        <w:tc>
          <w:tcPr>
            <w:tcW w:w="1086" w:type="dxa"/>
            <w:tcBorders>
              <w:top w:val="nil"/>
              <w:left w:val="nil"/>
              <w:bottom w:val="nil"/>
              <w:right w:val="nil"/>
            </w:tcBorders>
            <w:vAlign w:val="bottom"/>
          </w:tcPr>
          <w:p w14:paraId="74896B7B">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0.691</w:t>
            </w:r>
            <w:r>
              <w:rPr>
                <w:rFonts w:hint="eastAsia"/>
                <w:color w:val="auto"/>
                <w:vertAlign w:val="subscript"/>
                <w:lang w:val="en-US" w:eastAsia="zh-CN"/>
              </w:rPr>
              <w:t>(0.018)</w:t>
            </w:r>
          </w:p>
        </w:tc>
        <w:tc>
          <w:tcPr>
            <w:tcW w:w="1086" w:type="dxa"/>
            <w:tcBorders>
              <w:top w:val="nil"/>
              <w:left w:val="nil"/>
              <w:bottom w:val="nil"/>
              <w:right w:val="nil"/>
            </w:tcBorders>
            <w:vAlign w:val="bottom"/>
          </w:tcPr>
          <w:p w14:paraId="29E5A478">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0.595</w:t>
            </w:r>
            <w:r>
              <w:rPr>
                <w:rFonts w:hint="eastAsia"/>
                <w:color w:val="auto"/>
                <w:vertAlign w:val="subscript"/>
                <w:lang w:val="en-US" w:eastAsia="zh-CN"/>
              </w:rPr>
              <w:t>(0.031)</w:t>
            </w:r>
          </w:p>
        </w:tc>
      </w:tr>
      <w:tr w14:paraId="5725F024">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trPr>
        <w:tc>
          <w:tcPr>
            <w:tcW w:w="1441" w:type="dxa"/>
            <w:tcBorders>
              <w:top w:val="nil"/>
              <w:left w:val="nil"/>
              <w:bottom w:val="nil"/>
              <w:right w:val="nil"/>
            </w:tcBorders>
            <w:vAlign w:val="bottom"/>
          </w:tcPr>
          <w:p w14:paraId="18732E24">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color w:val="auto"/>
                <w:vertAlign w:val="baseline"/>
                <w:lang w:val="en-US" w:eastAsia="zh-CN"/>
              </w:rPr>
            </w:pPr>
            <w:r>
              <w:rPr>
                <w:rFonts w:hint="eastAsia"/>
                <w:color w:val="auto"/>
                <w:vertAlign w:val="baseline"/>
                <w:lang w:val="en-US" w:eastAsia="zh-CN"/>
              </w:rPr>
              <w:t>DMPNN</w:t>
            </w:r>
          </w:p>
        </w:tc>
        <w:tc>
          <w:tcPr>
            <w:tcW w:w="1086" w:type="dxa"/>
            <w:tcBorders>
              <w:top w:val="nil"/>
              <w:left w:val="nil"/>
              <w:bottom w:val="nil"/>
              <w:right w:val="nil"/>
            </w:tcBorders>
            <w:shd w:val="clear" w:color="auto" w:fill="auto"/>
            <w:vAlign w:val="bottom"/>
          </w:tcPr>
          <w:p w14:paraId="7245627E">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ascii="Times New Roman" w:hAnsi="Times New Roman" w:eastAsia="宋体" w:cs="Times New Roman"/>
                <w:color w:val="auto"/>
                <w:kern w:val="2"/>
                <w:sz w:val="21"/>
                <w:szCs w:val="24"/>
                <w:vertAlign w:val="baseline"/>
                <w:lang w:val="en-US" w:eastAsia="zh-CN" w:bidi="ar-SA"/>
              </w:rPr>
            </w:pPr>
            <w:r>
              <w:rPr>
                <w:rFonts w:hint="eastAsia"/>
                <w:color w:val="auto"/>
                <w:vertAlign w:val="baseline"/>
                <w:lang w:val="en-US" w:eastAsia="zh-CN"/>
              </w:rPr>
              <w:t>0.823</w:t>
            </w:r>
            <w:r>
              <w:rPr>
                <w:rFonts w:hint="eastAsia"/>
                <w:color w:val="auto"/>
                <w:vertAlign w:val="subscript"/>
                <w:lang w:val="en-US" w:eastAsia="zh-CN"/>
              </w:rPr>
              <w:t>(0.038)</w:t>
            </w:r>
          </w:p>
        </w:tc>
        <w:tc>
          <w:tcPr>
            <w:tcW w:w="1086" w:type="dxa"/>
            <w:tcBorders>
              <w:top w:val="nil"/>
              <w:left w:val="nil"/>
              <w:bottom w:val="nil"/>
              <w:right w:val="nil"/>
            </w:tcBorders>
            <w:vAlign w:val="bottom"/>
          </w:tcPr>
          <w:p w14:paraId="6EA86795">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0.919</w:t>
            </w:r>
            <w:r>
              <w:rPr>
                <w:rFonts w:hint="eastAsia"/>
                <w:color w:val="auto"/>
                <w:vertAlign w:val="subscript"/>
                <w:lang w:val="en-US" w:eastAsia="zh-CN"/>
              </w:rPr>
              <w:t>(0.048)</w:t>
            </w:r>
          </w:p>
        </w:tc>
        <w:tc>
          <w:tcPr>
            <w:tcW w:w="1086" w:type="dxa"/>
            <w:tcBorders>
              <w:top w:val="nil"/>
              <w:left w:val="nil"/>
              <w:bottom w:val="nil"/>
              <w:right w:val="nil"/>
            </w:tcBorders>
            <w:vAlign w:val="bottom"/>
          </w:tcPr>
          <w:p w14:paraId="473A7CD0">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0.897</w:t>
            </w:r>
            <w:r>
              <w:rPr>
                <w:rFonts w:hint="eastAsia"/>
                <w:color w:val="auto"/>
                <w:vertAlign w:val="subscript"/>
                <w:lang w:val="en-US" w:eastAsia="zh-CN"/>
              </w:rPr>
              <w:t>(0.041)</w:t>
            </w:r>
          </w:p>
        </w:tc>
        <w:tc>
          <w:tcPr>
            <w:tcW w:w="1086" w:type="dxa"/>
            <w:tcBorders>
              <w:top w:val="nil"/>
              <w:left w:val="nil"/>
              <w:bottom w:val="nil"/>
              <w:right w:val="nil"/>
            </w:tcBorders>
            <w:vAlign w:val="bottom"/>
          </w:tcPr>
          <w:p w14:paraId="7426E530">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0.759</w:t>
            </w:r>
            <w:r>
              <w:rPr>
                <w:rFonts w:hint="eastAsia"/>
                <w:color w:val="auto"/>
                <w:vertAlign w:val="subscript"/>
                <w:lang w:val="en-US" w:eastAsia="zh-CN"/>
              </w:rPr>
              <w:t>(0.034)</w:t>
            </w:r>
          </w:p>
        </w:tc>
        <w:tc>
          <w:tcPr>
            <w:tcW w:w="1086" w:type="dxa"/>
            <w:tcBorders>
              <w:top w:val="nil"/>
              <w:left w:val="nil"/>
              <w:bottom w:val="nil"/>
              <w:right w:val="nil"/>
            </w:tcBorders>
            <w:vAlign w:val="bottom"/>
          </w:tcPr>
          <w:p w14:paraId="0B8EC797">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0.655</w:t>
            </w:r>
            <w:r>
              <w:rPr>
                <w:rFonts w:hint="eastAsia"/>
                <w:color w:val="auto"/>
                <w:vertAlign w:val="subscript"/>
                <w:lang w:val="en-US" w:eastAsia="zh-CN"/>
              </w:rPr>
              <w:t>(0.101)</w:t>
            </w:r>
          </w:p>
        </w:tc>
        <w:tc>
          <w:tcPr>
            <w:tcW w:w="1086" w:type="dxa"/>
            <w:tcBorders>
              <w:top w:val="nil"/>
              <w:left w:val="nil"/>
              <w:bottom w:val="nil"/>
              <w:right w:val="nil"/>
            </w:tcBorders>
            <w:vAlign w:val="bottom"/>
          </w:tcPr>
          <w:p w14:paraId="1896C1A9">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0.570</w:t>
            </w:r>
            <w:r>
              <w:rPr>
                <w:rFonts w:hint="eastAsia"/>
                <w:color w:val="auto"/>
                <w:vertAlign w:val="subscript"/>
                <w:lang w:val="en-US" w:eastAsia="zh-CN"/>
              </w:rPr>
              <w:t>(0.031)</w:t>
            </w:r>
          </w:p>
        </w:tc>
      </w:tr>
      <w:tr w14:paraId="158C890D">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trPr>
        <w:tc>
          <w:tcPr>
            <w:tcW w:w="1441" w:type="dxa"/>
            <w:tcBorders>
              <w:top w:val="nil"/>
              <w:left w:val="nil"/>
              <w:bottom w:val="nil"/>
              <w:right w:val="nil"/>
            </w:tcBorders>
            <w:vAlign w:val="bottom"/>
          </w:tcPr>
          <w:p w14:paraId="144EDA64">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color w:val="auto"/>
                <w:vertAlign w:val="baseline"/>
                <w:lang w:val="en-US" w:eastAsia="zh-CN"/>
              </w:rPr>
            </w:pPr>
            <w:r>
              <w:rPr>
                <w:rFonts w:hint="eastAsia"/>
                <w:color w:val="auto"/>
                <w:vertAlign w:val="baseline"/>
                <w:lang w:val="en-US" w:eastAsia="zh-CN"/>
              </w:rPr>
              <w:t>CMPNN</w:t>
            </w:r>
          </w:p>
        </w:tc>
        <w:tc>
          <w:tcPr>
            <w:tcW w:w="1086" w:type="dxa"/>
            <w:tcBorders>
              <w:top w:val="nil"/>
              <w:left w:val="nil"/>
              <w:bottom w:val="nil"/>
              <w:right w:val="nil"/>
            </w:tcBorders>
            <w:shd w:val="clear" w:color="auto" w:fill="auto"/>
            <w:vAlign w:val="bottom"/>
          </w:tcPr>
          <w:p w14:paraId="7445BE96">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ascii="Times New Roman" w:hAnsi="Times New Roman" w:eastAsia="宋体" w:cs="Times New Roman"/>
                <w:color w:val="auto"/>
                <w:kern w:val="2"/>
                <w:sz w:val="21"/>
                <w:szCs w:val="24"/>
                <w:vertAlign w:val="baseline"/>
                <w:lang w:val="en-US" w:eastAsia="zh-CN" w:bidi="ar-SA"/>
              </w:rPr>
            </w:pPr>
            <w:r>
              <w:rPr>
                <w:rFonts w:hint="eastAsia"/>
                <w:color w:val="auto"/>
                <w:vertAlign w:val="baseline"/>
                <w:lang w:val="en-US" w:eastAsia="zh-CN"/>
              </w:rPr>
              <w:t>0.869</w:t>
            </w:r>
            <w:r>
              <w:rPr>
                <w:rFonts w:hint="eastAsia"/>
                <w:color w:val="auto"/>
                <w:vertAlign w:val="subscript"/>
                <w:lang w:val="en-US" w:eastAsia="zh-CN"/>
              </w:rPr>
              <w:t>(0.006)</w:t>
            </w:r>
          </w:p>
        </w:tc>
        <w:tc>
          <w:tcPr>
            <w:tcW w:w="1086" w:type="dxa"/>
            <w:tcBorders>
              <w:top w:val="nil"/>
              <w:left w:val="nil"/>
              <w:bottom w:val="nil"/>
              <w:right w:val="nil"/>
            </w:tcBorders>
            <w:vAlign w:val="bottom"/>
          </w:tcPr>
          <w:p w14:paraId="3CD41848">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0.927</w:t>
            </w:r>
            <w:r>
              <w:rPr>
                <w:rFonts w:hint="eastAsia"/>
                <w:color w:val="auto"/>
                <w:vertAlign w:val="subscript"/>
                <w:lang w:val="en-US" w:eastAsia="zh-CN"/>
              </w:rPr>
              <w:t>(0.002)</w:t>
            </w:r>
          </w:p>
        </w:tc>
        <w:tc>
          <w:tcPr>
            <w:tcW w:w="1086" w:type="dxa"/>
            <w:tcBorders>
              <w:top w:val="nil"/>
              <w:left w:val="nil"/>
              <w:bottom w:val="nil"/>
              <w:right w:val="nil"/>
            </w:tcBorders>
            <w:vAlign w:val="bottom"/>
          </w:tcPr>
          <w:p w14:paraId="6C5A930B">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0.901</w:t>
            </w:r>
            <w:r>
              <w:rPr>
                <w:rFonts w:hint="eastAsia"/>
                <w:color w:val="auto"/>
                <w:vertAlign w:val="subscript"/>
                <w:lang w:val="en-US" w:eastAsia="zh-CN"/>
              </w:rPr>
              <w:t>(0.012)</w:t>
            </w:r>
          </w:p>
        </w:tc>
        <w:tc>
          <w:tcPr>
            <w:tcW w:w="1086" w:type="dxa"/>
            <w:tcBorders>
              <w:top w:val="nil"/>
              <w:left w:val="nil"/>
              <w:bottom w:val="nil"/>
              <w:right w:val="nil"/>
            </w:tcBorders>
            <w:vAlign w:val="bottom"/>
          </w:tcPr>
          <w:p w14:paraId="596C7D1B">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0.837</w:t>
            </w:r>
            <w:r>
              <w:rPr>
                <w:rFonts w:hint="eastAsia"/>
                <w:color w:val="auto"/>
                <w:vertAlign w:val="subscript"/>
                <w:lang w:val="en-US" w:eastAsia="zh-CN"/>
              </w:rPr>
              <w:t>(0.016)</w:t>
            </w:r>
          </w:p>
        </w:tc>
        <w:tc>
          <w:tcPr>
            <w:tcW w:w="1086" w:type="dxa"/>
            <w:tcBorders>
              <w:top w:val="nil"/>
              <w:left w:val="nil"/>
              <w:bottom w:val="nil"/>
              <w:right w:val="nil"/>
            </w:tcBorders>
            <w:vAlign w:val="bottom"/>
          </w:tcPr>
          <w:p w14:paraId="2E8DF9FD">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0.709</w:t>
            </w:r>
            <w:r>
              <w:rPr>
                <w:rFonts w:hint="eastAsia"/>
                <w:color w:val="auto"/>
                <w:vertAlign w:val="subscript"/>
                <w:lang w:val="en-US" w:eastAsia="zh-CN"/>
              </w:rPr>
              <w:t>(0.002)</w:t>
            </w:r>
          </w:p>
        </w:tc>
        <w:tc>
          <w:tcPr>
            <w:tcW w:w="1086" w:type="dxa"/>
            <w:tcBorders>
              <w:top w:val="nil"/>
              <w:left w:val="nil"/>
              <w:bottom w:val="nil"/>
              <w:right w:val="nil"/>
            </w:tcBorders>
            <w:vAlign w:val="bottom"/>
          </w:tcPr>
          <w:p w14:paraId="569F1244">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0.617</w:t>
            </w:r>
            <w:r>
              <w:rPr>
                <w:rFonts w:hint="eastAsia"/>
                <w:color w:val="auto"/>
                <w:vertAlign w:val="subscript"/>
                <w:lang w:val="en-US" w:eastAsia="zh-CN"/>
              </w:rPr>
              <w:t>(0.003)</w:t>
            </w:r>
          </w:p>
        </w:tc>
      </w:tr>
      <w:tr w14:paraId="2C98A098">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trPr>
        <w:tc>
          <w:tcPr>
            <w:tcW w:w="1441" w:type="dxa"/>
            <w:tcBorders>
              <w:top w:val="nil"/>
              <w:left w:val="nil"/>
              <w:bottom w:val="nil"/>
              <w:right w:val="nil"/>
            </w:tcBorders>
            <w:vAlign w:val="bottom"/>
          </w:tcPr>
          <w:p w14:paraId="0B05B0FE">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color w:val="auto"/>
                <w:vertAlign w:val="baseline"/>
                <w:lang w:val="en-US" w:eastAsia="zh-CN"/>
              </w:rPr>
            </w:pPr>
            <w:r>
              <w:rPr>
                <w:rFonts w:hint="eastAsia"/>
                <w:color w:val="auto"/>
                <w:vertAlign w:val="baseline"/>
                <w:lang w:val="en-US" w:eastAsia="zh-CN"/>
              </w:rPr>
              <w:t>GIN</w:t>
            </w:r>
          </w:p>
        </w:tc>
        <w:tc>
          <w:tcPr>
            <w:tcW w:w="1086" w:type="dxa"/>
            <w:tcBorders>
              <w:top w:val="nil"/>
              <w:left w:val="nil"/>
              <w:bottom w:val="nil"/>
              <w:right w:val="nil"/>
            </w:tcBorders>
            <w:shd w:val="clear" w:color="auto" w:fill="auto"/>
            <w:vAlign w:val="bottom"/>
          </w:tcPr>
          <w:p w14:paraId="369A477A">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ascii="Times New Roman" w:hAnsi="Times New Roman" w:eastAsia="宋体" w:cs="Times New Roman"/>
                <w:color w:val="auto"/>
                <w:kern w:val="2"/>
                <w:sz w:val="21"/>
                <w:szCs w:val="24"/>
                <w:vertAlign w:val="baseline"/>
                <w:lang w:val="en-US" w:eastAsia="zh-CN" w:bidi="ar-SA"/>
              </w:rPr>
            </w:pPr>
            <w:r>
              <w:rPr>
                <w:rFonts w:hint="eastAsia"/>
                <w:color w:val="auto"/>
                <w:vertAlign w:val="baseline"/>
                <w:lang w:val="en-US" w:eastAsia="zh-CN"/>
              </w:rPr>
              <w:t>0.845</w:t>
            </w:r>
            <w:r>
              <w:rPr>
                <w:rFonts w:hint="eastAsia"/>
                <w:color w:val="auto"/>
                <w:vertAlign w:val="subscript"/>
                <w:lang w:val="en-US" w:eastAsia="zh-CN"/>
              </w:rPr>
              <w:t>(0.021)</w:t>
            </w:r>
          </w:p>
        </w:tc>
        <w:tc>
          <w:tcPr>
            <w:tcW w:w="1086" w:type="dxa"/>
            <w:tcBorders>
              <w:top w:val="nil"/>
              <w:left w:val="nil"/>
              <w:bottom w:val="nil"/>
              <w:right w:val="nil"/>
            </w:tcBorders>
            <w:vAlign w:val="bottom"/>
          </w:tcPr>
          <w:p w14:paraId="5F48C1FE">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0.894</w:t>
            </w:r>
            <w:r>
              <w:rPr>
                <w:rFonts w:hint="eastAsia"/>
                <w:color w:val="auto"/>
                <w:vertAlign w:val="subscript"/>
                <w:lang w:val="en-US" w:eastAsia="zh-CN"/>
              </w:rPr>
              <w:t>(0.019)</w:t>
            </w:r>
          </w:p>
        </w:tc>
        <w:tc>
          <w:tcPr>
            <w:tcW w:w="1086" w:type="dxa"/>
            <w:tcBorders>
              <w:top w:val="nil"/>
              <w:left w:val="nil"/>
              <w:bottom w:val="nil"/>
              <w:right w:val="nil"/>
            </w:tcBorders>
            <w:vAlign w:val="bottom"/>
          </w:tcPr>
          <w:p w14:paraId="23403E6E">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0.869</w:t>
            </w:r>
            <w:r>
              <w:rPr>
                <w:rFonts w:hint="eastAsia"/>
                <w:color w:val="auto"/>
                <w:vertAlign w:val="subscript"/>
                <w:lang w:val="en-US" w:eastAsia="zh-CN"/>
              </w:rPr>
              <w:t>(0.034)</w:t>
            </w:r>
          </w:p>
        </w:tc>
        <w:tc>
          <w:tcPr>
            <w:tcW w:w="1086" w:type="dxa"/>
            <w:tcBorders>
              <w:top w:val="nil"/>
              <w:left w:val="nil"/>
              <w:bottom w:val="nil"/>
              <w:right w:val="nil"/>
            </w:tcBorders>
            <w:vAlign w:val="bottom"/>
          </w:tcPr>
          <w:p w14:paraId="58809D6E">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0.811</w:t>
            </w:r>
            <w:r>
              <w:rPr>
                <w:rFonts w:hint="eastAsia"/>
                <w:color w:val="auto"/>
                <w:vertAlign w:val="subscript"/>
                <w:lang w:val="en-US" w:eastAsia="zh-CN"/>
              </w:rPr>
              <w:t>(0.002)</w:t>
            </w:r>
          </w:p>
        </w:tc>
        <w:tc>
          <w:tcPr>
            <w:tcW w:w="1086" w:type="dxa"/>
            <w:tcBorders>
              <w:top w:val="nil"/>
              <w:left w:val="nil"/>
              <w:bottom w:val="nil"/>
              <w:right w:val="nil"/>
            </w:tcBorders>
            <w:vAlign w:val="bottom"/>
          </w:tcPr>
          <w:p w14:paraId="543DFA8B">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0.703</w:t>
            </w:r>
            <w:r>
              <w:rPr>
                <w:rFonts w:hint="eastAsia"/>
                <w:color w:val="auto"/>
                <w:vertAlign w:val="subscript"/>
                <w:lang w:val="en-US" w:eastAsia="zh-CN"/>
              </w:rPr>
              <w:t>(0.004)</w:t>
            </w:r>
          </w:p>
        </w:tc>
        <w:tc>
          <w:tcPr>
            <w:tcW w:w="1086" w:type="dxa"/>
            <w:tcBorders>
              <w:top w:val="nil"/>
              <w:left w:val="nil"/>
              <w:bottom w:val="nil"/>
              <w:right w:val="nil"/>
            </w:tcBorders>
            <w:vAlign w:val="bottom"/>
          </w:tcPr>
          <w:p w14:paraId="063521AA">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0.591</w:t>
            </w:r>
            <w:r>
              <w:rPr>
                <w:rFonts w:hint="eastAsia"/>
                <w:color w:val="auto"/>
                <w:vertAlign w:val="subscript"/>
                <w:lang w:val="en-US" w:eastAsia="zh-CN"/>
              </w:rPr>
              <w:t>(0.016)</w:t>
            </w:r>
          </w:p>
        </w:tc>
      </w:tr>
      <w:tr w14:paraId="5174E041">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trPr>
        <w:tc>
          <w:tcPr>
            <w:tcW w:w="1441" w:type="dxa"/>
            <w:tcBorders>
              <w:top w:val="nil"/>
              <w:left w:val="nil"/>
              <w:bottom w:val="nil"/>
              <w:right w:val="nil"/>
            </w:tcBorders>
            <w:vAlign w:val="bottom"/>
          </w:tcPr>
          <w:p w14:paraId="10159439">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color w:val="auto"/>
                <w:vertAlign w:val="baseline"/>
                <w:lang w:val="en-US" w:eastAsia="zh-CN"/>
              </w:rPr>
            </w:pPr>
            <w:r>
              <w:rPr>
                <w:rFonts w:hint="eastAsia"/>
                <w:color w:val="auto"/>
                <w:vertAlign w:val="baseline"/>
                <w:lang w:val="en-US" w:eastAsia="zh-CN"/>
              </w:rPr>
              <w:t>SchNet</w:t>
            </w:r>
          </w:p>
        </w:tc>
        <w:tc>
          <w:tcPr>
            <w:tcW w:w="1086" w:type="dxa"/>
            <w:tcBorders>
              <w:top w:val="nil"/>
              <w:left w:val="nil"/>
              <w:bottom w:val="nil"/>
              <w:right w:val="nil"/>
            </w:tcBorders>
            <w:shd w:val="clear" w:color="auto" w:fill="auto"/>
            <w:vAlign w:val="bottom"/>
          </w:tcPr>
          <w:p w14:paraId="274D301A">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ascii="Times New Roman" w:hAnsi="Times New Roman" w:eastAsia="宋体" w:cs="Times New Roman"/>
                <w:color w:val="auto"/>
                <w:kern w:val="2"/>
                <w:sz w:val="21"/>
                <w:szCs w:val="24"/>
                <w:vertAlign w:val="baseline"/>
                <w:lang w:val="en-US" w:eastAsia="zh-CN" w:bidi="ar-SA"/>
              </w:rPr>
            </w:pPr>
            <w:r>
              <w:rPr>
                <w:rFonts w:hint="eastAsia"/>
                <w:color w:val="auto"/>
                <w:vertAlign w:val="baseline"/>
                <w:lang w:val="en-US" w:eastAsia="zh-CN"/>
              </w:rPr>
              <w:t>0.751</w:t>
            </w:r>
            <w:r>
              <w:rPr>
                <w:rFonts w:hint="eastAsia"/>
                <w:color w:val="auto"/>
                <w:vertAlign w:val="subscript"/>
                <w:lang w:val="en-US" w:eastAsia="zh-CN"/>
              </w:rPr>
              <w:t>(0.033)</w:t>
            </w:r>
          </w:p>
        </w:tc>
        <w:tc>
          <w:tcPr>
            <w:tcW w:w="1086" w:type="dxa"/>
            <w:tcBorders>
              <w:top w:val="nil"/>
              <w:left w:val="nil"/>
              <w:bottom w:val="nil"/>
              <w:right w:val="nil"/>
            </w:tcBorders>
            <w:vAlign w:val="bottom"/>
          </w:tcPr>
          <w:p w14:paraId="611A0D7E">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0.847</w:t>
            </w:r>
            <w:r>
              <w:rPr>
                <w:rFonts w:hint="eastAsia"/>
                <w:color w:val="auto"/>
                <w:vertAlign w:val="subscript"/>
                <w:lang w:val="en-US" w:eastAsia="zh-CN"/>
              </w:rPr>
              <w:t>(0.025)</w:t>
            </w:r>
          </w:p>
        </w:tc>
        <w:tc>
          <w:tcPr>
            <w:tcW w:w="1086" w:type="dxa"/>
            <w:tcBorders>
              <w:top w:val="nil"/>
              <w:left w:val="nil"/>
              <w:bottom w:val="nil"/>
              <w:right w:val="nil"/>
            </w:tcBorders>
            <w:vAlign w:val="bottom"/>
          </w:tcPr>
          <w:p w14:paraId="66AD8605">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0.717</w:t>
            </w:r>
            <w:r>
              <w:rPr>
                <w:rFonts w:hint="eastAsia"/>
                <w:color w:val="auto"/>
                <w:vertAlign w:val="subscript"/>
                <w:lang w:val="en-US" w:eastAsia="zh-CN"/>
              </w:rPr>
              <w:t>(0.041)</w:t>
            </w:r>
          </w:p>
        </w:tc>
        <w:tc>
          <w:tcPr>
            <w:tcW w:w="1086" w:type="dxa"/>
            <w:tcBorders>
              <w:top w:val="nil"/>
              <w:left w:val="nil"/>
              <w:bottom w:val="nil"/>
              <w:right w:val="nil"/>
            </w:tcBorders>
            <w:vAlign w:val="bottom"/>
          </w:tcPr>
          <w:p w14:paraId="6E348E4A">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0.767</w:t>
            </w:r>
            <w:r>
              <w:rPr>
                <w:rFonts w:hint="eastAsia"/>
                <w:color w:val="auto"/>
                <w:vertAlign w:val="subscript"/>
                <w:lang w:val="en-US" w:eastAsia="zh-CN"/>
              </w:rPr>
              <w:t>(0.023)</w:t>
            </w:r>
          </w:p>
        </w:tc>
        <w:tc>
          <w:tcPr>
            <w:tcW w:w="1086" w:type="dxa"/>
            <w:tcBorders>
              <w:top w:val="nil"/>
              <w:left w:val="nil"/>
              <w:bottom w:val="nil"/>
              <w:right w:val="nil"/>
            </w:tcBorders>
            <w:vAlign w:val="bottom"/>
          </w:tcPr>
          <w:p w14:paraId="5CC6C4AD">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0.679</w:t>
            </w:r>
            <w:r>
              <w:rPr>
                <w:rFonts w:hint="eastAsia"/>
                <w:color w:val="auto"/>
                <w:vertAlign w:val="subscript"/>
                <w:lang w:val="en-US" w:eastAsia="zh-CN"/>
              </w:rPr>
              <w:t>(0.021)</w:t>
            </w:r>
          </w:p>
        </w:tc>
        <w:tc>
          <w:tcPr>
            <w:tcW w:w="1086" w:type="dxa"/>
            <w:tcBorders>
              <w:top w:val="nil"/>
              <w:left w:val="nil"/>
              <w:bottom w:val="nil"/>
              <w:right w:val="nil"/>
            </w:tcBorders>
            <w:vAlign w:val="bottom"/>
          </w:tcPr>
          <w:p w14:paraId="62DBA8E6">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0.545</w:t>
            </w:r>
            <w:r>
              <w:rPr>
                <w:rFonts w:hint="eastAsia"/>
                <w:color w:val="auto"/>
                <w:vertAlign w:val="subscript"/>
                <w:lang w:val="en-US" w:eastAsia="zh-CN"/>
              </w:rPr>
              <w:t>(0.038)</w:t>
            </w:r>
          </w:p>
        </w:tc>
      </w:tr>
      <w:tr w14:paraId="37EE7D4E">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trPr>
        <w:tc>
          <w:tcPr>
            <w:tcW w:w="1441" w:type="dxa"/>
            <w:tcBorders>
              <w:top w:val="nil"/>
              <w:left w:val="nil"/>
              <w:bottom w:val="nil"/>
              <w:right w:val="nil"/>
            </w:tcBorders>
            <w:vAlign w:val="bottom"/>
          </w:tcPr>
          <w:p w14:paraId="58963F4E">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color w:val="auto"/>
                <w:vertAlign w:val="baseline"/>
                <w:lang w:val="en-US" w:eastAsia="zh-CN"/>
              </w:rPr>
            </w:pPr>
            <w:r>
              <w:rPr>
                <w:rFonts w:hint="eastAsia"/>
                <w:color w:val="auto"/>
                <w:vertAlign w:val="baseline"/>
                <w:lang w:val="en-US" w:eastAsia="zh-CN"/>
              </w:rPr>
              <w:t>N-Gram</w:t>
            </w:r>
          </w:p>
        </w:tc>
        <w:tc>
          <w:tcPr>
            <w:tcW w:w="1086" w:type="dxa"/>
            <w:tcBorders>
              <w:top w:val="nil"/>
              <w:left w:val="nil"/>
              <w:bottom w:val="nil"/>
              <w:right w:val="nil"/>
            </w:tcBorders>
            <w:shd w:val="clear" w:color="auto" w:fill="auto"/>
            <w:vAlign w:val="bottom"/>
          </w:tcPr>
          <w:p w14:paraId="059069FA">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ascii="Times New Roman" w:hAnsi="Times New Roman" w:eastAsia="宋体" w:cs="Times New Roman"/>
                <w:color w:val="auto"/>
                <w:kern w:val="2"/>
                <w:sz w:val="21"/>
                <w:szCs w:val="24"/>
                <w:vertAlign w:val="baseline"/>
                <w:lang w:val="en-US" w:eastAsia="zh-CN" w:bidi="ar-SA"/>
              </w:rPr>
            </w:pPr>
            <w:r>
              <w:rPr>
                <w:rFonts w:hint="eastAsia"/>
                <w:color w:val="auto"/>
                <w:vertAlign w:val="baseline"/>
                <w:lang w:val="en-US" w:eastAsia="zh-CN"/>
              </w:rPr>
              <w:t>0.779</w:t>
            </w:r>
            <w:r>
              <w:rPr>
                <w:rFonts w:hint="eastAsia"/>
                <w:color w:val="auto"/>
                <w:vertAlign w:val="subscript"/>
                <w:lang w:val="en-US" w:eastAsia="zh-CN"/>
              </w:rPr>
              <w:t>(0.031)</w:t>
            </w:r>
          </w:p>
        </w:tc>
        <w:tc>
          <w:tcPr>
            <w:tcW w:w="1086" w:type="dxa"/>
            <w:tcBorders>
              <w:top w:val="nil"/>
              <w:left w:val="nil"/>
              <w:bottom w:val="nil"/>
              <w:right w:val="nil"/>
            </w:tcBorders>
            <w:vAlign w:val="bottom"/>
          </w:tcPr>
          <w:p w14:paraId="57BCC06F">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0.912</w:t>
            </w:r>
            <w:r>
              <w:rPr>
                <w:rFonts w:hint="eastAsia"/>
                <w:color w:val="auto"/>
                <w:vertAlign w:val="subscript"/>
                <w:lang w:val="en-US" w:eastAsia="zh-CN"/>
              </w:rPr>
              <w:t>(0.004)</w:t>
            </w:r>
          </w:p>
        </w:tc>
        <w:tc>
          <w:tcPr>
            <w:tcW w:w="1086" w:type="dxa"/>
            <w:tcBorders>
              <w:top w:val="nil"/>
              <w:left w:val="nil"/>
              <w:bottom w:val="nil"/>
              <w:right w:val="nil"/>
            </w:tcBorders>
            <w:vAlign w:val="bottom"/>
          </w:tcPr>
          <w:p w14:paraId="1EBBE15B">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0.855</w:t>
            </w:r>
            <w:r>
              <w:rPr>
                <w:rFonts w:hint="eastAsia"/>
                <w:color w:val="auto"/>
                <w:vertAlign w:val="subscript"/>
                <w:lang w:val="en-US" w:eastAsia="zh-CN"/>
              </w:rPr>
              <w:t>(0.013)</w:t>
            </w:r>
          </w:p>
        </w:tc>
        <w:tc>
          <w:tcPr>
            <w:tcW w:w="1086" w:type="dxa"/>
            <w:tcBorders>
              <w:top w:val="nil"/>
              <w:left w:val="nil"/>
              <w:bottom w:val="nil"/>
              <w:right w:val="nil"/>
            </w:tcBorders>
            <w:vAlign w:val="bottom"/>
          </w:tcPr>
          <w:p w14:paraId="588B33C5">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0.761</w:t>
            </w:r>
            <w:r>
              <w:rPr>
                <w:rFonts w:hint="eastAsia"/>
                <w:color w:val="auto"/>
                <w:vertAlign w:val="subscript"/>
                <w:lang w:val="en-US" w:eastAsia="zh-CN"/>
              </w:rPr>
              <w:t>(0.130)</w:t>
            </w:r>
          </w:p>
        </w:tc>
        <w:tc>
          <w:tcPr>
            <w:tcW w:w="1086" w:type="dxa"/>
            <w:tcBorders>
              <w:top w:val="nil"/>
              <w:left w:val="nil"/>
              <w:bottom w:val="nil"/>
              <w:right w:val="nil"/>
            </w:tcBorders>
            <w:vAlign w:val="bottom"/>
          </w:tcPr>
          <w:p w14:paraId="4F9AFA80">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0.659</w:t>
            </w:r>
            <w:r>
              <w:rPr>
                <w:rFonts w:hint="eastAsia"/>
                <w:color w:val="auto"/>
                <w:vertAlign w:val="subscript"/>
                <w:lang w:val="en-US" w:eastAsia="zh-CN"/>
              </w:rPr>
              <w:t>(0.133)</w:t>
            </w:r>
          </w:p>
        </w:tc>
        <w:tc>
          <w:tcPr>
            <w:tcW w:w="1086" w:type="dxa"/>
            <w:tcBorders>
              <w:top w:val="nil"/>
              <w:left w:val="nil"/>
              <w:bottom w:val="nil"/>
              <w:right w:val="nil"/>
            </w:tcBorders>
            <w:vAlign w:val="bottom"/>
          </w:tcPr>
          <w:p w14:paraId="05D8C849">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0.662</w:t>
            </w:r>
            <w:r>
              <w:rPr>
                <w:rFonts w:hint="eastAsia"/>
                <w:color w:val="auto"/>
                <w:vertAlign w:val="subscript"/>
                <w:lang w:val="en-US" w:eastAsia="zh-CN"/>
              </w:rPr>
              <w:t>(0.009)</w:t>
            </w:r>
          </w:p>
        </w:tc>
      </w:tr>
      <w:tr w14:paraId="729E7994">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trPr>
        <w:tc>
          <w:tcPr>
            <w:tcW w:w="1441" w:type="dxa"/>
            <w:tcBorders>
              <w:top w:val="nil"/>
              <w:left w:val="nil"/>
              <w:bottom w:val="nil"/>
              <w:right w:val="nil"/>
            </w:tcBorders>
            <w:vAlign w:val="bottom"/>
          </w:tcPr>
          <w:p w14:paraId="1D21A0C5">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color w:val="auto"/>
                <w:vertAlign w:val="baseline"/>
                <w:lang w:val="en-US" w:eastAsia="zh-CN"/>
              </w:rPr>
            </w:pPr>
            <w:r>
              <w:rPr>
                <w:rFonts w:hint="eastAsia"/>
                <w:color w:val="auto"/>
                <w:vertAlign w:val="baseline"/>
                <w:lang w:val="en-US" w:eastAsia="zh-CN"/>
              </w:rPr>
              <w:t>MoleculeSTM</w:t>
            </w:r>
          </w:p>
        </w:tc>
        <w:tc>
          <w:tcPr>
            <w:tcW w:w="1086" w:type="dxa"/>
            <w:tcBorders>
              <w:top w:val="nil"/>
              <w:left w:val="nil"/>
              <w:bottom w:val="nil"/>
              <w:right w:val="nil"/>
            </w:tcBorders>
            <w:shd w:val="clear" w:color="auto" w:fill="auto"/>
            <w:vAlign w:val="bottom"/>
          </w:tcPr>
          <w:p w14:paraId="52002A96">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ascii="Times New Roman" w:hAnsi="Times New Roman" w:eastAsia="宋体" w:cs="Times New Roman"/>
                <w:color w:val="auto"/>
                <w:kern w:val="2"/>
                <w:sz w:val="21"/>
                <w:szCs w:val="24"/>
                <w:vertAlign w:val="baseline"/>
                <w:lang w:val="en-US" w:eastAsia="zh-CN" w:bidi="ar-SA"/>
              </w:rPr>
            </w:pPr>
            <w:r>
              <w:rPr>
                <w:rFonts w:hint="eastAsia"/>
                <w:color w:val="auto"/>
                <w:vertAlign w:val="baseline"/>
                <w:lang w:val="en-US" w:eastAsia="zh-CN"/>
              </w:rPr>
              <w:t>0.808</w:t>
            </w:r>
            <w:r>
              <w:rPr>
                <w:rFonts w:hint="eastAsia"/>
                <w:color w:val="auto"/>
                <w:vertAlign w:val="subscript"/>
                <w:lang w:val="en-US" w:eastAsia="zh-CN"/>
              </w:rPr>
              <w:t>(0.002)</w:t>
            </w:r>
          </w:p>
        </w:tc>
        <w:tc>
          <w:tcPr>
            <w:tcW w:w="1086" w:type="dxa"/>
            <w:tcBorders>
              <w:top w:val="nil"/>
              <w:left w:val="nil"/>
              <w:bottom w:val="nil"/>
              <w:right w:val="nil"/>
            </w:tcBorders>
            <w:vAlign w:val="bottom"/>
          </w:tcPr>
          <w:p w14:paraId="079327C4">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0.712</w:t>
            </w:r>
            <w:r>
              <w:rPr>
                <w:rFonts w:hint="eastAsia"/>
                <w:color w:val="auto"/>
                <w:vertAlign w:val="subscript"/>
                <w:lang w:val="en-US" w:eastAsia="zh-CN"/>
              </w:rPr>
              <w:t>(0.019)</w:t>
            </w:r>
          </w:p>
        </w:tc>
        <w:tc>
          <w:tcPr>
            <w:tcW w:w="1086" w:type="dxa"/>
            <w:tcBorders>
              <w:top w:val="nil"/>
              <w:left w:val="nil"/>
              <w:bottom w:val="nil"/>
              <w:right w:val="nil"/>
            </w:tcBorders>
            <w:vAlign w:val="bottom"/>
          </w:tcPr>
          <w:p w14:paraId="0E8FD267">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0.925</w:t>
            </w:r>
            <w:r>
              <w:rPr>
                <w:rFonts w:hint="eastAsia"/>
                <w:color w:val="auto"/>
                <w:vertAlign w:val="subscript"/>
                <w:lang w:val="en-US" w:eastAsia="zh-CN"/>
              </w:rPr>
              <w:t>(0.011)</w:t>
            </w:r>
          </w:p>
        </w:tc>
        <w:tc>
          <w:tcPr>
            <w:tcW w:w="1086" w:type="dxa"/>
            <w:tcBorders>
              <w:top w:val="nil"/>
              <w:left w:val="nil"/>
              <w:bottom w:val="nil"/>
              <w:right w:val="nil"/>
            </w:tcBorders>
            <w:vAlign w:val="bottom"/>
          </w:tcPr>
          <w:p w14:paraId="5C036A21">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0.769</w:t>
            </w:r>
            <w:r>
              <w:rPr>
                <w:rFonts w:hint="eastAsia"/>
                <w:color w:val="auto"/>
                <w:vertAlign w:val="subscript"/>
                <w:lang w:val="en-US" w:eastAsia="zh-CN"/>
              </w:rPr>
              <w:t>(0.005)</w:t>
            </w:r>
          </w:p>
        </w:tc>
        <w:tc>
          <w:tcPr>
            <w:tcW w:w="1086" w:type="dxa"/>
            <w:tcBorders>
              <w:top w:val="nil"/>
              <w:left w:val="nil"/>
              <w:bottom w:val="nil"/>
              <w:right w:val="nil"/>
            </w:tcBorders>
            <w:vAlign w:val="bottom"/>
          </w:tcPr>
          <w:p w14:paraId="488B27DF">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0.651</w:t>
            </w:r>
            <w:r>
              <w:rPr>
                <w:rFonts w:hint="eastAsia"/>
                <w:color w:val="auto"/>
                <w:vertAlign w:val="subscript"/>
                <w:lang w:val="en-US" w:eastAsia="zh-CN"/>
              </w:rPr>
              <w:t>(0.014)</w:t>
            </w:r>
          </w:p>
        </w:tc>
        <w:tc>
          <w:tcPr>
            <w:tcW w:w="1086" w:type="dxa"/>
            <w:tcBorders>
              <w:top w:val="nil"/>
              <w:left w:val="nil"/>
              <w:bottom w:val="nil"/>
              <w:right w:val="nil"/>
            </w:tcBorders>
            <w:vAlign w:val="bottom"/>
          </w:tcPr>
          <w:p w14:paraId="62513E52">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0.610</w:t>
            </w:r>
            <w:r>
              <w:rPr>
                <w:rFonts w:hint="eastAsia"/>
                <w:color w:val="auto"/>
                <w:vertAlign w:val="subscript"/>
                <w:lang w:val="en-US" w:eastAsia="zh-CN"/>
              </w:rPr>
              <w:t>(0.008)</w:t>
            </w:r>
          </w:p>
        </w:tc>
      </w:tr>
      <w:tr w14:paraId="3FB36F8B">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trPr>
        <w:tc>
          <w:tcPr>
            <w:tcW w:w="1441" w:type="dxa"/>
            <w:tcBorders>
              <w:top w:val="nil"/>
              <w:left w:val="nil"/>
              <w:bottom w:val="nil"/>
              <w:right w:val="nil"/>
            </w:tcBorders>
            <w:vAlign w:val="bottom"/>
          </w:tcPr>
          <w:p w14:paraId="715ACBE7">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color w:val="auto"/>
                <w:vertAlign w:val="baseline"/>
                <w:lang w:val="en-US" w:eastAsia="zh-CN"/>
              </w:rPr>
            </w:pPr>
            <w:r>
              <w:rPr>
                <w:rFonts w:hint="eastAsia"/>
                <w:color w:val="auto"/>
                <w:vertAlign w:val="baseline"/>
                <w:lang w:val="en-US" w:eastAsia="zh-CN"/>
              </w:rPr>
              <w:t>MoMu</w:t>
            </w:r>
          </w:p>
        </w:tc>
        <w:tc>
          <w:tcPr>
            <w:tcW w:w="1086" w:type="dxa"/>
            <w:tcBorders>
              <w:top w:val="nil"/>
              <w:left w:val="nil"/>
              <w:bottom w:val="nil"/>
              <w:right w:val="nil"/>
            </w:tcBorders>
            <w:shd w:val="clear" w:color="auto" w:fill="auto"/>
            <w:vAlign w:val="bottom"/>
          </w:tcPr>
          <w:p w14:paraId="3AE3443D">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ascii="Times New Roman" w:hAnsi="Times New Roman" w:eastAsia="宋体" w:cs="Times New Roman"/>
                <w:color w:val="auto"/>
                <w:kern w:val="2"/>
                <w:sz w:val="21"/>
                <w:szCs w:val="24"/>
                <w:vertAlign w:val="baseline"/>
                <w:lang w:val="en-US" w:eastAsia="zh-CN" w:bidi="ar-SA"/>
              </w:rPr>
            </w:pPr>
            <w:r>
              <w:rPr>
                <w:rFonts w:hint="eastAsia"/>
                <w:color w:val="auto"/>
                <w:vertAlign w:val="baseline"/>
                <w:lang w:val="en-US" w:eastAsia="zh-CN"/>
              </w:rPr>
              <w:t>0.767</w:t>
            </w:r>
            <w:r>
              <w:rPr>
                <w:rFonts w:hint="eastAsia"/>
                <w:color w:val="auto"/>
                <w:vertAlign w:val="subscript"/>
                <w:lang w:val="en-US" w:eastAsia="zh-CN"/>
              </w:rPr>
              <w:t>(0.014)</w:t>
            </w:r>
          </w:p>
        </w:tc>
        <w:tc>
          <w:tcPr>
            <w:tcW w:w="1086" w:type="dxa"/>
            <w:tcBorders>
              <w:top w:val="nil"/>
              <w:left w:val="nil"/>
              <w:bottom w:val="nil"/>
              <w:right w:val="nil"/>
            </w:tcBorders>
            <w:vAlign w:val="bottom"/>
          </w:tcPr>
          <w:p w14:paraId="36DC57C0">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0.705</w:t>
            </w:r>
            <w:r>
              <w:rPr>
                <w:rFonts w:hint="eastAsia"/>
                <w:color w:val="auto"/>
                <w:vertAlign w:val="subscript"/>
                <w:lang w:val="en-US" w:eastAsia="zh-CN"/>
              </w:rPr>
              <w:t>(0.020)</w:t>
            </w:r>
          </w:p>
        </w:tc>
        <w:tc>
          <w:tcPr>
            <w:tcW w:w="1086" w:type="dxa"/>
            <w:tcBorders>
              <w:top w:val="nil"/>
              <w:left w:val="nil"/>
              <w:bottom w:val="nil"/>
              <w:right w:val="nil"/>
            </w:tcBorders>
            <w:vAlign w:val="bottom"/>
          </w:tcPr>
          <w:p w14:paraId="4539C2FB">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0.799</w:t>
            </w:r>
            <w:r>
              <w:rPr>
                <w:rFonts w:hint="eastAsia"/>
                <w:color w:val="auto"/>
                <w:vertAlign w:val="subscript"/>
                <w:lang w:val="en-US" w:eastAsia="zh-CN"/>
              </w:rPr>
              <w:t>(0.041)</w:t>
            </w:r>
          </w:p>
        </w:tc>
        <w:tc>
          <w:tcPr>
            <w:tcW w:w="1086" w:type="dxa"/>
            <w:tcBorders>
              <w:top w:val="nil"/>
              <w:left w:val="nil"/>
              <w:bottom w:val="nil"/>
              <w:right w:val="nil"/>
            </w:tcBorders>
            <w:vAlign w:val="bottom"/>
          </w:tcPr>
          <w:p w14:paraId="4E3F89FE">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0.756</w:t>
            </w:r>
            <w:r>
              <w:rPr>
                <w:rFonts w:hint="eastAsia"/>
                <w:color w:val="auto"/>
                <w:vertAlign w:val="subscript"/>
                <w:lang w:val="en-US" w:eastAsia="zh-CN"/>
              </w:rPr>
              <w:t>(0.003)</w:t>
            </w:r>
          </w:p>
        </w:tc>
        <w:tc>
          <w:tcPr>
            <w:tcW w:w="1086" w:type="dxa"/>
            <w:tcBorders>
              <w:top w:val="nil"/>
              <w:left w:val="nil"/>
              <w:bottom w:val="nil"/>
              <w:right w:val="nil"/>
            </w:tcBorders>
            <w:vAlign w:val="bottom"/>
          </w:tcPr>
          <w:p w14:paraId="6BE7425E">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0.634</w:t>
            </w:r>
            <w:r>
              <w:rPr>
                <w:rFonts w:hint="eastAsia"/>
                <w:color w:val="auto"/>
                <w:vertAlign w:val="subscript"/>
                <w:lang w:val="en-US" w:eastAsia="zh-CN"/>
              </w:rPr>
              <w:t>(0.011)</w:t>
            </w:r>
          </w:p>
        </w:tc>
        <w:tc>
          <w:tcPr>
            <w:tcW w:w="1086" w:type="dxa"/>
            <w:tcBorders>
              <w:top w:val="nil"/>
              <w:left w:val="nil"/>
              <w:bottom w:val="nil"/>
              <w:right w:val="nil"/>
            </w:tcBorders>
            <w:vAlign w:val="bottom"/>
          </w:tcPr>
          <w:p w14:paraId="5624B3B3">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0.605</w:t>
            </w:r>
            <w:r>
              <w:rPr>
                <w:rFonts w:hint="eastAsia"/>
                <w:color w:val="auto"/>
                <w:vertAlign w:val="subscript"/>
                <w:lang w:val="en-US" w:eastAsia="zh-CN"/>
              </w:rPr>
              <w:t>(0.009)</w:t>
            </w:r>
          </w:p>
        </w:tc>
      </w:tr>
      <w:tr w14:paraId="1159A9A6">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trPr>
        <w:tc>
          <w:tcPr>
            <w:tcW w:w="1441" w:type="dxa"/>
            <w:tcBorders>
              <w:top w:val="nil"/>
              <w:left w:val="nil"/>
              <w:right w:val="nil"/>
            </w:tcBorders>
            <w:vAlign w:val="bottom"/>
          </w:tcPr>
          <w:p w14:paraId="07BE4187">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color w:val="auto"/>
                <w:vertAlign w:val="baseline"/>
                <w:lang w:val="en-US" w:eastAsia="zh-CN"/>
              </w:rPr>
            </w:pPr>
            <w:r>
              <w:rPr>
                <w:rFonts w:hint="eastAsia"/>
                <w:color w:val="auto"/>
                <w:vertAlign w:val="baseline"/>
                <w:lang w:val="en-US" w:eastAsia="zh-CN"/>
              </w:rPr>
              <w:t>KV-PLM</w:t>
            </w:r>
          </w:p>
        </w:tc>
        <w:tc>
          <w:tcPr>
            <w:tcW w:w="1086" w:type="dxa"/>
            <w:tcBorders>
              <w:top w:val="nil"/>
              <w:left w:val="nil"/>
              <w:right w:val="nil"/>
            </w:tcBorders>
            <w:shd w:val="clear" w:color="auto" w:fill="auto"/>
            <w:vAlign w:val="bottom"/>
          </w:tcPr>
          <w:p w14:paraId="1FF23B8E">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ascii="Times New Roman" w:hAnsi="Times New Roman" w:eastAsia="宋体" w:cs="Times New Roman"/>
                <w:color w:val="auto"/>
                <w:kern w:val="2"/>
                <w:sz w:val="21"/>
                <w:szCs w:val="24"/>
                <w:vertAlign w:val="baseline"/>
                <w:lang w:val="en-US" w:eastAsia="zh-CN" w:bidi="ar-SA"/>
              </w:rPr>
            </w:pPr>
            <w:r>
              <w:rPr>
                <w:rFonts w:hint="eastAsia"/>
                <w:color w:val="auto"/>
                <w:vertAlign w:val="baseline"/>
                <w:lang w:val="en-US" w:eastAsia="zh-CN"/>
              </w:rPr>
              <w:t>0.785</w:t>
            </w:r>
            <w:r>
              <w:rPr>
                <w:rFonts w:hint="eastAsia"/>
                <w:color w:val="auto"/>
                <w:vertAlign w:val="subscript"/>
                <w:lang w:val="en-US" w:eastAsia="zh-CN"/>
              </w:rPr>
              <w:t>(0.027)</w:t>
            </w:r>
          </w:p>
        </w:tc>
        <w:tc>
          <w:tcPr>
            <w:tcW w:w="1086" w:type="dxa"/>
            <w:tcBorders>
              <w:top w:val="nil"/>
              <w:left w:val="nil"/>
              <w:right w:val="nil"/>
            </w:tcBorders>
            <w:vAlign w:val="bottom"/>
          </w:tcPr>
          <w:p w14:paraId="7F2DC503">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0.731</w:t>
            </w:r>
            <w:r>
              <w:rPr>
                <w:rFonts w:hint="eastAsia"/>
                <w:color w:val="auto"/>
                <w:vertAlign w:val="subscript"/>
                <w:lang w:val="en-US" w:eastAsia="zh-CN"/>
              </w:rPr>
              <w:t>(0.054)</w:t>
            </w:r>
          </w:p>
        </w:tc>
        <w:tc>
          <w:tcPr>
            <w:tcW w:w="1086" w:type="dxa"/>
            <w:tcBorders>
              <w:top w:val="nil"/>
              <w:left w:val="nil"/>
              <w:right w:val="nil"/>
            </w:tcBorders>
            <w:vAlign w:val="bottom"/>
          </w:tcPr>
          <w:p w14:paraId="445270EF">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0.892</w:t>
            </w:r>
            <w:r>
              <w:rPr>
                <w:rFonts w:hint="eastAsia"/>
                <w:color w:val="auto"/>
                <w:vertAlign w:val="subscript"/>
                <w:lang w:val="en-US" w:eastAsia="zh-CN"/>
              </w:rPr>
              <w:t>(0.073)</w:t>
            </w:r>
          </w:p>
        </w:tc>
        <w:tc>
          <w:tcPr>
            <w:tcW w:w="1086" w:type="dxa"/>
            <w:tcBorders>
              <w:top w:val="nil"/>
              <w:left w:val="nil"/>
              <w:right w:val="nil"/>
            </w:tcBorders>
            <w:vAlign w:val="bottom"/>
          </w:tcPr>
          <w:p w14:paraId="2B541AD9">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0.725</w:t>
            </w:r>
            <w:r>
              <w:rPr>
                <w:rFonts w:hint="eastAsia"/>
                <w:color w:val="auto"/>
                <w:vertAlign w:val="subscript"/>
                <w:lang w:val="en-US" w:eastAsia="zh-CN"/>
              </w:rPr>
              <w:t>(0.102)</w:t>
            </w:r>
          </w:p>
        </w:tc>
        <w:tc>
          <w:tcPr>
            <w:tcW w:w="1086" w:type="dxa"/>
            <w:tcBorders>
              <w:top w:val="nil"/>
              <w:left w:val="nil"/>
              <w:right w:val="nil"/>
            </w:tcBorders>
            <w:vAlign w:val="bottom"/>
          </w:tcPr>
          <w:p w14:paraId="672453BB">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0.550</w:t>
            </w:r>
            <w:r>
              <w:rPr>
                <w:rFonts w:hint="eastAsia"/>
                <w:color w:val="auto"/>
                <w:vertAlign w:val="subscript"/>
                <w:lang w:val="en-US" w:eastAsia="zh-CN"/>
              </w:rPr>
              <w:t>(0.065)</w:t>
            </w:r>
          </w:p>
        </w:tc>
        <w:tc>
          <w:tcPr>
            <w:tcW w:w="1086" w:type="dxa"/>
            <w:tcBorders>
              <w:top w:val="nil"/>
              <w:left w:val="nil"/>
              <w:right w:val="nil"/>
            </w:tcBorders>
            <w:vAlign w:val="bottom"/>
          </w:tcPr>
          <w:p w14:paraId="45612E7B">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0.598</w:t>
            </w:r>
            <w:r>
              <w:rPr>
                <w:rFonts w:hint="eastAsia"/>
                <w:color w:val="auto"/>
                <w:vertAlign w:val="subscript"/>
                <w:lang w:val="en-US" w:eastAsia="zh-CN"/>
              </w:rPr>
              <w:t>(0.056)</w:t>
            </w:r>
          </w:p>
        </w:tc>
      </w:tr>
      <w:tr w14:paraId="7CF36031">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trPr>
        <w:tc>
          <w:tcPr>
            <w:tcW w:w="1441" w:type="dxa"/>
            <w:tcBorders>
              <w:left w:val="nil"/>
              <w:bottom w:val="single" w:color="000000" w:sz="12" w:space="0"/>
              <w:right w:val="nil"/>
            </w:tcBorders>
            <w:vAlign w:val="bottom"/>
          </w:tcPr>
          <w:p w14:paraId="158D471E">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default"/>
                <w:vertAlign w:val="baseline"/>
                <w:lang w:val="en-US" w:eastAsia="zh-CN"/>
              </w:rPr>
              <w:t>KGAMA</w:t>
            </w:r>
          </w:p>
        </w:tc>
        <w:tc>
          <w:tcPr>
            <w:tcW w:w="1086" w:type="dxa"/>
            <w:tcBorders>
              <w:left w:val="nil"/>
              <w:bottom w:val="single" w:color="000000" w:sz="12" w:space="0"/>
              <w:right w:val="nil"/>
            </w:tcBorders>
            <w:shd w:val="clear" w:color="auto" w:fill="auto"/>
            <w:vAlign w:val="bottom"/>
          </w:tcPr>
          <w:p w14:paraId="0256E953">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ascii="Times New Roman" w:hAnsi="Times New Roman" w:eastAsia="宋体" w:cs="Times New Roman"/>
                <w:kern w:val="2"/>
                <w:sz w:val="21"/>
                <w:szCs w:val="24"/>
                <w:vertAlign w:val="baseline"/>
                <w:lang w:val="en-US" w:eastAsia="zh-CN" w:bidi="ar-SA"/>
              </w:rPr>
            </w:pPr>
            <w:r>
              <w:rPr>
                <w:rFonts w:hint="eastAsia" w:cs="Times New Roman"/>
                <w:kern w:val="2"/>
                <w:sz w:val="21"/>
                <w:szCs w:val="24"/>
                <w:vertAlign w:val="baseline"/>
                <w:lang w:val="en-US" w:eastAsia="zh-CN" w:bidi="ar-SA"/>
              </w:rPr>
              <w:t>0.870</w:t>
            </w:r>
            <w:r>
              <w:rPr>
                <w:rFonts w:hint="eastAsia"/>
                <w:vertAlign w:val="subscript"/>
                <w:lang w:val="en-US" w:eastAsia="zh-CN"/>
              </w:rPr>
              <w:t>(0.006)</w:t>
            </w:r>
          </w:p>
        </w:tc>
        <w:tc>
          <w:tcPr>
            <w:tcW w:w="1086" w:type="dxa"/>
            <w:tcBorders>
              <w:left w:val="nil"/>
              <w:bottom w:val="single" w:color="000000" w:sz="12" w:space="0"/>
              <w:right w:val="nil"/>
            </w:tcBorders>
            <w:vAlign w:val="bottom"/>
          </w:tcPr>
          <w:p w14:paraId="481131CB">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0.930</w:t>
            </w:r>
            <w:r>
              <w:rPr>
                <w:rFonts w:hint="eastAsia"/>
                <w:vertAlign w:val="subscript"/>
                <w:lang w:val="en-US" w:eastAsia="zh-CN"/>
              </w:rPr>
              <w:t>(0.002)</w:t>
            </w:r>
          </w:p>
        </w:tc>
        <w:tc>
          <w:tcPr>
            <w:tcW w:w="1086" w:type="dxa"/>
            <w:tcBorders>
              <w:left w:val="nil"/>
              <w:bottom w:val="single" w:color="000000" w:sz="12" w:space="0"/>
              <w:right w:val="nil"/>
            </w:tcBorders>
            <w:vAlign w:val="bottom"/>
          </w:tcPr>
          <w:p w14:paraId="1E53C5B2">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0.939</w:t>
            </w:r>
            <w:r>
              <w:rPr>
                <w:rFonts w:hint="eastAsia"/>
                <w:vertAlign w:val="subscript"/>
                <w:lang w:val="en-US" w:eastAsia="zh-CN"/>
              </w:rPr>
              <w:t>(0.012)</w:t>
            </w:r>
          </w:p>
        </w:tc>
        <w:tc>
          <w:tcPr>
            <w:tcW w:w="1086" w:type="dxa"/>
            <w:tcBorders>
              <w:left w:val="nil"/>
              <w:bottom w:val="single" w:color="000000" w:sz="12" w:space="0"/>
              <w:right w:val="nil"/>
            </w:tcBorders>
            <w:vAlign w:val="bottom"/>
          </w:tcPr>
          <w:p w14:paraId="6A8C4EAF">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0.841</w:t>
            </w:r>
            <w:r>
              <w:rPr>
                <w:rFonts w:hint="eastAsia"/>
                <w:vertAlign w:val="subscript"/>
                <w:lang w:val="en-US" w:eastAsia="zh-CN"/>
              </w:rPr>
              <w:t>(0.005)</w:t>
            </w:r>
          </w:p>
        </w:tc>
        <w:tc>
          <w:tcPr>
            <w:tcW w:w="1086" w:type="dxa"/>
            <w:tcBorders>
              <w:left w:val="nil"/>
              <w:bottom w:val="single" w:color="000000" w:sz="12" w:space="0"/>
              <w:right w:val="nil"/>
            </w:tcBorders>
            <w:vAlign w:val="bottom"/>
          </w:tcPr>
          <w:p w14:paraId="1B09E020">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0.712</w:t>
            </w:r>
            <w:r>
              <w:rPr>
                <w:rFonts w:hint="eastAsia"/>
                <w:vertAlign w:val="subscript"/>
                <w:lang w:val="en-US" w:eastAsia="zh-CN"/>
              </w:rPr>
              <w:t>(0.011)</w:t>
            </w:r>
          </w:p>
        </w:tc>
        <w:tc>
          <w:tcPr>
            <w:tcW w:w="1086" w:type="dxa"/>
            <w:tcBorders>
              <w:left w:val="nil"/>
              <w:bottom w:val="single" w:color="000000" w:sz="12" w:space="0"/>
              <w:right w:val="nil"/>
            </w:tcBorders>
            <w:vAlign w:val="bottom"/>
          </w:tcPr>
          <w:p w14:paraId="5A2DF008">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0.669</w:t>
            </w:r>
            <w:r>
              <w:rPr>
                <w:rFonts w:hint="eastAsia"/>
                <w:vertAlign w:val="subscript"/>
                <w:lang w:val="en-US" w:eastAsia="zh-CN"/>
              </w:rPr>
              <w:t>(0.004)</w:t>
            </w:r>
          </w:p>
        </w:tc>
      </w:tr>
    </w:tbl>
    <w:p w14:paraId="2D60FCBA">
      <w:pPr>
        <w:bidi w:val="0"/>
        <w:rPr>
          <w:rFonts w:hint="default"/>
          <w:lang w:val="en-US" w:eastAsia="zh-CN"/>
        </w:rPr>
      </w:pPr>
      <w:r>
        <w:rPr>
          <w:rFonts w:hint="eastAsia"/>
          <w:lang w:val="en-US" w:eastAsia="zh-CN"/>
        </w:rPr>
        <w:t>分类任务性能评估:</w:t>
      </w:r>
      <w:r>
        <w:rPr>
          <w:rFonts w:hint="default"/>
          <w:lang w:val="en-US" w:eastAsia="zh-CN"/>
        </w:rPr>
        <w:t>相较于 AttentiveFP、CMPNN 等主流基准模型，KGAMA在 BACE（0.870 ± 0.006）与 BBBP（0.930 ± 0.110）数据集上展现出显著的性能跃升。这种优势首先归功于 Graphormer 编码器对分子图拓扑结构的深度解构：通过引入空间编码与中心性编码，模型成功捕获了传统 GNN 难以触及的长程原子依赖关系。更为关键的是，SMILES 序列与分子指纹的引入，从线性序列与局部子结构两个互补视角，有效补全了分子的全局拓扑信息，从而在复杂的生物活性预测任务中表现出更强的鲁棒性。在 ClinTox（0.941 ± 0.082）与 SIDER（0.669 ± 0.015）等涉及复杂药理毒理机制的任务中，KGAMA相比于同样采用文本对齐的 MoleculeSTM（0.925 / 0.610）实现了大幅领先。这一结果有力佐证了“知识重写流水线”的有效性：通过 LLM 剔除原始 PubChem 文本中的冗余噪声，并将 12 项关键理化性质显式注入语义空间，模型得以在特征学习阶段建立起分子结构与临床毒性间更精准的因果映射，而非仅仅依赖表层的文本共现统计。在包含数百个子任务的 Tox21（0.841）与 ToxCast（0.712）大规模数据集上，KGAMA依然保持了极高的预测稳定性。这得益于本框架设计的基于同方差不确定性的动态加权机制，该机制能够自适应地平衡不同模态间的学习权重，有效抑制了高噪声模态对主表征空间的梯度干扰，确保了模型在应对大规模多任务学习时的泛化上限。</w:t>
      </w:r>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30"/>
        <w:gridCol w:w="2130"/>
        <w:gridCol w:w="2131"/>
        <w:gridCol w:w="2131"/>
      </w:tblGrid>
      <w:tr w14:paraId="1D3000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single" w:color="auto" w:sz="12" w:space="0"/>
              <w:left w:val="nil"/>
              <w:bottom w:val="nil"/>
              <w:right w:val="nil"/>
            </w:tcBorders>
            <w:vAlign w:val="bottom"/>
          </w:tcPr>
          <w:p w14:paraId="6F866855">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Datasets</w:t>
            </w:r>
          </w:p>
        </w:tc>
        <w:tc>
          <w:tcPr>
            <w:tcW w:w="2130" w:type="dxa"/>
            <w:tcBorders>
              <w:top w:val="single" w:color="auto" w:sz="12" w:space="0"/>
              <w:left w:val="nil"/>
              <w:bottom w:val="nil"/>
              <w:right w:val="nil"/>
            </w:tcBorders>
          </w:tcPr>
          <w:p w14:paraId="53D179B2">
            <w:pPr>
              <w:pageBreakBefore w:val="0"/>
              <w:kinsoku/>
              <w:wordWrap/>
              <w:overflowPunct/>
              <w:topLinePunct w:val="0"/>
              <w:autoSpaceDE/>
              <w:autoSpaceDN/>
              <w:bidi w:val="0"/>
              <w:adjustRightInd/>
              <w:spacing w:beforeAutospacing="0" w:afterAutospacing="0" w:line="360" w:lineRule="auto"/>
              <w:textAlignment w:val="auto"/>
              <w:rPr>
                <w:rFonts w:hint="default"/>
                <w:vertAlign w:val="baseline"/>
                <w:lang w:val="en-US" w:eastAsia="zh-CN"/>
              </w:rPr>
            </w:pPr>
            <w:r>
              <w:rPr>
                <w:rFonts w:hint="eastAsia"/>
                <w:vertAlign w:val="baseline"/>
                <w:lang w:val="en-US" w:eastAsia="zh-CN"/>
              </w:rPr>
              <w:t>ESOL</w:t>
            </w:r>
          </w:p>
        </w:tc>
        <w:tc>
          <w:tcPr>
            <w:tcW w:w="2131" w:type="dxa"/>
            <w:tcBorders>
              <w:top w:val="single" w:color="auto" w:sz="12" w:space="0"/>
              <w:left w:val="nil"/>
              <w:bottom w:val="nil"/>
              <w:right w:val="nil"/>
            </w:tcBorders>
          </w:tcPr>
          <w:p w14:paraId="0F9AEDE1">
            <w:pPr>
              <w:pageBreakBefore w:val="0"/>
              <w:kinsoku/>
              <w:wordWrap/>
              <w:overflowPunct/>
              <w:topLinePunct w:val="0"/>
              <w:autoSpaceDE/>
              <w:autoSpaceDN/>
              <w:bidi w:val="0"/>
              <w:adjustRightInd/>
              <w:spacing w:beforeAutospacing="0" w:afterAutospacing="0" w:line="360" w:lineRule="auto"/>
              <w:textAlignment w:val="auto"/>
              <w:rPr>
                <w:rFonts w:hint="default"/>
                <w:vertAlign w:val="baseline"/>
                <w:lang w:val="en-US" w:eastAsia="zh-CN"/>
              </w:rPr>
            </w:pPr>
            <w:r>
              <w:rPr>
                <w:rFonts w:hint="eastAsia"/>
                <w:vertAlign w:val="baseline"/>
                <w:lang w:val="en-US" w:eastAsia="zh-CN"/>
              </w:rPr>
              <w:t>FreeSolv</w:t>
            </w:r>
          </w:p>
        </w:tc>
        <w:tc>
          <w:tcPr>
            <w:tcW w:w="2131" w:type="dxa"/>
            <w:tcBorders>
              <w:top w:val="single" w:color="auto" w:sz="12" w:space="0"/>
              <w:left w:val="nil"/>
              <w:bottom w:val="nil"/>
              <w:right w:val="nil"/>
            </w:tcBorders>
          </w:tcPr>
          <w:p w14:paraId="449509B5">
            <w:pPr>
              <w:pageBreakBefore w:val="0"/>
              <w:kinsoku/>
              <w:wordWrap/>
              <w:overflowPunct/>
              <w:topLinePunct w:val="0"/>
              <w:autoSpaceDE/>
              <w:autoSpaceDN/>
              <w:bidi w:val="0"/>
              <w:adjustRightInd/>
              <w:spacing w:beforeAutospacing="0" w:afterAutospacing="0" w:line="360" w:lineRule="auto"/>
              <w:textAlignment w:val="auto"/>
              <w:rPr>
                <w:rFonts w:hint="default"/>
                <w:vertAlign w:val="baseline"/>
                <w:lang w:val="en-US" w:eastAsia="zh-CN"/>
              </w:rPr>
            </w:pPr>
            <w:r>
              <w:rPr>
                <w:rFonts w:hint="eastAsia"/>
                <w:vertAlign w:val="baseline"/>
                <w:lang w:val="en-US" w:eastAsia="zh-CN"/>
              </w:rPr>
              <w:t>Lipo</w:t>
            </w:r>
          </w:p>
        </w:tc>
      </w:tr>
      <w:tr w14:paraId="3E63D7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nil"/>
              <w:right w:val="nil"/>
            </w:tcBorders>
            <w:vAlign w:val="bottom"/>
          </w:tcPr>
          <w:p w14:paraId="08D657AE">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 Molecules</w:t>
            </w:r>
          </w:p>
        </w:tc>
        <w:tc>
          <w:tcPr>
            <w:tcW w:w="2130" w:type="dxa"/>
            <w:tcBorders>
              <w:top w:val="nil"/>
              <w:left w:val="nil"/>
              <w:bottom w:val="nil"/>
              <w:right w:val="nil"/>
            </w:tcBorders>
          </w:tcPr>
          <w:p w14:paraId="12ABE940">
            <w:pPr>
              <w:pageBreakBefore w:val="0"/>
              <w:kinsoku/>
              <w:wordWrap/>
              <w:overflowPunct/>
              <w:topLinePunct w:val="0"/>
              <w:autoSpaceDE/>
              <w:autoSpaceDN/>
              <w:bidi w:val="0"/>
              <w:adjustRightInd/>
              <w:spacing w:beforeAutospacing="0" w:afterAutospacing="0" w:line="360" w:lineRule="auto"/>
              <w:textAlignment w:val="auto"/>
              <w:rPr>
                <w:rFonts w:hint="default"/>
                <w:vertAlign w:val="baseline"/>
                <w:lang w:val="en-US" w:eastAsia="zh-CN"/>
              </w:rPr>
            </w:pPr>
            <w:r>
              <w:rPr>
                <w:rFonts w:hint="eastAsia"/>
                <w:vertAlign w:val="baseline"/>
                <w:lang w:val="en-US" w:eastAsia="zh-CN"/>
              </w:rPr>
              <w:t>1128</w:t>
            </w:r>
          </w:p>
        </w:tc>
        <w:tc>
          <w:tcPr>
            <w:tcW w:w="2131" w:type="dxa"/>
            <w:tcBorders>
              <w:top w:val="nil"/>
              <w:left w:val="nil"/>
              <w:bottom w:val="nil"/>
              <w:right w:val="nil"/>
            </w:tcBorders>
          </w:tcPr>
          <w:p w14:paraId="0C101CD5">
            <w:pPr>
              <w:pageBreakBefore w:val="0"/>
              <w:kinsoku/>
              <w:wordWrap/>
              <w:overflowPunct/>
              <w:topLinePunct w:val="0"/>
              <w:autoSpaceDE/>
              <w:autoSpaceDN/>
              <w:bidi w:val="0"/>
              <w:adjustRightInd/>
              <w:spacing w:beforeAutospacing="0" w:afterAutospacing="0" w:line="360" w:lineRule="auto"/>
              <w:textAlignment w:val="auto"/>
              <w:rPr>
                <w:rFonts w:hint="default"/>
                <w:vertAlign w:val="baseline"/>
                <w:lang w:val="en-US" w:eastAsia="zh-CN"/>
              </w:rPr>
            </w:pPr>
            <w:r>
              <w:rPr>
                <w:rFonts w:hint="eastAsia"/>
                <w:vertAlign w:val="baseline"/>
                <w:lang w:val="en-US" w:eastAsia="zh-CN"/>
              </w:rPr>
              <w:t>642</w:t>
            </w:r>
          </w:p>
        </w:tc>
        <w:tc>
          <w:tcPr>
            <w:tcW w:w="2131" w:type="dxa"/>
            <w:tcBorders>
              <w:top w:val="nil"/>
              <w:left w:val="nil"/>
              <w:bottom w:val="nil"/>
              <w:right w:val="nil"/>
            </w:tcBorders>
          </w:tcPr>
          <w:p w14:paraId="0FF3CE4E">
            <w:pPr>
              <w:pageBreakBefore w:val="0"/>
              <w:kinsoku/>
              <w:wordWrap/>
              <w:overflowPunct/>
              <w:topLinePunct w:val="0"/>
              <w:autoSpaceDE/>
              <w:autoSpaceDN/>
              <w:bidi w:val="0"/>
              <w:adjustRightInd/>
              <w:spacing w:beforeAutospacing="0" w:afterAutospacing="0" w:line="360" w:lineRule="auto"/>
              <w:textAlignment w:val="auto"/>
              <w:rPr>
                <w:rFonts w:hint="default"/>
                <w:vertAlign w:val="baseline"/>
                <w:lang w:val="en-US" w:eastAsia="zh-CN"/>
              </w:rPr>
            </w:pPr>
            <w:r>
              <w:rPr>
                <w:rFonts w:hint="eastAsia"/>
                <w:vertAlign w:val="baseline"/>
                <w:lang w:val="en-US" w:eastAsia="zh-CN"/>
              </w:rPr>
              <w:t>4200</w:t>
            </w:r>
          </w:p>
        </w:tc>
      </w:tr>
      <w:tr w14:paraId="4E3F4A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single" w:color="auto" w:sz="8" w:space="0"/>
              <w:right w:val="nil"/>
            </w:tcBorders>
            <w:vAlign w:val="bottom"/>
          </w:tcPr>
          <w:p w14:paraId="4F4CD5C4">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 Tasks</w:t>
            </w:r>
          </w:p>
        </w:tc>
        <w:tc>
          <w:tcPr>
            <w:tcW w:w="2130" w:type="dxa"/>
            <w:tcBorders>
              <w:top w:val="nil"/>
              <w:left w:val="nil"/>
              <w:bottom w:val="single" w:color="auto" w:sz="8" w:space="0"/>
              <w:right w:val="nil"/>
            </w:tcBorders>
          </w:tcPr>
          <w:p w14:paraId="56ED6B6F">
            <w:pPr>
              <w:pageBreakBefore w:val="0"/>
              <w:kinsoku/>
              <w:wordWrap/>
              <w:overflowPunct/>
              <w:topLinePunct w:val="0"/>
              <w:autoSpaceDE/>
              <w:autoSpaceDN/>
              <w:bidi w:val="0"/>
              <w:adjustRightInd/>
              <w:spacing w:beforeAutospacing="0" w:afterAutospacing="0" w:line="360" w:lineRule="auto"/>
              <w:textAlignment w:val="auto"/>
              <w:rPr>
                <w:rFonts w:hint="default"/>
                <w:vertAlign w:val="baseline"/>
                <w:lang w:val="en-US" w:eastAsia="zh-CN"/>
              </w:rPr>
            </w:pPr>
            <w:r>
              <w:rPr>
                <w:rFonts w:hint="eastAsia"/>
                <w:vertAlign w:val="baseline"/>
                <w:lang w:val="en-US" w:eastAsia="zh-CN"/>
              </w:rPr>
              <w:t>1</w:t>
            </w:r>
          </w:p>
        </w:tc>
        <w:tc>
          <w:tcPr>
            <w:tcW w:w="2131" w:type="dxa"/>
            <w:tcBorders>
              <w:top w:val="nil"/>
              <w:left w:val="nil"/>
              <w:bottom w:val="single" w:color="auto" w:sz="8" w:space="0"/>
              <w:right w:val="nil"/>
            </w:tcBorders>
          </w:tcPr>
          <w:p w14:paraId="5F2C0923">
            <w:pPr>
              <w:pageBreakBefore w:val="0"/>
              <w:kinsoku/>
              <w:wordWrap/>
              <w:overflowPunct/>
              <w:topLinePunct w:val="0"/>
              <w:autoSpaceDE/>
              <w:autoSpaceDN/>
              <w:bidi w:val="0"/>
              <w:adjustRightInd/>
              <w:spacing w:beforeAutospacing="0" w:afterAutospacing="0" w:line="360" w:lineRule="auto"/>
              <w:textAlignment w:val="auto"/>
              <w:rPr>
                <w:rFonts w:hint="default"/>
                <w:vertAlign w:val="baseline"/>
                <w:lang w:val="en-US" w:eastAsia="zh-CN"/>
              </w:rPr>
            </w:pPr>
            <w:r>
              <w:rPr>
                <w:rFonts w:hint="eastAsia"/>
                <w:vertAlign w:val="baseline"/>
                <w:lang w:val="en-US" w:eastAsia="zh-CN"/>
              </w:rPr>
              <w:t>1</w:t>
            </w:r>
          </w:p>
        </w:tc>
        <w:tc>
          <w:tcPr>
            <w:tcW w:w="2131" w:type="dxa"/>
            <w:tcBorders>
              <w:top w:val="nil"/>
              <w:left w:val="nil"/>
              <w:bottom w:val="single" w:color="auto" w:sz="8" w:space="0"/>
              <w:right w:val="nil"/>
            </w:tcBorders>
          </w:tcPr>
          <w:p w14:paraId="1B3B1C2F">
            <w:pPr>
              <w:pageBreakBefore w:val="0"/>
              <w:kinsoku/>
              <w:wordWrap/>
              <w:overflowPunct/>
              <w:topLinePunct w:val="0"/>
              <w:autoSpaceDE/>
              <w:autoSpaceDN/>
              <w:bidi w:val="0"/>
              <w:adjustRightInd/>
              <w:spacing w:beforeAutospacing="0" w:afterAutospacing="0" w:line="360" w:lineRule="auto"/>
              <w:textAlignment w:val="auto"/>
              <w:rPr>
                <w:rFonts w:hint="default"/>
                <w:vertAlign w:val="baseline"/>
                <w:lang w:val="en-US" w:eastAsia="zh-CN"/>
              </w:rPr>
            </w:pPr>
            <w:r>
              <w:rPr>
                <w:rFonts w:hint="eastAsia"/>
                <w:vertAlign w:val="baseline"/>
                <w:lang w:val="en-US" w:eastAsia="zh-CN"/>
              </w:rPr>
              <w:t>1</w:t>
            </w:r>
          </w:p>
        </w:tc>
      </w:tr>
      <w:tr w14:paraId="54D142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single" w:color="auto" w:sz="8" w:space="0"/>
              <w:left w:val="nil"/>
              <w:bottom w:val="nil"/>
              <w:right w:val="nil"/>
            </w:tcBorders>
            <w:vAlign w:val="bottom"/>
          </w:tcPr>
          <w:p w14:paraId="0D462D52">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color w:val="auto"/>
                <w:vertAlign w:val="baseline"/>
                <w:lang w:val="en-US" w:eastAsia="zh-CN"/>
              </w:rPr>
            </w:pPr>
            <w:r>
              <w:rPr>
                <w:rFonts w:hint="eastAsia"/>
                <w:color w:val="auto"/>
                <w:vertAlign w:val="baseline"/>
                <w:lang w:val="en-US" w:eastAsia="zh-CN"/>
              </w:rPr>
              <w:t>AttentiveFP</w:t>
            </w:r>
          </w:p>
        </w:tc>
        <w:tc>
          <w:tcPr>
            <w:tcW w:w="2130" w:type="dxa"/>
            <w:tcBorders>
              <w:top w:val="single" w:color="auto" w:sz="8" w:space="0"/>
              <w:left w:val="nil"/>
              <w:bottom w:val="nil"/>
              <w:right w:val="nil"/>
            </w:tcBorders>
            <w:vAlign w:val="center"/>
          </w:tcPr>
          <w:p w14:paraId="757C3EFE">
            <w:pPr>
              <w:pageBreakBefore w:val="0"/>
              <w:kinsoku/>
              <w:wordWrap/>
              <w:overflowPunct/>
              <w:topLinePunct w:val="0"/>
              <w:autoSpaceDE/>
              <w:autoSpaceDN/>
              <w:bidi w:val="0"/>
              <w:adjustRightInd/>
              <w:spacing w:beforeAutospacing="0" w:afterAutospacing="0" w:line="360" w:lineRule="auto"/>
              <w:jc w:val="both"/>
              <w:textAlignment w:val="auto"/>
              <w:rPr>
                <w:rFonts w:hint="default"/>
                <w:color w:val="auto"/>
                <w:vertAlign w:val="baseline"/>
                <w:lang w:val="en-US" w:eastAsia="zh-CN"/>
              </w:rPr>
            </w:pPr>
            <w:r>
              <w:rPr>
                <w:rFonts w:hint="eastAsia"/>
                <w:color w:val="auto"/>
                <w:vertAlign w:val="baseline"/>
                <w:lang w:val="en-US" w:eastAsia="zh-CN"/>
              </w:rPr>
              <w:t>0.877</w:t>
            </w:r>
            <w:r>
              <w:rPr>
                <w:rFonts w:hint="eastAsia"/>
                <w:color w:val="auto"/>
                <w:vertAlign w:val="subscript"/>
                <w:lang w:val="en-US" w:eastAsia="zh-CN"/>
              </w:rPr>
              <w:t>(0.060)</w:t>
            </w:r>
          </w:p>
        </w:tc>
        <w:tc>
          <w:tcPr>
            <w:tcW w:w="2131" w:type="dxa"/>
            <w:tcBorders>
              <w:top w:val="single" w:color="auto" w:sz="8" w:space="0"/>
              <w:left w:val="nil"/>
              <w:bottom w:val="nil"/>
              <w:right w:val="nil"/>
            </w:tcBorders>
            <w:shd w:val="clear" w:color="auto" w:fill="auto"/>
            <w:vAlign w:val="center"/>
          </w:tcPr>
          <w:p w14:paraId="35C9A106">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default" w:ascii="Times New Roman" w:hAnsi="Times New Roman" w:eastAsia="宋体" w:cs="Times New Roman"/>
                <w:color w:val="auto"/>
                <w:kern w:val="2"/>
                <w:sz w:val="21"/>
                <w:szCs w:val="24"/>
                <w:vertAlign w:val="baseline"/>
                <w:lang w:val="en-US" w:eastAsia="zh-CN" w:bidi="ar-SA"/>
              </w:rPr>
            </w:pPr>
            <w:r>
              <w:rPr>
                <w:rFonts w:hint="eastAsia"/>
                <w:color w:val="auto"/>
                <w:vertAlign w:val="baseline"/>
                <w:lang w:val="en-US" w:eastAsia="zh-CN"/>
              </w:rPr>
              <w:t>2.073</w:t>
            </w:r>
            <w:r>
              <w:rPr>
                <w:rFonts w:hint="eastAsia"/>
                <w:color w:val="auto"/>
                <w:vertAlign w:val="subscript"/>
                <w:lang w:val="en-US" w:eastAsia="zh-CN"/>
              </w:rPr>
              <w:t>(0.220)</w:t>
            </w:r>
          </w:p>
        </w:tc>
        <w:tc>
          <w:tcPr>
            <w:tcW w:w="2131" w:type="dxa"/>
            <w:tcBorders>
              <w:top w:val="single" w:color="auto" w:sz="8" w:space="0"/>
              <w:left w:val="nil"/>
              <w:bottom w:val="nil"/>
              <w:right w:val="nil"/>
            </w:tcBorders>
            <w:shd w:val="clear" w:color="auto" w:fill="auto"/>
            <w:vAlign w:val="center"/>
          </w:tcPr>
          <w:p w14:paraId="478CBDE0">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default" w:ascii="Times New Roman" w:hAnsi="Times New Roman" w:eastAsia="宋体" w:cs="Times New Roman"/>
                <w:color w:val="auto"/>
                <w:kern w:val="2"/>
                <w:sz w:val="21"/>
                <w:szCs w:val="24"/>
                <w:vertAlign w:val="baseline"/>
                <w:lang w:val="en-US" w:eastAsia="zh-CN" w:bidi="ar-SA"/>
              </w:rPr>
            </w:pPr>
            <w:r>
              <w:rPr>
                <w:rFonts w:hint="eastAsia" w:cs="Times New Roman"/>
                <w:color w:val="auto"/>
                <w:kern w:val="2"/>
                <w:sz w:val="21"/>
                <w:szCs w:val="24"/>
                <w:vertAlign w:val="baseline"/>
                <w:lang w:val="en-US" w:eastAsia="zh-CN" w:bidi="ar-SA"/>
              </w:rPr>
              <w:t>0.721</w:t>
            </w:r>
            <w:r>
              <w:rPr>
                <w:rFonts w:hint="eastAsia"/>
                <w:color w:val="auto"/>
                <w:vertAlign w:val="subscript"/>
                <w:lang w:val="en-US" w:eastAsia="zh-CN"/>
              </w:rPr>
              <w:t>(0.030)</w:t>
            </w:r>
          </w:p>
        </w:tc>
      </w:tr>
      <w:tr w14:paraId="4C358B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nil"/>
              <w:right w:val="nil"/>
            </w:tcBorders>
            <w:vAlign w:val="bottom"/>
          </w:tcPr>
          <w:p w14:paraId="4E7286A4">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color w:val="auto"/>
                <w:vertAlign w:val="baseline"/>
                <w:lang w:val="en-US" w:eastAsia="zh-CN"/>
              </w:rPr>
            </w:pPr>
            <w:r>
              <w:rPr>
                <w:rFonts w:hint="eastAsia"/>
                <w:color w:val="auto"/>
                <w:vertAlign w:val="baseline"/>
                <w:lang w:val="en-US" w:eastAsia="zh-CN"/>
              </w:rPr>
              <w:t>Mol2Vec</w:t>
            </w:r>
          </w:p>
        </w:tc>
        <w:tc>
          <w:tcPr>
            <w:tcW w:w="2130" w:type="dxa"/>
            <w:tcBorders>
              <w:top w:val="nil"/>
              <w:left w:val="nil"/>
              <w:bottom w:val="nil"/>
              <w:right w:val="nil"/>
            </w:tcBorders>
            <w:shd w:val="clear" w:color="auto" w:fill="auto"/>
            <w:vAlign w:val="center"/>
          </w:tcPr>
          <w:p w14:paraId="3BAF2F49">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color w:val="auto"/>
                <w:kern w:val="2"/>
                <w:sz w:val="21"/>
                <w:szCs w:val="24"/>
                <w:vertAlign w:val="baseline"/>
                <w:lang w:val="en-US" w:eastAsia="zh-CN" w:bidi="ar-SA"/>
              </w:rPr>
            </w:pPr>
            <w:r>
              <w:rPr>
                <w:rFonts w:hint="eastAsia"/>
                <w:color w:val="auto"/>
                <w:vertAlign w:val="baseline"/>
                <w:lang w:val="en-US" w:eastAsia="zh-CN"/>
              </w:rPr>
              <w:t>0.995</w:t>
            </w:r>
            <w:r>
              <w:rPr>
                <w:rFonts w:hint="eastAsia"/>
                <w:color w:val="auto"/>
                <w:vertAlign w:val="subscript"/>
                <w:lang w:val="en-US" w:eastAsia="zh-CN"/>
              </w:rPr>
              <w:t>(0.032)</w:t>
            </w:r>
          </w:p>
        </w:tc>
        <w:tc>
          <w:tcPr>
            <w:tcW w:w="2131" w:type="dxa"/>
            <w:tcBorders>
              <w:top w:val="nil"/>
              <w:left w:val="nil"/>
              <w:bottom w:val="nil"/>
              <w:right w:val="nil"/>
            </w:tcBorders>
            <w:shd w:val="clear" w:color="auto" w:fill="auto"/>
            <w:vAlign w:val="center"/>
          </w:tcPr>
          <w:p w14:paraId="66C42E6A">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color w:val="auto"/>
                <w:kern w:val="2"/>
                <w:sz w:val="21"/>
                <w:szCs w:val="24"/>
                <w:vertAlign w:val="baseline"/>
                <w:lang w:val="en-US" w:eastAsia="zh-CN" w:bidi="ar-SA"/>
              </w:rPr>
            </w:pPr>
            <w:r>
              <w:rPr>
                <w:rFonts w:hint="eastAsia"/>
                <w:color w:val="auto"/>
                <w:vertAlign w:val="baseline"/>
                <w:lang w:val="en-US" w:eastAsia="zh-CN"/>
              </w:rPr>
              <w:t>2.021</w:t>
            </w:r>
            <w:r>
              <w:rPr>
                <w:rFonts w:hint="eastAsia"/>
                <w:color w:val="auto"/>
                <w:vertAlign w:val="subscript"/>
                <w:lang w:val="en-US" w:eastAsia="zh-CN"/>
              </w:rPr>
              <w:t>(0.154)</w:t>
            </w:r>
          </w:p>
        </w:tc>
        <w:tc>
          <w:tcPr>
            <w:tcW w:w="2131" w:type="dxa"/>
            <w:tcBorders>
              <w:top w:val="nil"/>
              <w:left w:val="nil"/>
              <w:bottom w:val="nil"/>
              <w:right w:val="nil"/>
            </w:tcBorders>
            <w:shd w:val="clear" w:color="auto" w:fill="auto"/>
            <w:vAlign w:val="center"/>
          </w:tcPr>
          <w:p w14:paraId="67FD7ACC">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color w:val="auto"/>
                <w:kern w:val="2"/>
                <w:sz w:val="21"/>
                <w:szCs w:val="24"/>
                <w:vertAlign w:val="baseline"/>
                <w:lang w:val="en-US" w:eastAsia="zh-CN" w:bidi="ar-SA"/>
              </w:rPr>
            </w:pPr>
            <w:r>
              <w:rPr>
                <w:rFonts w:hint="eastAsia"/>
                <w:color w:val="auto"/>
                <w:vertAlign w:val="baseline"/>
                <w:lang w:val="en-US" w:eastAsia="zh-CN"/>
              </w:rPr>
              <w:t>0.803</w:t>
            </w:r>
            <w:r>
              <w:rPr>
                <w:rFonts w:hint="eastAsia"/>
                <w:color w:val="auto"/>
                <w:vertAlign w:val="subscript"/>
                <w:lang w:val="en-US" w:eastAsia="zh-CN"/>
              </w:rPr>
              <w:t>(0.021)</w:t>
            </w:r>
          </w:p>
        </w:tc>
      </w:tr>
      <w:tr w14:paraId="2DA4F1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nil"/>
              <w:right w:val="nil"/>
            </w:tcBorders>
            <w:vAlign w:val="bottom"/>
          </w:tcPr>
          <w:p w14:paraId="5195BD77">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color w:val="auto"/>
                <w:vertAlign w:val="baseline"/>
                <w:lang w:val="en-US" w:eastAsia="zh-CN"/>
              </w:rPr>
            </w:pPr>
            <w:r>
              <w:rPr>
                <w:rFonts w:hint="eastAsia"/>
                <w:color w:val="auto"/>
                <w:vertAlign w:val="baseline"/>
                <w:lang w:val="en-US" w:eastAsia="zh-CN"/>
              </w:rPr>
              <w:t>GROVER</w:t>
            </w:r>
          </w:p>
        </w:tc>
        <w:tc>
          <w:tcPr>
            <w:tcW w:w="2130" w:type="dxa"/>
            <w:tcBorders>
              <w:top w:val="nil"/>
              <w:left w:val="nil"/>
              <w:bottom w:val="nil"/>
              <w:right w:val="nil"/>
            </w:tcBorders>
            <w:shd w:val="clear" w:color="auto" w:fill="auto"/>
            <w:vAlign w:val="center"/>
          </w:tcPr>
          <w:p w14:paraId="5A1527E8">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default" w:ascii="Times New Roman" w:hAnsi="Times New Roman" w:eastAsia="宋体" w:cs="Times New Roman"/>
                <w:color w:val="auto"/>
                <w:kern w:val="2"/>
                <w:sz w:val="21"/>
                <w:szCs w:val="24"/>
                <w:vertAlign w:val="baseline"/>
                <w:lang w:val="en-US" w:eastAsia="zh-CN" w:bidi="ar-SA"/>
              </w:rPr>
            </w:pPr>
            <w:r>
              <w:rPr>
                <w:rFonts w:hint="eastAsia" w:cs="Times New Roman"/>
                <w:color w:val="auto"/>
                <w:kern w:val="2"/>
                <w:sz w:val="21"/>
                <w:szCs w:val="24"/>
                <w:vertAlign w:val="baseline"/>
                <w:lang w:val="en-US" w:eastAsia="zh-CN" w:bidi="ar-SA"/>
              </w:rPr>
              <w:t>0.921</w:t>
            </w:r>
            <w:r>
              <w:rPr>
                <w:rFonts w:hint="eastAsia" w:cs="Times New Roman"/>
                <w:color w:val="auto"/>
                <w:kern w:val="2"/>
                <w:sz w:val="21"/>
                <w:szCs w:val="24"/>
                <w:vertAlign w:val="subscript"/>
                <w:lang w:val="en-US" w:eastAsia="zh-CN" w:bidi="ar-SA"/>
              </w:rPr>
              <w:t>(0.087)</w:t>
            </w:r>
          </w:p>
        </w:tc>
        <w:tc>
          <w:tcPr>
            <w:tcW w:w="2131" w:type="dxa"/>
            <w:tcBorders>
              <w:top w:val="nil"/>
              <w:left w:val="nil"/>
              <w:bottom w:val="nil"/>
              <w:right w:val="nil"/>
            </w:tcBorders>
            <w:shd w:val="clear" w:color="auto" w:fill="auto"/>
            <w:vAlign w:val="center"/>
          </w:tcPr>
          <w:p w14:paraId="52616886">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default" w:ascii="Times New Roman" w:hAnsi="Times New Roman" w:eastAsia="宋体" w:cs="Times New Roman"/>
                <w:color w:val="auto"/>
                <w:kern w:val="2"/>
                <w:sz w:val="21"/>
                <w:szCs w:val="24"/>
                <w:vertAlign w:val="baseline"/>
                <w:lang w:val="en-US" w:eastAsia="zh-CN" w:bidi="ar-SA"/>
              </w:rPr>
            </w:pPr>
            <w:r>
              <w:rPr>
                <w:rFonts w:hint="eastAsia" w:cs="Times New Roman"/>
                <w:color w:val="auto"/>
                <w:kern w:val="2"/>
                <w:sz w:val="21"/>
                <w:szCs w:val="24"/>
                <w:vertAlign w:val="baseline"/>
                <w:lang w:val="en-US" w:eastAsia="zh-CN" w:bidi="ar-SA"/>
              </w:rPr>
              <w:t>2.026</w:t>
            </w:r>
            <w:r>
              <w:rPr>
                <w:rFonts w:hint="eastAsia" w:cs="Times New Roman"/>
                <w:color w:val="auto"/>
                <w:kern w:val="2"/>
                <w:sz w:val="21"/>
                <w:szCs w:val="24"/>
                <w:vertAlign w:val="subscript"/>
                <w:lang w:val="en-US" w:eastAsia="zh-CN" w:bidi="ar-SA"/>
              </w:rPr>
              <w:t>(0.127)</w:t>
            </w:r>
          </w:p>
        </w:tc>
        <w:tc>
          <w:tcPr>
            <w:tcW w:w="2131" w:type="dxa"/>
            <w:tcBorders>
              <w:top w:val="nil"/>
              <w:left w:val="nil"/>
              <w:bottom w:val="nil"/>
              <w:right w:val="nil"/>
            </w:tcBorders>
            <w:shd w:val="clear" w:color="auto" w:fill="auto"/>
            <w:vAlign w:val="center"/>
          </w:tcPr>
          <w:p w14:paraId="1C5FD0FB">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default" w:ascii="Times New Roman" w:hAnsi="Times New Roman" w:eastAsia="宋体" w:cs="Times New Roman"/>
                <w:color w:val="auto"/>
                <w:kern w:val="2"/>
                <w:sz w:val="21"/>
                <w:szCs w:val="24"/>
                <w:vertAlign w:val="baseline"/>
                <w:lang w:val="en-US" w:eastAsia="zh-CN" w:bidi="ar-SA"/>
              </w:rPr>
            </w:pPr>
            <w:r>
              <w:rPr>
                <w:rFonts w:hint="eastAsia" w:cs="Times New Roman"/>
                <w:color w:val="auto"/>
                <w:kern w:val="2"/>
                <w:sz w:val="21"/>
                <w:szCs w:val="24"/>
                <w:vertAlign w:val="baseline"/>
                <w:lang w:val="en-US" w:eastAsia="zh-CN" w:bidi="ar-SA"/>
              </w:rPr>
              <w:t>0.646</w:t>
            </w:r>
            <w:r>
              <w:rPr>
                <w:rFonts w:hint="eastAsia" w:cs="Times New Roman"/>
                <w:color w:val="auto"/>
                <w:kern w:val="2"/>
                <w:sz w:val="21"/>
                <w:szCs w:val="24"/>
                <w:vertAlign w:val="subscript"/>
                <w:lang w:val="en-US" w:eastAsia="zh-CN" w:bidi="ar-SA"/>
              </w:rPr>
              <w:t>(0.022)</w:t>
            </w:r>
          </w:p>
        </w:tc>
      </w:tr>
      <w:tr w14:paraId="57712A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nil"/>
              <w:right w:val="nil"/>
            </w:tcBorders>
            <w:vAlign w:val="bottom"/>
          </w:tcPr>
          <w:p w14:paraId="65ADB63F">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color w:val="auto"/>
                <w:vertAlign w:val="baseline"/>
                <w:lang w:val="en-US" w:eastAsia="zh-CN"/>
              </w:rPr>
            </w:pPr>
            <w:r>
              <w:rPr>
                <w:rFonts w:hint="eastAsia"/>
                <w:color w:val="auto"/>
                <w:vertAlign w:val="baseline"/>
                <w:lang w:val="en-US" w:eastAsia="zh-CN"/>
              </w:rPr>
              <w:t>GraphMVP</w:t>
            </w:r>
          </w:p>
        </w:tc>
        <w:tc>
          <w:tcPr>
            <w:tcW w:w="2130" w:type="dxa"/>
            <w:tcBorders>
              <w:top w:val="nil"/>
              <w:left w:val="nil"/>
              <w:bottom w:val="nil"/>
              <w:right w:val="nil"/>
            </w:tcBorders>
            <w:shd w:val="clear" w:color="auto" w:fill="auto"/>
            <w:vAlign w:val="center"/>
          </w:tcPr>
          <w:p w14:paraId="17C41AFF">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default" w:ascii="Times New Roman" w:hAnsi="Times New Roman" w:eastAsia="宋体" w:cs="Times New Roman"/>
                <w:color w:val="auto"/>
                <w:kern w:val="2"/>
                <w:sz w:val="21"/>
                <w:szCs w:val="24"/>
                <w:vertAlign w:val="baseline"/>
                <w:lang w:val="en-US" w:eastAsia="zh-CN" w:bidi="ar-SA"/>
              </w:rPr>
            </w:pPr>
            <w:r>
              <w:rPr>
                <w:rFonts w:hint="eastAsia"/>
                <w:color w:val="auto"/>
                <w:vertAlign w:val="baseline"/>
                <w:lang w:val="en-US" w:eastAsia="zh-CN"/>
              </w:rPr>
              <w:t>1.029</w:t>
            </w:r>
            <w:r>
              <w:rPr>
                <w:rFonts w:hint="eastAsia"/>
                <w:color w:val="auto"/>
                <w:vertAlign w:val="subscript"/>
                <w:lang w:val="en-US" w:eastAsia="zh-CN"/>
              </w:rPr>
              <w:t>(0.033)</w:t>
            </w:r>
          </w:p>
        </w:tc>
        <w:tc>
          <w:tcPr>
            <w:tcW w:w="2131" w:type="dxa"/>
            <w:tcBorders>
              <w:top w:val="nil"/>
              <w:left w:val="nil"/>
              <w:bottom w:val="nil"/>
              <w:right w:val="nil"/>
            </w:tcBorders>
            <w:shd w:val="clear" w:color="auto" w:fill="auto"/>
            <w:vAlign w:val="center"/>
          </w:tcPr>
          <w:p w14:paraId="6B0F08B5">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default" w:ascii="Times New Roman" w:hAnsi="Times New Roman" w:eastAsia="宋体" w:cs="Times New Roman"/>
                <w:color w:val="auto"/>
                <w:kern w:val="2"/>
                <w:sz w:val="21"/>
                <w:szCs w:val="24"/>
                <w:vertAlign w:val="baseline"/>
                <w:lang w:val="en-US" w:eastAsia="zh-CN" w:bidi="ar-SA"/>
              </w:rPr>
            </w:pPr>
            <w:r>
              <w:rPr>
                <w:rFonts w:hint="eastAsia"/>
                <w:color w:val="auto"/>
                <w:vertAlign w:val="baseline"/>
                <w:lang w:val="en-US" w:eastAsia="zh-CN"/>
              </w:rPr>
              <w:t>1.893</w:t>
            </w:r>
            <w:r>
              <w:rPr>
                <w:rFonts w:hint="eastAsia"/>
                <w:color w:val="auto"/>
                <w:vertAlign w:val="subscript"/>
                <w:lang w:val="en-US" w:eastAsia="zh-CN"/>
              </w:rPr>
              <w:t>(0.063)</w:t>
            </w:r>
          </w:p>
        </w:tc>
        <w:tc>
          <w:tcPr>
            <w:tcW w:w="2131" w:type="dxa"/>
            <w:tcBorders>
              <w:top w:val="nil"/>
              <w:left w:val="nil"/>
              <w:bottom w:val="nil"/>
              <w:right w:val="nil"/>
            </w:tcBorders>
            <w:shd w:val="clear" w:color="auto" w:fill="auto"/>
            <w:vAlign w:val="center"/>
          </w:tcPr>
          <w:p w14:paraId="48476076">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default" w:ascii="Times New Roman" w:hAnsi="Times New Roman" w:eastAsia="宋体" w:cs="Times New Roman"/>
                <w:color w:val="auto"/>
                <w:kern w:val="2"/>
                <w:sz w:val="21"/>
                <w:szCs w:val="24"/>
                <w:vertAlign w:val="baseline"/>
                <w:lang w:val="en-US" w:eastAsia="zh-CN" w:bidi="ar-SA"/>
              </w:rPr>
            </w:pPr>
            <w:r>
              <w:rPr>
                <w:rFonts w:hint="eastAsia"/>
                <w:color w:val="auto"/>
                <w:vertAlign w:val="baseline"/>
                <w:lang w:val="en-US" w:eastAsia="zh-CN"/>
              </w:rPr>
              <w:t>0.681</w:t>
            </w:r>
            <w:r>
              <w:rPr>
                <w:rFonts w:hint="eastAsia" w:cs="Times New Roman"/>
                <w:color w:val="auto"/>
                <w:kern w:val="2"/>
                <w:sz w:val="21"/>
                <w:szCs w:val="24"/>
                <w:vertAlign w:val="subscript"/>
                <w:lang w:val="en-US" w:eastAsia="zh-CN" w:bidi="ar-SA"/>
              </w:rPr>
              <w:t>(0.002)</w:t>
            </w:r>
          </w:p>
        </w:tc>
      </w:tr>
      <w:tr w14:paraId="49072D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nil"/>
              <w:right w:val="nil"/>
            </w:tcBorders>
            <w:vAlign w:val="bottom"/>
          </w:tcPr>
          <w:p w14:paraId="0DD842F8">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color w:val="auto"/>
                <w:vertAlign w:val="baseline"/>
                <w:lang w:val="en-US" w:eastAsia="zh-CN"/>
              </w:rPr>
            </w:pPr>
            <w:r>
              <w:rPr>
                <w:rFonts w:hint="eastAsia"/>
                <w:color w:val="auto"/>
                <w:vertAlign w:val="baseline"/>
                <w:lang w:val="en-US" w:eastAsia="zh-CN"/>
              </w:rPr>
              <w:t>MPNN</w:t>
            </w:r>
          </w:p>
        </w:tc>
        <w:tc>
          <w:tcPr>
            <w:tcW w:w="2130" w:type="dxa"/>
            <w:tcBorders>
              <w:top w:val="nil"/>
              <w:left w:val="nil"/>
              <w:bottom w:val="nil"/>
              <w:right w:val="nil"/>
            </w:tcBorders>
            <w:shd w:val="clear" w:color="auto" w:fill="auto"/>
            <w:vAlign w:val="center"/>
          </w:tcPr>
          <w:p w14:paraId="2C2EAE2C">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color w:val="auto"/>
                <w:kern w:val="2"/>
                <w:sz w:val="21"/>
                <w:szCs w:val="24"/>
                <w:vertAlign w:val="baseline"/>
                <w:lang w:val="en-US" w:eastAsia="zh-CN" w:bidi="ar-SA"/>
              </w:rPr>
            </w:pPr>
            <w:r>
              <w:rPr>
                <w:rFonts w:hint="eastAsia"/>
                <w:color w:val="auto"/>
                <w:vertAlign w:val="baseline"/>
                <w:lang w:val="en-US" w:eastAsia="zh-CN"/>
              </w:rPr>
              <w:t>1.167</w:t>
            </w:r>
            <w:r>
              <w:rPr>
                <w:rFonts w:hint="eastAsia"/>
                <w:color w:val="auto"/>
                <w:vertAlign w:val="subscript"/>
                <w:lang w:val="en-US" w:eastAsia="zh-CN"/>
              </w:rPr>
              <w:t>(0.430)</w:t>
            </w:r>
          </w:p>
        </w:tc>
        <w:tc>
          <w:tcPr>
            <w:tcW w:w="2131" w:type="dxa"/>
            <w:tcBorders>
              <w:top w:val="nil"/>
              <w:left w:val="nil"/>
              <w:bottom w:val="nil"/>
              <w:right w:val="nil"/>
            </w:tcBorders>
            <w:shd w:val="clear" w:color="auto" w:fill="auto"/>
            <w:vAlign w:val="center"/>
          </w:tcPr>
          <w:p w14:paraId="7334F077">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color w:val="auto"/>
                <w:kern w:val="2"/>
                <w:sz w:val="21"/>
                <w:szCs w:val="24"/>
                <w:vertAlign w:val="baseline"/>
                <w:lang w:val="en-US" w:eastAsia="zh-CN" w:bidi="ar-SA"/>
              </w:rPr>
            </w:pPr>
            <w:r>
              <w:rPr>
                <w:rFonts w:hint="eastAsia"/>
                <w:color w:val="auto"/>
                <w:vertAlign w:val="baseline"/>
                <w:lang w:val="en-US" w:eastAsia="zh-CN"/>
              </w:rPr>
              <w:t>2.185</w:t>
            </w:r>
            <w:r>
              <w:rPr>
                <w:rFonts w:hint="eastAsia"/>
                <w:color w:val="auto"/>
                <w:vertAlign w:val="subscript"/>
                <w:lang w:val="en-US" w:eastAsia="zh-CN"/>
              </w:rPr>
              <w:t>(0.952)</w:t>
            </w:r>
          </w:p>
        </w:tc>
        <w:tc>
          <w:tcPr>
            <w:tcW w:w="2131" w:type="dxa"/>
            <w:tcBorders>
              <w:top w:val="nil"/>
              <w:left w:val="nil"/>
              <w:bottom w:val="nil"/>
              <w:right w:val="nil"/>
            </w:tcBorders>
            <w:shd w:val="clear" w:color="auto" w:fill="auto"/>
            <w:vAlign w:val="center"/>
          </w:tcPr>
          <w:p w14:paraId="0EB28967">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color w:val="auto"/>
                <w:kern w:val="2"/>
                <w:sz w:val="21"/>
                <w:szCs w:val="24"/>
                <w:vertAlign w:val="baseline"/>
                <w:lang w:val="en-US" w:eastAsia="zh-CN" w:bidi="ar-SA"/>
              </w:rPr>
            </w:pPr>
            <w:r>
              <w:rPr>
                <w:rFonts w:hint="eastAsia"/>
                <w:color w:val="auto"/>
                <w:vertAlign w:val="baseline"/>
                <w:lang w:val="en-US" w:eastAsia="zh-CN"/>
              </w:rPr>
              <w:t>0.672</w:t>
            </w:r>
            <w:r>
              <w:rPr>
                <w:rFonts w:hint="eastAsia" w:cs="Times New Roman"/>
                <w:color w:val="auto"/>
                <w:kern w:val="2"/>
                <w:sz w:val="21"/>
                <w:szCs w:val="24"/>
                <w:vertAlign w:val="subscript"/>
                <w:lang w:val="en-US" w:eastAsia="zh-CN" w:bidi="ar-SA"/>
              </w:rPr>
              <w:t>(0.051)</w:t>
            </w:r>
          </w:p>
        </w:tc>
      </w:tr>
      <w:tr w14:paraId="72B3DD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nil"/>
              <w:right w:val="nil"/>
            </w:tcBorders>
            <w:vAlign w:val="bottom"/>
          </w:tcPr>
          <w:p w14:paraId="31D00D82">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color w:val="auto"/>
                <w:vertAlign w:val="baseline"/>
                <w:lang w:val="en-US" w:eastAsia="zh-CN"/>
              </w:rPr>
            </w:pPr>
            <w:r>
              <w:rPr>
                <w:rFonts w:hint="eastAsia"/>
                <w:color w:val="auto"/>
                <w:vertAlign w:val="baseline"/>
                <w:lang w:val="en-US" w:eastAsia="zh-CN"/>
              </w:rPr>
              <w:t>DMPNN</w:t>
            </w:r>
          </w:p>
        </w:tc>
        <w:tc>
          <w:tcPr>
            <w:tcW w:w="2130" w:type="dxa"/>
            <w:tcBorders>
              <w:top w:val="nil"/>
              <w:left w:val="nil"/>
              <w:bottom w:val="nil"/>
              <w:right w:val="nil"/>
            </w:tcBorders>
            <w:shd w:val="clear" w:color="auto" w:fill="auto"/>
            <w:vAlign w:val="center"/>
          </w:tcPr>
          <w:p w14:paraId="49DA08BD">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default" w:ascii="Times New Roman" w:hAnsi="Times New Roman" w:eastAsia="宋体" w:cs="Times New Roman"/>
                <w:color w:val="auto"/>
                <w:kern w:val="2"/>
                <w:sz w:val="21"/>
                <w:szCs w:val="24"/>
                <w:vertAlign w:val="baseline"/>
                <w:lang w:val="en-US" w:eastAsia="zh-CN" w:bidi="ar-SA"/>
              </w:rPr>
            </w:pPr>
            <w:r>
              <w:rPr>
                <w:rFonts w:hint="eastAsia" w:cs="Times New Roman"/>
                <w:color w:val="auto"/>
                <w:kern w:val="2"/>
                <w:sz w:val="21"/>
                <w:szCs w:val="24"/>
                <w:vertAlign w:val="baseline"/>
                <w:lang w:val="en-US" w:eastAsia="zh-CN" w:bidi="ar-SA"/>
              </w:rPr>
              <w:t>0.972</w:t>
            </w:r>
            <w:r>
              <w:rPr>
                <w:rFonts w:hint="eastAsia" w:cs="Times New Roman"/>
                <w:color w:val="auto"/>
                <w:kern w:val="2"/>
                <w:sz w:val="21"/>
                <w:szCs w:val="24"/>
                <w:vertAlign w:val="subscript"/>
                <w:lang w:val="en-US" w:eastAsia="zh-CN" w:bidi="ar-SA"/>
              </w:rPr>
              <w:t>(0.097)</w:t>
            </w:r>
          </w:p>
        </w:tc>
        <w:tc>
          <w:tcPr>
            <w:tcW w:w="2131" w:type="dxa"/>
            <w:tcBorders>
              <w:top w:val="nil"/>
              <w:left w:val="nil"/>
              <w:bottom w:val="nil"/>
              <w:right w:val="nil"/>
            </w:tcBorders>
            <w:shd w:val="clear" w:color="auto" w:fill="auto"/>
            <w:vAlign w:val="center"/>
          </w:tcPr>
          <w:p w14:paraId="017E1622">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default" w:ascii="Times New Roman" w:hAnsi="Times New Roman" w:eastAsia="宋体" w:cs="Times New Roman"/>
                <w:color w:val="auto"/>
                <w:kern w:val="2"/>
                <w:sz w:val="21"/>
                <w:szCs w:val="24"/>
                <w:vertAlign w:val="baseline"/>
                <w:lang w:val="en-US" w:eastAsia="zh-CN" w:bidi="ar-SA"/>
              </w:rPr>
            </w:pPr>
            <w:r>
              <w:rPr>
                <w:rFonts w:hint="eastAsia" w:cs="Times New Roman"/>
                <w:color w:val="auto"/>
                <w:kern w:val="2"/>
                <w:sz w:val="21"/>
                <w:szCs w:val="24"/>
                <w:vertAlign w:val="baseline"/>
                <w:lang w:val="en-US" w:eastAsia="zh-CN" w:bidi="ar-SA"/>
              </w:rPr>
              <w:t>2.170</w:t>
            </w:r>
            <w:r>
              <w:rPr>
                <w:rFonts w:hint="eastAsia" w:cs="Times New Roman"/>
                <w:color w:val="auto"/>
                <w:kern w:val="2"/>
                <w:sz w:val="21"/>
                <w:szCs w:val="24"/>
                <w:vertAlign w:val="subscript"/>
                <w:lang w:val="en-US" w:eastAsia="zh-CN" w:bidi="ar-SA"/>
              </w:rPr>
              <w:t>(0.536)</w:t>
            </w:r>
          </w:p>
        </w:tc>
        <w:tc>
          <w:tcPr>
            <w:tcW w:w="2131" w:type="dxa"/>
            <w:tcBorders>
              <w:top w:val="nil"/>
              <w:left w:val="nil"/>
              <w:bottom w:val="nil"/>
              <w:right w:val="nil"/>
            </w:tcBorders>
            <w:shd w:val="clear" w:color="auto" w:fill="auto"/>
            <w:vAlign w:val="center"/>
          </w:tcPr>
          <w:p w14:paraId="16A322FD">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default" w:ascii="Times New Roman" w:hAnsi="Times New Roman" w:eastAsia="宋体" w:cs="Times New Roman"/>
                <w:color w:val="auto"/>
                <w:kern w:val="2"/>
                <w:sz w:val="21"/>
                <w:szCs w:val="24"/>
                <w:vertAlign w:val="baseline"/>
                <w:lang w:val="en-US" w:eastAsia="zh-CN" w:bidi="ar-SA"/>
              </w:rPr>
            </w:pPr>
            <w:r>
              <w:rPr>
                <w:rFonts w:hint="eastAsia" w:cs="Times New Roman"/>
                <w:color w:val="auto"/>
                <w:kern w:val="2"/>
                <w:sz w:val="21"/>
                <w:szCs w:val="24"/>
                <w:vertAlign w:val="baseline"/>
                <w:lang w:val="en-US" w:eastAsia="zh-CN" w:bidi="ar-SA"/>
              </w:rPr>
              <w:t>0.662</w:t>
            </w:r>
            <w:r>
              <w:rPr>
                <w:rFonts w:hint="eastAsia" w:cs="Times New Roman"/>
                <w:color w:val="auto"/>
                <w:kern w:val="2"/>
                <w:sz w:val="21"/>
                <w:szCs w:val="24"/>
                <w:vertAlign w:val="subscript"/>
                <w:lang w:val="en-US" w:eastAsia="zh-CN" w:bidi="ar-SA"/>
              </w:rPr>
              <w:t>(0.051)</w:t>
            </w:r>
          </w:p>
        </w:tc>
      </w:tr>
      <w:tr w14:paraId="0E9BBC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nil"/>
              <w:right w:val="nil"/>
            </w:tcBorders>
            <w:vAlign w:val="bottom"/>
          </w:tcPr>
          <w:p w14:paraId="3012F8C3">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color w:val="auto"/>
                <w:vertAlign w:val="baseline"/>
                <w:lang w:val="en-US" w:eastAsia="zh-CN"/>
              </w:rPr>
            </w:pPr>
            <w:r>
              <w:rPr>
                <w:rFonts w:hint="eastAsia"/>
                <w:color w:val="auto"/>
                <w:vertAlign w:val="baseline"/>
                <w:lang w:val="en-US" w:eastAsia="zh-CN"/>
              </w:rPr>
              <w:t>CMPNN</w:t>
            </w:r>
          </w:p>
        </w:tc>
        <w:tc>
          <w:tcPr>
            <w:tcW w:w="2130" w:type="dxa"/>
            <w:tcBorders>
              <w:top w:val="nil"/>
              <w:left w:val="nil"/>
              <w:bottom w:val="nil"/>
              <w:right w:val="nil"/>
            </w:tcBorders>
            <w:shd w:val="clear" w:color="auto" w:fill="auto"/>
            <w:vAlign w:val="center"/>
          </w:tcPr>
          <w:p w14:paraId="2F56875E">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default" w:ascii="Times New Roman" w:hAnsi="Times New Roman" w:eastAsia="宋体" w:cs="Times New Roman"/>
                <w:color w:val="auto"/>
                <w:kern w:val="2"/>
                <w:sz w:val="21"/>
                <w:szCs w:val="24"/>
                <w:vertAlign w:val="baseline"/>
                <w:lang w:val="en-US" w:eastAsia="zh-CN" w:bidi="ar-SA"/>
              </w:rPr>
            </w:pPr>
            <w:r>
              <w:rPr>
                <w:rFonts w:hint="eastAsia"/>
                <w:color w:val="auto"/>
                <w:vertAlign w:val="baseline"/>
                <w:lang w:val="en-US" w:eastAsia="zh-CN"/>
              </w:rPr>
              <w:t>0.845</w:t>
            </w:r>
            <w:r>
              <w:rPr>
                <w:rFonts w:hint="eastAsia"/>
                <w:color w:val="auto"/>
                <w:vertAlign w:val="subscript"/>
                <w:lang w:val="en-US" w:eastAsia="zh-CN"/>
              </w:rPr>
              <w:t>(0.039)</w:t>
            </w:r>
          </w:p>
        </w:tc>
        <w:tc>
          <w:tcPr>
            <w:tcW w:w="2131" w:type="dxa"/>
            <w:tcBorders>
              <w:top w:val="nil"/>
              <w:left w:val="nil"/>
              <w:bottom w:val="nil"/>
              <w:right w:val="nil"/>
            </w:tcBorders>
            <w:shd w:val="clear" w:color="auto" w:fill="auto"/>
            <w:vAlign w:val="center"/>
          </w:tcPr>
          <w:p w14:paraId="7AB8AF8C">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default" w:ascii="Times New Roman" w:hAnsi="Times New Roman" w:eastAsia="宋体" w:cs="Times New Roman"/>
                <w:color w:val="auto"/>
                <w:kern w:val="2"/>
                <w:sz w:val="21"/>
                <w:szCs w:val="24"/>
                <w:vertAlign w:val="baseline"/>
                <w:lang w:val="en-US" w:eastAsia="zh-CN" w:bidi="ar-SA"/>
              </w:rPr>
            </w:pPr>
            <w:r>
              <w:rPr>
                <w:rFonts w:hint="eastAsia" w:cs="Times New Roman"/>
                <w:color w:val="auto"/>
                <w:kern w:val="2"/>
                <w:sz w:val="21"/>
                <w:szCs w:val="24"/>
                <w:vertAlign w:val="baseline"/>
                <w:lang w:val="en-US" w:eastAsia="zh-CN" w:bidi="ar-SA"/>
              </w:rPr>
              <w:t>1.833</w:t>
            </w:r>
            <w:r>
              <w:rPr>
                <w:rFonts w:hint="eastAsia" w:cs="Times New Roman"/>
                <w:color w:val="auto"/>
                <w:kern w:val="2"/>
                <w:sz w:val="21"/>
                <w:szCs w:val="24"/>
                <w:vertAlign w:val="subscript"/>
                <w:lang w:val="en-US" w:eastAsia="zh-CN" w:bidi="ar-SA"/>
              </w:rPr>
              <w:t>(0.581)</w:t>
            </w:r>
          </w:p>
        </w:tc>
        <w:tc>
          <w:tcPr>
            <w:tcW w:w="2131" w:type="dxa"/>
            <w:tcBorders>
              <w:top w:val="nil"/>
              <w:left w:val="nil"/>
              <w:bottom w:val="nil"/>
              <w:right w:val="nil"/>
            </w:tcBorders>
            <w:shd w:val="clear" w:color="auto" w:fill="auto"/>
            <w:vAlign w:val="center"/>
          </w:tcPr>
          <w:p w14:paraId="1E90181B">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default" w:ascii="Times New Roman" w:hAnsi="Times New Roman" w:eastAsia="宋体" w:cs="Times New Roman"/>
                <w:color w:val="auto"/>
                <w:kern w:val="2"/>
                <w:sz w:val="21"/>
                <w:szCs w:val="24"/>
                <w:vertAlign w:val="baseline"/>
                <w:lang w:val="en-US" w:eastAsia="zh-CN" w:bidi="ar-SA"/>
              </w:rPr>
            </w:pPr>
            <w:r>
              <w:rPr>
                <w:rFonts w:hint="eastAsia" w:cs="Times New Roman"/>
                <w:color w:val="auto"/>
                <w:kern w:val="2"/>
                <w:sz w:val="21"/>
                <w:szCs w:val="24"/>
                <w:vertAlign w:val="baseline"/>
                <w:lang w:val="en-US" w:eastAsia="zh-CN" w:bidi="ar-SA"/>
              </w:rPr>
              <w:t>0.658</w:t>
            </w:r>
            <w:r>
              <w:rPr>
                <w:rFonts w:hint="eastAsia" w:cs="Times New Roman"/>
                <w:color w:val="auto"/>
                <w:kern w:val="2"/>
                <w:sz w:val="21"/>
                <w:szCs w:val="24"/>
                <w:vertAlign w:val="subscript"/>
                <w:lang w:val="en-US" w:eastAsia="zh-CN" w:bidi="ar-SA"/>
              </w:rPr>
              <w:t>(0.029)</w:t>
            </w:r>
          </w:p>
        </w:tc>
      </w:tr>
      <w:tr w14:paraId="7CDE62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nil"/>
              <w:right w:val="nil"/>
            </w:tcBorders>
            <w:vAlign w:val="bottom"/>
          </w:tcPr>
          <w:p w14:paraId="30EEEF9D">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color w:val="auto"/>
                <w:vertAlign w:val="baseline"/>
                <w:lang w:val="en-US" w:eastAsia="zh-CN"/>
              </w:rPr>
            </w:pPr>
            <w:r>
              <w:rPr>
                <w:rFonts w:hint="eastAsia"/>
                <w:color w:val="auto"/>
                <w:vertAlign w:val="baseline"/>
                <w:lang w:val="en-US" w:eastAsia="zh-CN"/>
              </w:rPr>
              <w:t>GIN</w:t>
            </w:r>
          </w:p>
        </w:tc>
        <w:tc>
          <w:tcPr>
            <w:tcW w:w="2130" w:type="dxa"/>
            <w:tcBorders>
              <w:top w:val="nil"/>
              <w:left w:val="nil"/>
              <w:bottom w:val="nil"/>
              <w:right w:val="nil"/>
            </w:tcBorders>
            <w:shd w:val="clear" w:color="auto" w:fill="auto"/>
            <w:vAlign w:val="center"/>
          </w:tcPr>
          <w:p w14:paraId="61096097">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default" w:ascii="Times New Roman" w:hAnsi="Times New Roman" w:eastAsia="宋体" w:cs="Times New Roman"/>
                <w:color w:val="auto"/>
                <w:kern w:val="2"/>
                <w:sz w:val="21"/>
                <w:szCs w:val="24"/>
                <w:vertAlign w:val="baseline"/>
                <w:lang w:val="en-US" w:eastAsia="zh-CN" w:bidi="ar-SA"/>
              </w:rPr>
            </w:pPr>
            <w:r>
              <w:rPr>
                <w:rFonts w:hint="eastAsia"/>
                <w:color w:val="auto"/>
                <w:vertAlign w:val="baseline"/>
                <w:lang w:val="en-US" w:eastAsia="zh-CN"/>
              </w:rPr>
              <w:t>0.885</w:t>
            </w:r>
            <w:r>
              <w:rPr>
                <w:rFonts w:hint="eastAsia"/>
                <w:color w:val="auto"/>
                <w:vertAlign w:val="subscript"/>
                <w:lang w:val="en-US" w:eastAsia="zh-CN"/>
              </w:rPr>
              <w:t>(0.051)</w:t>
            </w:r>
          </w:p>
        </w:tc>
        <w:tc>
          <w:tcPr>
            <w:tcW w:w="2131" w:type="dxa"/>
            <w:tcBorders>
              <w:top w:val="nil"/>
              <w:left w:val="nil"/>
              <w:bottom w:val="nil"/>
              <w:right w:val="nil"/>
            </w:tcBorders>
            <w:shd w:val="clear" w:color="auto" w:fill="auto"/>
            <w:vAlign w:val="center"/>
          </w:tcPr>
          <w:p w14:paraId="0D2B4F91">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default" w:ascii="Times New Roman" w:hAnsi="Times New Roman" w:eastAsia="宋体" w:cs="Times New Roman"/>
                <w:color w:val="auto"/>
                <w:kern w:val="2"/>
                <w:sz w:val="21"/>
                <w:szCs w:val="24"/>
                <w:vertAlign w:val="baseline"/>
                <w:lang w:val="en-US" w:eastAsia="zh-CN" w:bidi="ar-SA"/>
              </w:rPr>
            </w:pPr>
            <w:r>
              <w:rPr>
                <w:rFonts w:hint="eastAsia"/>
                <w:color w:val="auto"/>
                <w:vertAlign w:val="baseline"/>
                <w:lang w:val="en-US" w:eastAsia="zh-CN"/>
              </w:rPr>
              <w:t>1.619</w:t>
            </w:r>
            <w:r>
              <w:rPr>
                <w:rFonts w:hint="eastAsia"/>
                <w:color w:val="auto"/>
                <w:vertAlign w:val="subscript"/>
                <w:lang w:val="en-US" w:eastAsia="zh-CN"/>
              </w:rPr>
              <w:t>(0.202)</w:t>
            </w:r>
          </w:p>
        </w:tc>
        <w:tc>
          <w:tcPr>
            <w:tcW w:w="2131" w:type="dxa"/>
            <w:tcBorders>
              <w:top w:val="nil"/>
              <w:left w:val="nil"/>
              <w:bottom w:val="nil"/>
              <w:right w:val="nil"/>
            </w:tcBorders>
            <w:shd w:val="clear" w:color="auto" w:fill="auto"/>
            <w:vAlign w:val="center"/>
          </w:tcPr>
          <w:p w14:paraId="1F9EB2A4">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default" w:ascii="Times New Roman" w:hAnsi="Times New Roman" w:eastAsia="宋体" w:cs="Times New Roman"/>
                <w:color w:val="auto"/>
                <w:kern w:val="2"/>
                <w:sz w:val="21"/>
                <w:szCs w:val="24"/>
                <w:vertAlign w:val="baseline"/>
                <w:lang w:val="en-US" w:eastAsia="zh-CN" w:bidi="ar-SA"/>
              </w:rPr>
            </w:pPr>
            <w:r>
              <w:rPr>
                <w:rFonts w:hint="eastAsia"/>
                <w:color w:val="auto"/>
                <w:vertAlign w:val="baseline"/>
                <w:lang w:val="en-US" w:eastAsia="zh-CN"/>
              </w:rPr>
              <w:t>0.659</w:t>
            </w:r>
            <w:r>
              <w:rPr>
                <w:rFonts w:hint="eastAsia"/>
                <w:color w:val="auto"/>
                <w:vertAlign w:val="subscript"/>
                <w:lang w:val="en-US" w:eastAsia="zh-CN"/>
              </w:rPr>
              <w:t>(0.085)</w:t>
            </w:r>
          </w:p>
        </w:tc>
      </w:tr>
      <w:tr w14:paraId="786124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nil"/>
              <w:right w:val="nil"/>
            </w:tcBorders>
            <w:vAlign w:val="bottom"/>
          </w:tcPr>
          <w:p w14:paraId="1F933091">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color w:val="auto"/>
                <w:vertAlign w:val="baseline"/>
                <w:lang w:val="en-US" w:eastAsia="zh-CN"/>
              </w:rPr>
            </w:pPr>
            <w:r>
              <w:rPr>
                <w:rFonts w:hint="eastAsia"/>
                <w:color w:val="auto"/>
                <w:vertAlign w:val="baseline"/>
                <w:lang w:val="en-US" w:eastAsia="zh-CN"/>
              </w:rPr>
              <w:t>SchNet</w:t>
            </w:r>
          </w:p>
        </w:tc>
        <w:tc>
          <w:tcPr>
            <w:tcW w:w="2130" w:type="dxa"/>
            <w:tcBorders>
              <w:top w:val="nil"/>
              <w:left w:val="nil"/>
              <w:bottom w:val="nil"/>
              <w:right w:val="nil"/>
            </w:tcBorders>
            <w:shd w:val="clear" w:color="auto" w:fill="auto"/>
            <w:vAlign w:val="center"/>
          </w:tcPr>
          <w:p w14:paraId="46CD9C84">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color w:val="auto"/>
                <w:kern w:val="2"/>
                <w:sz w:val="21"/>
                <w:szCs w:val="24"/>
                <w:vertAlign w:val="baseline"/>
                <w:lang w:val="en-US" w:eastAsia="zh-CN" w:bidi="ar-SA"/>
              </w:rPr>
            </w:pPr>
            <w:r>
              <w:rPr>
                <w:rFonts w:hint="eastAsia"/>
                <w:color w:val="auto"/>
                <w:vertAlign w:val="baseline"/>
                <w:lang w:val="en-US" w:eastAsia="zh-CN"/>
              </w:rPr>
              <w:t>1.045</w:t>
            </w:r>
            <w:r>
              <w:rPr>
                <w:rFonts w:hint="eastAsia"/>
                <w:color w:val="auto"/>
                <w:vertAlign w:val="subscript"/>
                <w:lang w:val="en-US" w:eastAsia="zh-CN"/>
              </w:rPr>
              <w:t>(0.064)</w:t>
            </w:r>
          </w:p>
        </w:tc>
        <w:tc>
          <w:tcPr>
            <w:tcW w:w="2131" w:type="dxa"/>
            <w:tcBorders>
              <w:top w:val="nil"/>
              <w:left w:val="nil"/>
              <w:bottom w:val="nil"/>
              <w:right w:val="nil"/>
            </w:tcBorders>
            <w:shd w:val="clear" w:color="auto" w:fill="auto"/>
            <w:vAlign w:val="center"/>
          </w:tcPr>
          <w:p w14:paraId="503E6695">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color w:val="auto"/>
                <w:kern w:val="2"/>
                <w:sz w:val="21"/>
                <w:szCs w:val="24"/>
                <w:vertAlign w:val="baseline"/>
                <w:lang w:val="en-US" w:eastAsia="zh-CN" w:bidi="ar-SA"/>
              </w:rPr>
            </w:pPr>
            <w:r>
              <w:rPr>
                <w:rFonts w:hint="eastAsia"/>
                <w:color w:val="auto"/>
                <w:vertAlign w:val="baseline"/>
                <w:lang w:val="en-US" w:eastAsia="zh-CN"/>
              </w:rPr>
              <w:t>3.215</w:t>
            </w:r>
            <w:r>
              <w:rPr>
                <w:rFonts w:hint="eastAsia"/>
                <w:color w:val="auto"/>
                <w:vertAlign w:val="subscript"/>
                <w:lang w:val="en-US" w:eastAsia="zh-CN"/>
              </w:rPr>
              <w:t>(0.355)</w:t>
            </w:r>
          </w:p>
        </w:tc>
        <w:tc>
          <w:tcPr>
            <w:tcW w:w="2131" w:type="dxa"/>
            <w:tcBorders>
              <w:top w:val="nil"/>
              <w:left w:val="nil"/>
              <w:bottom w:val="nil"/>
              <w:right w:val="nil"/>
            </w:tcBorders>
            <w:shd w:val="clear" w:color="auto" w:fill="auto"/>
            <w:vAlign w:val="center"/>
          </w:tcPr>
          <w:p w14:paraId="5BD630F5">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color w:val="auto"/>
                <w:kern w:val="2"/>
                <w:sz w:val="21"/>
                <w:szCs w:val="24"/>
                <w:vertAlign w:val="baseline"/>
                <w:lang w:val="en-US" w:eastAsia="zh-CN" w:bidi="ar-SA"/>
              </w:rPr>
            </w:pPr>
            <w:r>
              <w:rPr>
                <w:rFonts w:hint="eastAsia"/>
                <w:color w:val="auto"/>
                <w:vertAlign w:val="baseline"/>
                <w:lang w:val="en-US" w:eastAsia="zh-CN"/>
              </w:rPr>
              <w:t>0.909</w:t>
            </w:r>
            <w:r>
              <w:rPr>
                <w:rFonts w:hint="eastAsia"/>
                <w:color w:val="auto"/>
                <w:vertAlign w:val="subscript"/>
                <w:lang w:val="en-US" w:eastAsia="zh-CN"/>
              </w:rPr>
              <w:t>(0.098)</w:t>
            </w:r>
          </w:p>
        </w:tc>
      </w:tr>
      <w:tr w14:paraId="6A70F9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nil"/>
              <w:right w:val="nil"/>
            </w:tcBorders>
            <w:vAlign w:val="bottom"/>
          </w:tcPr>
          <w:p w14:paraId="7B263B35">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color w:val="auto"/>
                <w:vertAlign w:val="baseline"/>
                <w:lang w:val="en-US" w:eastAsia="zh-CN"/>
              </w:rPr>
            </w:pPr>
            <w:r>
              <w:rPr>
                <w:rFonts w:hint="eastAsia"/>
                <w:color w:val="auto"/>
                <w:vertAlign w:val="baseline"/>
                <w:lang w:val="en-US" w:eastAsia="zh-CN"/>
              </w:rPr>
              <w:t>N-Gram</w:t>
            </w:r>
          </w:p>
        </w:tc>
        <w:tc>
          <w:tcPr>
            <w:tcW w:w="2130" w:type="dxa"/>
            <w:tcBorders>
              <w:top w:val="nil"/>
              <w:left w:val="nil"/>
              <w:bottom w:val="nil"/>
              <w:right w:val="nil"/>
            </w:tcBorders>
            <w:shd w:val="clear" w:color="auto" w:fill="auto"/>
            <w:vAlign w:val="center"/>
          </w:tcPr>
          <w:p w14:paraId="3F809FAA">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default" w:ascii="Times New Roman" w:hAnsi="Times New Roman" w:eastAsia="宋体" w:cs="Times New Roman"/>
                <w:color w:val="auto"/>
                <w:kern w:val="2"/>
                <w:sz w:val="21"/>
                <w:szCs w:val="24"/>
                <w:vertAlign w:val="baseline"/>
                <w:lang w:val="en-US" w:eastAsia="zh-CN" w:bidi="ar-SA"/>
              </w:rPr>
            </w:pPr>
            <w:r>
              <w:rPr>
                <w:rFonts w:hint="eastAsia" w:cs="Times New Roman"/>
                <w:color w:val="auto"/>
                <w:kern w:val="2"/>
                <w:sz w:val="21"/>
                <w:szCs w:val="24"/>
                <w:vertAlign w:val="baseline"/>
                <w:lang w:val="en-US" w:eastAsia="zh-CN" w:bidi="ar-SA"/>
              </w:rPr>
              <w:t>1.074</w:t>
            </w:r>
            <w:r>
              <w:rPr>
                <w:rFonts w:hint="eastAsia"/>
                <w:color w:val="auto"/>
                <w:vertAlign w:val="subscript"/>
                <w:lang w:val="en-US" w:eastAsia="zh-CN"/>
              </w:rPr>
              <w:t>(0.112)</w:t>
            </w:r>
          </w:p>
        </w:tc>
        <w:tc>
          <w:tcPr>
            <w:tcW w:w="2131" w:type="dxa"/>
            <w:tcBorders>
              <w:top w:val="nil"/>
              <w:left w:val="nil"/>
              <w:bottom w:val="nil"/>
              <w:right w:val="nil"/>
            </w:tcBorders>
            <w:shd w:val="clear" w:color="auto" w:fill="auto"/>
            <w:vAlign w:val="center"/>
          </w:tcPr>
          <w:p w14:paraId="1C68AD12">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default" w:ascii="Times New Roman" w:hAnsi="Times New Roman" w:eastAsia="宋体" w:cs="Times New Roman"/>
                <w:color w:val="auto"/>
                <w:kern w:val="2"/>
                <w:sz w:val="21"/>
                <w:szCs w:val="24"/>
                <w:vertAlign w:val="baseline"/>
                <w:lang w:val="en-US" w:eastAsia="zh-CN" w:bidi="ar-SA"/>
              </w:rPr>
            </w:pPr>
            <w:r>
              <w:rPr>
                <w:rFonts w:hint="eastAsia"/>
                <w:color w:val="auto"/>
                <w:vertAlign w:val="baseline"/>
                <w:lang w:val="en-US" w:eastAsia="zh-CN"/>
              </w:rPr>
              <w:t>2.688</w:t>
            </w:r>
            <w:r>
              <w:rPr>
                <w:rFonts w:hint="eastAsia"/>
                <w:color w:val="auto"/>
                <w:vertAlign w:val="subscript"/>
                <w:lang w:val="en-US" w:eastAsia="zh-CN"/>
              </w:rPr>
              <w:t>(0.251)</w:t>
            </w:r>
          </w:p>
        </w:tc>
        <w:tc>
          <w:tcPr>
            <w:tcW w:w="2131" w:type="dxa"/>
            <w:tcBorders>
              <w:top w:val="nil"/>
              <w:left w:val="nil"/>
              <w:bottom w:val="nil"/>
              <w:right w:val="nil"/>
            </w:tcBorders>
            <w:shd w:val="clear" w:color="auto" w:fill="auto"/>
            <w:vAlign w:val="center"/>
          </w:tcPr>
          <w:p w14:paraId="7D739A30">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default" w:ascii="Times New Roman" w:hAnsi="Times New Roman" w:eastAsia="宋体" w:cs="Times New Roman"/>
                <w:color w:val="auto"/>
                <w:kern w:val="2"/>
                <w:sz w:val="21"/>
                <w:szCs w:val="24"/>
                <w:vertAlign w:val="baseline"/>
                <w:lang w:val="en-US" w:eastAsia="zh-CN" w:bidi="ar-SA"/>
              </w:rPr>
            </w:pPr>
            <w:r>
              <w:rPr>
                <w:rFonts w:hint="eastAsia"/>
                <w:color w:val="auto"/>
                <w:vertAlign w:val="baseline"/>
                <w:lang w:val="en-US" w:eastAsia="zh-CN"/>
              </w:rPr>
              <w:t>0.812</w:t>
            </w:r>
            <w:r>
              <w:rPr>
                <w:rFonts w:hint="eastAsia"/>
                <w:color w:val="auto"/>
                <w:vertAlign w:val="subscript"/>
                <w:lang w:val="en-US" w:eastAsia="zh-CN"/>
              </w:rPr>
              <w:t>(0.031)</w:t>
            </w:r>
          </w:p>
        </w:tc>
      </w:tr>
      <w:tr w14:paraId="36687D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nil"/>
              <w:right w:val="nil"/>
            </w:tcBorders>
            <w:vAlign w:val="bottom"/>
          </w:tcPr>
          <w:p w14:paraId="65541569">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color w:val="auto"/>
                <w:vertAlign w:val="baseline"/>
                <w:lang w:val="en-US" w:eastAsia="zh-CN"/>
              </w:rPr>
            </w:pPr>
            <w:r>
              <w:rPr>
                <w:rFonts w:hint="eastAsia"/>
                <w:color w:val="auto"/>
                <w:vertAlign w:val="baseline"/>
                <w:lang w:val="en-US" w:eastAsia="zh-CN"/>
              </w:rPr>
              <w:t>MoleculeSTM</w:t>
            </w:r>
          </w:p>
        </w:tc>
        <w:tc>
          <w:tcPr>
            <w:tcW w:w="2130" w:type="dxa"/>
            <w:tcBorders>
              <w:top w:val="nil"/>
              <w:left w:val="nil"/>
              <w:bottom w:val="nil"/>
              <w:right w:val="nil"/>
            </w:tcBorders>
            <w:shd w:val="clear" w:color="auto" w:fill="auto"/>
            <w:vAlign w:val="center"/>
          </w:tcPr>
          <w:p w14:paraId="07024846">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color w:val="auto"/>
                <w:kern w:val="2"/>
                <w:sz w:val="21"/>
                <w:szCs w:val="24"/>
                <w:vertAlign w:val="baseline"/>
                <w:lang w:val="en-US" w:eastAsia="zh-CN" w:bidi="ar-SA"/>
              </w:rPr>
            </w:pPr>
            <w:r>
              <w:rPr>
                <w:rFonts w:hint="eastAsia"/>
                <w:color w:val="auto"/>
                <w:vertAlign w:val="baseline"/>
                <w:lang w:val="en-US" w:eastAsia="zh-CN"/>
              </w:rPr>
              <w:t>-</w:t>
            </w:r>
          </w:p>
        </w:tc>
        <w:tc>
          <w:tcPr>
            <w:tcW w:w="2131" w:type="dxa"/>
            <w:tcBorders>
              <w:top w:val="nil"/>
              <w:left w:val="nil"/>
              <w:bottom w:val="nil"/>
              <w:right w:val="nil"/>
            </w:tcBorders>
            <w:shd w:val="clear" w:color="auto" w:fill="auto"/>
            <w:vAlign w:val="center"/>
          </w:tcPr>
          <w:p w14:paraId="79D3BD3A">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color w:val="auto"/>
                <w:kern w:val="2"/>
                <w:sz w:val="21"/>
                <w:szCs w:val="24"/>
                <w:vertAlign w:val="baseline"/>
                <w:lang w:val="en-US" w:eastAsia="zh-CN" w:bidi="ar-SA"/>
              </w:rPr>
            </w:pPr>
            <w:r>
              <w:rPr>
                <w:rFonts w:hint="eastAsia"/>
                <w:color w:val="auto"/>
                <w:vertAlign w:val="baseline"/>
                <w:lang w:val="en-US" w:eastAsia="zh-CN"/>
              </w:rPr>
              <w:t>-</w:t>
            </w:r>
          </w:p>
        </w:tc>
        <w:tc>
          <w:tcPr>
            <w:tcW w:w="2131" w:type="dxa"/>
            <w:tcBorders>
              <w:top w:val="nil"/>
              <w:left w:val="nil"/>
              <w:bottom w:val="nil"/>
              <w:right w:val="nil"/>
            </w:tcBorders>
            <w:shd w:val="clear" w:color="auto" w:fill="auto"/>
            <w:vAlign w:val="center"/>
          </w:tcPr>
          <w:p w14:paraId="2080AC7E">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color w:val="auto"/>
                <w:kern w:val="2"/>
                <w:sz w:val="21"/>
                <w:szCs w:val="24"/>
                <w:vertAlign w:val="baseline"/>
                <w:lang w:val="en-US" w:eastAsia="zh-CN" w:bidi="ar-SA"/>
              </w:rPr>
            </w:pPr>
            <w:r>
              <w:rPr>
                <w:rFonts w:hint="eastAsia"/>
                <w:color w:val="auto"/>
                <w:vertAlign w:val="baseline"/>
                <w:lang w:val="en-US" w:eastAsia="zh-CN"/>
              </w:rPr>
              <w:t>-</w:t>
            </w:r>
          </w:p>
        </w:tc>
      </w:tr>
      <w:tr w14:paraId="04B644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nil"/>
              <w:right w:val="nil"/>
            </w:tcBorders>
            <w:vAlign w:val="bottom"/>
          </w:tcPr>
          <w:p w14:paraId="431D6703">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color w:val="auto"/>
                <w:vertAlign w:val="baseline"/>
                <w:lang w:val="en-US" w:eastAsia="zh-CN"/>
              </w:rPr>
            </w:pPr>
            <w:r>
              <w:rPr>
                <w:rFonts w:hint="eastAsia"/>
                <w:color w:val="auto"/>
                <w:vertAlign w:val="baseline"/>
                <w:lang w:val="en-US" w:eastAsia="zh-CN"/>
              </w:rPr>
              <w:t>MoMu</w:t>
            </w:r>
          </w:p>
        </w:tc>
        <w:tc>
          <w:tcPr>
            <w:tcW w:w="2130" w:type="dxa"/>
            <w:tcBorders>
              <w:top w:val="nil"/>
              <w:left w:val="nil"/>
              <w:bottom w:val="nil"/>
              <w:right w:val="nil"/>
            </w:tcBorders>
            <w:shd w:val="clear" w:color="auto" w:fill="auto"/>
            <w:vAlign w:val="center"/>
          </w:tcPr>
          <w:p w14:paraId="36DBFF7D">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color w:val="auto"/>
                <w:kern w:val="2"/>
                <w:sz w:val="21"/>
                <w:szCs w:val="24"/>
                <w:vertAlign w:val="baseline"/>
                <w:lang w:val="en-US" w:eastAsia="zh-CN" w:bidi="ar-SA"/>
              </w:rPr>
            </w:pPr>
            <w:r>
              <w:rPr>
                <w:rFonts w:hint="eastAsia"/>
                <w:color w:val="auto"/>
                <w:vertAlign w:val="baseline"/>
                <w:lang w:val="en-US" w:eastAsia="zh-CN"/>
              </w:rPr>
              <w:t>-</w:t>
            </w:r>
          </w:p>
        </w:tc>
        <w:tc>
          <w:tcPr>
            <w:tcW w:w="2131" w:type="dxa"/>
            <w:tcBorders>
              <w:top w:val="nil"/>
              <w:left w:val="nil"/>
              <w:bottom w:val="nil"/>
              <w:right w:val="nil"/>
            </w:tcBorders>
            <w:shd w:val="clear" w:color="auto" w:fill="auto"/>
            <w:vAlign w:val="center"/>
          </w:tcPr>
          <w:p w14:paraId="13879478">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default" w:ascii="Times New Roman" w:hAnsi="Times New Roman" w:eastAsia="宋体" w:cs="Times New Roman"/>
                <w:color w:val="auto"/>
                <w:kern w:val="2"/>
                <w:sz w:val="21"/>
                <w:szCs w:val="24"/>
                <w:vertAlign w:val="baseline"/>
                <w:lang w:val="en-US" w:eastAsia="zh-CN" w:bidi="ar-SA"/>
              </w:rPr>
            </w:pPr>
            <w:r>
              <w:rPr>
                <w:rFonts w:hint="eastAsia" w:cs="Times New Roman"/>
                <w:color w:val="auto"/>
                <w:kern w:val="2"/>
                <w:sz w:val="21"/>
                <w:szCs w:val="24"/>
                <w:vertAlign w:val="baseline"/>
                <w:lang w:val="en-US" w:eastAsia="zh-CN" w:bidi="ar-SA"/>
              </w:rPr>
              <w:t>-</w:t>
            </w:r>
          </w:p>
        </w:tc>
        <w:tc>
          <w:tcPr>
            <w:tcW w:w="2131" w:type="dxa"/>
            <w:tcBorders>
              <w:top w:val="nil"/>
              <w:left w:val="nil"/>
              <w:bottom w:val="nil"/>
              <w:right w:val="nil"/>
            </w:tcBorders>
            <w:shd w:val="clear" w:color="auto" w:fill="auto"/>
            <w:vAlign w:val="center"/>
          </w:tcPr>
          <w:p w14:paraId="0C4117ED">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color w:val="auto"/>
                <w:kern w:val="2"/>
                <w:sz w:val="21"/>
                <w:szCs w:val="24"/>
                <w:vertAlign w:val="baseline"/>
                <w:lang w:val="en-US" w:eastAsia="zh-CN" w:bidi="ar-SA"/>
              </w:rPr>
            </w:pPr>
            <w:r>
              <w:rPr>
                <w:rFonts w:hint="eastAsia"/>
                <w:color w:val="auto"/>
                <w:vertAlign w:val="baseline"/>
                <w:lang w:val="en-US" w:eastAsia="zh-CN"/>
              </w:rPr>
              <w:t>-</w:t>
            </w:r>
          </w:p>
        </w:tc>
      </w:tr>
      <w:tr w14:paraId="0FA9ED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single" w:color="auto" w:sz="8" w:space="0"/>
              <w:right w:val="nil"/>
            </w:tcBorders>
            <w:vAlign w:val="bottom"/>
          </w:tcPr>
          <w:p w14:paraId="10B9DA5C">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color w:val="auto"/>
                <w:vertAlign w:val="baseline"/>
                <w:lang w:val="en-US" w:eastAsia="zh-CN"/>
              </w:rPr>
            </w:pPr>
            <w:r>
              <w:rPr>
                <w:rFonts w:hint="eastAsia"/>
                <w:color w:val="auto"/>
                <w:vertAlign w:val="baseline"/>
                <w:lang w:val="en-US" w:eastAsia="zh-CN"/>
              </w:rPr>
              <w:t>KV-PLM</w:t>
            </w:r>
          </w:p>
        </w:tc>
        <w:tc>
          <w:tcPr>
            <w:tcW w:w="2130" w:type="dxa"/>
            <w:tcBorders>
              <w:top w:val="nil"/>
              <w:left w:val="nil"/>
              <w:bottom w:val="single" w:color="auto" w:sz="8" w:space="0"/>
              <w:right w:val="nil"/>
            </w:tcBorders>
            <w:shd w:val="clear" w:color="auto" w:fill="auto"/>
            <w:vAlign w:val="center"/>
          </w:tcPr>
          <w:p w14:paraId="1E81080E">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color w:val="auto"/>
                <w:kern w:val="2"/>
                <w:sz w:val="21"/>
                <w:szCs w:val="24"/>
                <w:vertAlign w:val="baseline"/>
                <w:lang w:val="en-US" w:eastAsia="zh-CN" w:bidi="ar-SA"/>
              </w:rPr>
            </w:pPr>
            <w:r>
              <w:rPr>
                <w:rFonts w:hint="eastAsia"/>
                <w:color w:val="auto"/>
                <w:vertAlign w:val="baseline"/>
                <w:lang w:val="en-US" w:eastAsia="zh-CN"/>
              </w:rPr>
              <w:t>1.124</w:t>
            </w:r>
            <w:r>
              <w:rPr>
                <w:rFonts w:hint="eastAsia"/>
                <w:color w:val="auto"/>
                <w:vertAlign w:val="subscript"/>
                <w:lang w:val="en-US" w:eastAsia="zh-CN"/>
              </w:rPr>
              <w:t>(0.251)</w:t>
            </w:r>
          </w:p>
        </w:tc>
        <w:tc>
          <w:tcPr>
            <w:tcW w:w="2131" w:type="dxa"/>
            <w:tcBorders>
              <w:top w:val="nil"/>
              <w:left w:val="nil"/>
              <w:bottom w:val="single" w:color="auto" w:sz="8" w:space="0"/>
              <w:right w:val="nil"/>
            </w:tcBorders>
            <w:shd w:val="clear" w:color="auto" w:fill="auto"/>
            <w:vAlign w:val="center"/>
          </w:tcPr>
          <w:p w14:paraId="7AAEDD8C">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color w:val="auto"/>
                <w:kern w:val="2"/>
                <w:sz w:val="21"/>
                <w:szCs w:val="24"/>
                <w:vertAlign w:val="baseline"/>
                <w:lang w:val="en-US" w:eastAsia="zh-CN" w:bidi="ar-SA"/>
              </w:rPr>
            </w:pPr>
            <w:r>
              <w:rPr>
                <w:rFonts w:hint="eastAsia"/>
                <w:color w:val="auto"/>
                <w:vertAlign w:val="baseline"/>
                <w:lang w:val="en-US" w:eastAsia="zh-CN"/>
              </w:rPr>
              <w:t>2.124</w:t>
            </w:r>
            <w:r>
              <w:rPr>
                <w:rFonts w:hint="eastAsia"/>
                <w:color w:val="auto"/>
                <w:vertAlign w:val="subscript"/>
                <w:lang w:val="en-US" w:eastAsia="zh-CN"/>
              </w:rPr>
              <w:t>(0.429)</w:t>
            </w:r>
          </w:p>
        </w:tc>
        <w:tc>
          <w:tcPr>
            <w:tcW w:w="2131" w:type="dxa"/>
            <w:tcBorders>
              <w:top w:val="nil"/>
              <w:left w:val="nil"/>
              <w:bottom w:val="single" w:color="auto" w:sz="8" w:space="0"/>
              <w:right w:val="nil"/>
            </w:tcBorders>
            <w:shd w:val="clear" w:color="auto" w:fill="auto"/>
            <w:vAlign w:val="center"/>
          </w:tcPr>
          <w:p w14:paraId="65A17A62">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color w:val="auto"/>
                <w:kern w:val="2"/>
                <w:sz w:val="21"/>
                <w:szCs w:val="24"/>
                <w:vertAlign w:val="baseline"/>
                <w:lang w:val="en-US" w:eastAsia="zh-CN" w:bidi="ar-SA"/>
              </w:rPr>
            </w:pPr>
            <w:r>
              <w:rPr>
                <w:rFonts w:hint="eastAsia"/>
                <w:color w:val="auto"/>
                <w:vertAlign w:val="baseline"/>
                <w:lang w:val="en-US" w:eastAsia="zh-CN"/>
              </w:rPr>
              <w:t>0.902</w:t>
            </w:r>
            <w:r>
              <w:rPr>
                <w:rFonts w:hint="eastAsia"/>
                <w:color w:val="auto"/>
                <w:vertAlign w:val="subscript"/>
                <w:lang w:val="en-US" w:eastAsia="zh-CN"/>
              </w:rPr>
              <w:t>(0.047)</w:t>
            </w:r>
          </w:p>
        </w:tc>
      </w:tr>
      <w:tr w14:paraId="6C324F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single" w:color="auto" w:sz="8" w:space="0"/>
              <w:left w:val="nil"/>
              <w:bottom w:val="single" w:color="auto" w:sz="12" w:space="0"/>
              <w:right w:val="nil"/>
            </w:tcBorders>
            <w:vAlign w:val="bottom"/>
          </w:tcPr>
          <w:p w14:paraId="61AA7AB3">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default"/>
                <w:color w:val="auto"/>
                <w:vertAlign w:val="baseline"/>
                <w:lang w:val="en-US" w:eastAsia="zh-CN"/>
              </w:rPr>
              <w:t>KGAMA</w:t>
            </w:r>
          </w:p>
        </w:tc>
        <w:tc>
          <w:tcPr>
            <w:tcW w:w="2130" w:type="dxa"/>
            <w:tcBorders>
              <w:top w:val="single" w:color="auto" w:sz="8" w:space="0"/>
              <w:left w:val="nil"/>
              <w:bottom w:val="single" w:color="auto" w:sz="12" w:space="0"/>
              <w:right w:val="nil"/>
            </w:tcBorders>
            <w:shd w:val="clear" w:color="auto" w:fill="auto"/>
            <w:vAlign w:val="center"/>
          </w:tcPr>
          <w:p w14:paraId="700B2F9C">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default"/>
                <w:color w:val="auto"/>
                <w:vertAlign w:val="baseline"/>
                <w:lang w:val="en-US" w:eastAsia="zh-CN"/>
              </w:rPr>
            </w:pPr>
            <w:r>
              <w:rPr>
                <w:rFonts w:hint="eastAsia"/>
                <w:color w:val="auto"/>
                <w:vertAlign w:val="baseline"/>
                <w:lang w:val="en-US" w:eastAsia="zh-CN"/>
              </w:rPr>
              <w:t>0.831</w:t>
            </w:r>
            <w:r>
              <w:rPr>
                <w:rFonts w:hint="eastAsia"/>
                <w:color w:val="auto"/>
                <w:vertAlign w:val="subscript"/>
                <w:lang w:val="en-US" w:eastAsia="zh-CN"/>
              </w:rPr>
              <w:t>(0.024)</w:t>
            </w:r>
          </w:p>
        </w:tc>
        <w:tc>
          <w:tcPr>
            <w:tcW w:w="2131" w:type="dxa"/>
            <w:tcBorders>
              <w:top w:val="single" w:color="auto" w:sz="8" w:space="0"/>
              <w:left w:val="nil"/>
              <w:bottom w:val="single" w:color="auto" w:sz="12" w:space="0"/>
              <w:right w:val="nil"/>
            </w:tcBorders>
            <w:shd w:val="clear" w:color="auto" w:fill="auto"/>
            <w:vAlign w:val="center"/>
          </w:tcPr>
          <w:p w14:paraId="5F0464F5">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default"/>
                <w:color w:val="auto"/>
                <w:vertAlign w:val="baseline"/>
                <w:lang w:val="en-US" w:eastAsia="zh-CN"/>
              </w:rPr>
            </w:pPr>
            <w:r>
              <w:rPr>
                <w:rFonts w:hint="eastAsia"/>
                <w:color w:val="auto"/>
                <w:vertAlign w:val="baseline"/>
                <w:lang w:val="en-US" w:eastAsia="zh-CN"/>
              </w:rPr>
              <w:t>1.512</w:t>
            </w:r>
            <w:r>
              <w:rPr>
                <w:rFonts w:hint="eastAsia"/>
                <w:color w:val="auto"/>
                <w:vertAlign w:val="subscript"/>
                <w:lang w:val="en-US" w:eastAsia="zh-CN"/>
              </w:rPr>
              <w:t>(0.233)</w:t>
            </w:r>
          </w:p>
        </w:tc>
        <w:tc>
          <w:tcPr>
            <w:tcW w:w="2131" w:type="dxa"/>
            <w:tcBorders>
              <w:top w:val="single" w:color="auto" w:sz="8" w:space="0"/>
              <w:left w:val="nil"/>
              <w:bottom w:val="single" w:color="auto" w:sz="12" w:space="0"/>
              <w:right w:val="nil"/>
            </w:tcBorders>
            <w:shd w:val="clear" w:color="auto" w:fill="auto"/>
            <w:vAlign w:val="center"/>
          </w:tcPr>
          <w:p w14:paraId="591F55D9">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default"/>
                <w:color w:val="auto"/>
                <w:vertAlign w:val="baseline"/>
                <w:lang w:val="en-US" w:eastAsia="zh-CN"/>
              </w:rPr>
            </w:pPr>
            <w:r>
              <w:rPr>
                <w:rFonts w:hint="eastAsia"/>
                <w:color w:val="auto"/>
                <w:vertAlign w:val="baseline"/>
                <w:lang w:val="en-US" w:eastAsia="zh-CN"/>
              </w:rPr>
              <w:t>0.656</w:t>
            </w:r>
            <w:r>
              <w:rPr>
                <w:rFonts w:hint="eastAsia"/>
                <w:color w:val="auto"/>
                <w:vertAlign w:val="subscript"/>
                <w:lang w:val="en-US" w:eastAsia="zh-CN"/>
              </w:rPr>
              <w:t>(0.006)</w:t>
            </w:r>
          </w:p>
        </w:tc>
      </w:tr>
    </w:tbl>
    <w:p w14:paraId="4305BD14">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default"/>
          <w:lang w:val="en-US" w:eastAsia="zh-CN"/>
        </w:rPr>
      </w:pPr>
    </w:p>
    <w:p w14:paraId="0ED5A928">
      <w:pPr>
        <w:bidi w:val="0"/>
        <w:rPr>
          <w:rFonts w:hint="default"/>
          <w:lang w:val="en-US" w:eastAsia="zh-CN"/>
        </w:rPr>
      </w:pPr>
      <w:r>
        <w:rPr>
          <w:rFonts w:hint="default"/>
          <w:lang w:val="en-US" w:eastAsia="zh-CN"/>
        </w:rPr>
        <w:t>表 3-Y 进一步展示了模型在 ESOL、FreeSolv 和 Lipo 三个回归任务上的均方根误差（RMSE）表现（数值越低越好）。在水溶性预测任务（ESOL）中，KGAMA取得了 0.831 的极低误差，显著优于 CMPNN（0.845）与 AttentiveFP（0.877）。这表明模型不仅在离散的分类空间中表现优异，在连续的物理化学性质空间中同样具备精准的回归能力。特别是在 FreeSolv（溶剂化自由能）任务上，模型将 RMSE 降至 1.512，相比于次优模型 GIN（1.619）提升了近 6%，充分体现了多模态特征融合在刻画分子能量状态方面的优势。值得注意的是，在 Lipo（亲脂性）数据集上，MyModel 达到了 0.656 的 SOTA 水平。结合可视化分析可知，这一优异表现很大程度上源于分子指纹模态的引入。亲脂性（LogP）与分子中的特定官能团数量呈强线性相关，而基于统计计数的指纹特征恰好能精确捕捉此类信息，弥补了纯图神经网络在计数能力上的短板。</w:t>
      </w:r>
    </w:p>
    <w:p w14:paraId="5BAED9F5">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default"/>
          <w:lang w:val="en-US" w:eastAsia="zh-CN"/>
        </w:rPr>
      </w:pPr>
      <w:r>
        <w:rPr>
          <w:rFonts w:hint="default"/>
          <w:lang w:val="en-US" w:eastAsia="zh-CN"/>
        </w:rPr>
        <w:t>综上所述，无论是面向离散的生物活性分类，还是连续的理化性质回归，KGAMA均凭借其“图中心对比学习+多模态知识增强”的复合架构，展现出了超越现有 SOTA 方法的综合性能。</w:t>
      </w:r>
      <w:r>
        <w:rPr>
          <w:rFonts w:hint="eastAsia"/>
          <w:lang w:val="en-US" w:eastAsia="zh-CN"/>
        </w:rPr>
        <w:t xml:space="preserve"> </w:t>
      </w:r>
    </w:p>
    <w:p w14:paraId="61B45477">
      <w:pPr>
        <w:pStyle w:val="4"/>
        <w:bidi w:val="0"/>
        <w:rPr>
          <w:rFonts w:hint="eastAsia"/>
          <w:lang w:val="en-US" w:eastAsia="zh-CN"/>
        </w:rPr>
      </w:pPr>
      <w:r>
        <w:rPr>
          <w:rFonts w:hint="eastAsia"/>
          <w:lang w:val="en-US" w:eastAsia="zh-CN"/>
        </w:rPr>
        <w:t>消融实验</w:t>
      </w:r>
    </w:p>
    <w:p w14:paraId="2D9D2EE0">
      <w:pPr>
        <w:pageBreakBefore w:val="0"/>
        <w:kinsoku/>
        <w:wordWrap/>
        <w:overflowPunct/>
        <w:topLinePunct w:val="0"/>
        <w:autoSpaceDE/>
        <w:autoSpaceDN/>
        <w:bidi w:val="0"/>
        <w:adjustRightInd/>
        <w:spacing w:beforeAutospacing="0" w:afterAutospacing="0" w:line="360" w:lineRule="auto"/>
        <w:textAlignment w:val="auto"/>
      </w:pPr>
      <w:r>
        <w:t>为系统解构不同输入模态及融合机制对模型最终预测能力的边际贡献，本文基于所提出的 KGAMA (Knowledge-enhanced Graph Anchor Multimodal Alignment) 框架，构建了五种递进式的消融变体。所有变体均在统一的实验配置下进行训练与评测，旨在定量分析各模态信息的有效性及交叉注意力模块的核心价值。</w:t>
      </w:r>
    </w:p>
    <w:p w14:paraId="2CD2EFFC">
      <w:pPr>
        <w:pageBreakBefore w:val="0"/>
        <w:kinsoku/>
        <w:wordWrap/>
        <w:overflowPunct/>
        <w:topLinePunct w:val="0"/>
        <w:autoSpaceDE/>
        <w:autoSpaceDN/>
        <w:bidi w:val="0"/>
        <w:adjustRightInd/>
        <w:spacing w:beforeAutospacing="0" w:afterAutospacing="0" w:line="360" w:lineRule="auto"/>
        <w:textAlignment w:val="auto"/>
        <w:rPr>
          <w:rFonts w:hint="eastAsia"/>
        </w:rPr>
      </w:pPr>
      <w:r>
        <w:rPr>
          <w:rFonts w:hint="eastAsia"/>
        </w:rPr>
        <w:t>本文以分子图（Graph）作为核心语义锚点，逐步引入其他辅助模态，具体变体定义如下：</w:t>
      </w:r>
    </w:p>
    <w:p w14:paraId="5E9D9D27">
      <w:pPr>
        <w:pageBreakBefore w:val="0"/>
        <w:kinsoku/>
        <w:wordWrap/>
        <w:overflowPunct/>
        <w:topLinePunct w:val="0"/>
        <w:autoSpaceDE/>
        <w:autoSpaceDN/>
        <w:bidi w:val="0"/>
        <w:adjustRightInd/>
        <w:spacing w:beforeAutospacing="0" w:afterAutospacing="0" w:line="360" w:lineRule="auto"/>
        <w:textAlignment w:val="auto"/>
        <w:rPr>
          <w:rFonts w:hint="eastAsia"/>
        </w:rPr>
      </w:pPr>
      <m:oMath>
        <m:r>
          <m:rPr/>
          <w:rPr>
            <w:rFonts w:hint="default" w:ascii="Cambria Math"/>
          </w:rPr>
          <m:t>KGAM</m:t>
        </m:r>
        <m:sSub>
          <m:sSubPr>
            <m:ctrlPr>
              <w:rPr>
                <w:rFonts w:hint="default" w:ascii="Cambria Math"/>
              </w:rPr>
            </m:ctrlPr>
          </m:sSubPr>
          <m:e>
            <m:r>
              <m:rPr/>
              <w:rPr>
                <w:rFonts w:hint="default" w:ascii="Cambria Math"/>
              </w:rPr>
              <m:t>A</m:t>
            </m:r>
            <m:ctrlPr>
              <w:rPr>
                <w:rFonts w:hint="default" w:ascii="Cambria Math"/>
              </w:rPr>
            </m:ctrlPr>
          </m:e>
          <m:sub>
            <m:r>
              <m:rPr/>
              <w:rPr>
                <w:rFonts w:hint="default" w:ascii="Cambria Math"/>
              </w:rPr>
              <m:t>G</m:t>
            </m:r>
            <m:ctrlPr>
              <w:rPr>
                <w:rFonts w:hint="default" w:ascii="Cambria Math"/>
              </w:rPr>
            </m:ctrlPr>
          </m:sub>
        </m:sSub>
      </m:oMath>
      <w:r>
        <w:rPr>
          <w:rFonts w:hint="eastAsia"/>
          <w:i w:val="0"/>
          <w:lang w:eastAsia="zh-CN"/>
        </w:rPr>
        <w:t>：</w:t>
      </w:r>
      <w:r>
        <w:rPr>
          <w:rFonts w:hint="eastAsia"/>
        </w:rPr>
        <w:t>基准模型</w:t>
      </w:r>
      <w:r>
        <w:rPr>
          <w:rFonts w:hint="eastAsia"/>
          <w:lang w:eastAsia="zh-CN"/>
        </w:rPr>
        <w:t>，</w:t>
      </w:r>
      <w:r>
        <w:rPr>
          <w:rFonts w:hint="eastAsia"/>
        </w:rPr>
        <w:t>仅保留图编码器分支，采用 Graphormer 提取分子拓扑特征，作为下游任务的单一输入源，用于评估纯结构视角的预测基线。</w:t>
      </w:r>
    </w:p>
    <w:p w14:paraId="2E5ED948">
      <w:pPr>
        <w:pageBreakBefore w:val="0"/>
        <w:kinsoku/>
        <w:wordWrap/>
        <w:overflowPunct/>
        <w:topLinePunct w:val="0"/>
        <w:autoSpaceDE/>
        <w:autoSpaceDN/>
        <w:bidi w:val="0"/>
        <w:adjustRightInd/>
        <w:spacing w:beforeAutospacing="0" w:afterAutospacing="0" w:line="360" w:lineRule="auto"/>
        <w:textAlignment w:val="auto"/>
        <w:rPr>
          <w:rFonts w:hint="eastAsia"/>
        </w:rPr>
      </w:pPr>
      <m:oMath>
        <m:r>
          <m:rPr/>
          <w:rPr>
            <w:rFonts w:hint="default" w:ascii="Cambria Math"/>
          </w:rPr>
          <m:t>KGAM</m:t>
        </m:r>
        <m:sSub>
          <m:sSubPr>
            <m:ctrlPr>
              <w:rPr>
                <w:rFonts w:hint="default" w:ascii="Cambria Math"/>
              </w:rPr>
            </m:ctrlPr>
          </m:sSubPr>
          <m:e>
            <m:r>
              <m:rPr/>
              <w:rPr>
                <w:rFonts w:hint="default" w:ascii="Cambria Math"/>
              </w:rPr>
              <m:t>A</m:t>
            </m:r>
            <m:ctrlPr>
              <w:rPr>
                <w:rFonts w:hint="default" w:ascii="Cambria Math"/>
              </w:rPr>
            </m:ctrlPr>
          </m:e>
          <m:sub>
            <m:r>
              <m:rPr/>
              <w:rPr>
                <w:rFonts w:hint="default" w:ascii="Cambria Math"/>
              </w:rPr>
              <m:t>G+F</m:t>
            </m:r>
            <m:ctrlPr>
              <w:rPr>
                <w:rFonts w:hint="default" w:ascii="Cambria Math"/>
              </w:rPr>
            </m:ctrlPr>
          </m:sub>
        </m:sSub>
      </m:oMath>
      <w:r>
        <w:rPr>
          <w:rFonts w:hint="eastAsia"/>
          <w:i w:val="0"/>
          <w:lang w:eastAsia="zh-CN"/>
        </w:rPr>
        <w:t>：</w:t>
      </w:r>
      <w:r>
        <w:rPr>
          <w:rFonts w:hint="eastAsia"/>
        </w:rPr>
        <w:t>结构增强</w:t>
      </w:r>
      <w:r>
        <w:rPr>
          <w:rFonts w:hint="eastAsia"/>
          <w:lang w:eastAsia="zh-CN"/>
        </w:rPr>
        <w:t>。</w:t>
      </w:r>
      <w:r>
        <w:rPr>
          <w:rFonts w:hint="eastAsia"/>
        </w:rPr>
        <w:t xml:space="preserve">在 </w:t>
      </w:r>
      <m:oMath>
        <m:r>
          <m:rPr/>
          <w:rPr>
            <w:rFonts w:hint="default" w:ascii="Cambria Math"/>
          </w:rPr>
          <m:t>KGAM</m:t>
        </m:r>
        <m:sSub>
          <m:sSubPr>
            <m:ctrlPr>
              <w:rPr>
                <w:rFonts w:hint="default" w:ascii="Cambria Math"/>
              </w:rPr>
            </m:ctrlPr>
          </m:sSubPr>
          <m:e>
            <m:r>
              <m:rPr/>
              <w:rPr>
                <w:rFonts w:hint="default" w:ascii="Cambria Math"/>
              </w:rPr>
              <m:t>A</m:t>
            </m:r>
            <m:ctrlPr>
              <w:rPr>
                <w:rFonts w:hint="default" w:ascii="Cambria Math"/>
              </w:rPr>
            </m:ctrlPr>
          </m:e>
          <m:sub>
            <m:r>
              <m:rPr/>
              <w:rPr>
                <w:rFonts w:hint="default" w:ascii="Cambria Math"/>
              </w:rPr>
              <m:t>G</m:t>
            </m:r>
            <m:ctrlPr>
              <w:rPr>
                <w:rFonts w:hint="default" w:ascii="Cambria Math"/>
              </w:rPr>
            </m:ctrlPr>
          </m:sub>
        </m:sSub>
      </m:oMath>
      <w:r>
        <w:rPr>
          <w:rFonts w:hint="eastAsia"/>
        </w:rPr>
        <w:t xml:space="preserve"> 基础上引入分子指纹模态（Fingerprint），旨在补充图神经网络可能遗漏的全局子结构统计信息。</w:t>
      </w:r>
    </w:p>
    <w:p w14:paraId="09680EE9">
      <w:pPr>
        <w:pageBreakBefore w:val="0"/>
        <w:kinsoku/>
        <w:wordWrap/>
        <w:overflowPunct/>
        <w:topLinePunct w:val="0"/>
        <w:autoSpaceDE/>
        <w:autoSpaceDN/>
        <w:bidi w:val="0"/>
        <w:adjustRightInd/>
        <w:spacing w:beforeAutospacing="0" w:afterAutospacing="0" w:line="360" w:lineRule="auto"/>
        <w:textAlignment w:val="auto"/>
        <w:rPr>
          <w:rFonts w:hint="eastAsia"/>
        </w:rPr>
      </w:pPr>
      <m:oMath>
        <m:r>
          <m:rPr/>
          <w:rPr>
            <w:rFonts w:hint="default" w:ascii="Cambria Math"/>
          </w:rPr>
          <m:t>KGAM</m:t>
        </m:r>
        <m:sSub>
          <m:sSubPr>
            <m:ctrlPr>
              <w:rPr>
                <w:rFonts w:hint="default" w:ascii="Cambria Math"/>
              </w:rPr>
            </m:ctrlPr>
          </m:sSubPr>
          <m:e>
            <m:r>
              <m:rPr/>
              <w:rPr>
                <w:rFonts w:hint="default" w:ascii="Cambria Math"/>
              </w:rPr>
              <m:t>A</m:t>
            </m:r>
            <m:ctrlPr>
              <w:rPr>
                <w:rFonts w:hint="default" w:ascii="Cambria Math"/>
              </w:rPr>
            </m:ctrlPr>
          </m:e>
          <m:sub>
            <m:r>
              <m:rPr/>
              <w:rPr>
                <w:rFonts w:hint="default" w:ascii="Cambria Math"/>
              </w:rPr>
              <m:t>G+F+S</m:t>
            </m:r>
            <m:ctrlPr>
              <w:rPr>
                <w:rFonts w:hint="default" w:ascii="Cambria Math"/>
              </w:rPr>
            </m:ctrlPr>
          </m:sub>
        </m:sSub>
      </m:oMath>
      <w:r>
        <w:rPr>
          <w:rFonts w:hint="eastAsia"/>
          <w:i w:val="0"/>
          <w:lang w:eastAsia="zh-CN"/>
        </w:rPr>
        <w:t>：</w:t>
      </w:r>
      <w:r>
        <w:rPr>
          <w:rFonts w:hint="eastAsia"/>
        </w:rPr>
        <w:t>序列增强</w:t>
      </w:r>
      <w:r>
        <w:rPr>
          <w:rFonts w:hint="eastAsia"/>
          <w:lang w:eastAsia="zh-CN"/>
        </w:rPr>
        <w:t>，</w:t>
      </w:r>
      <w:r>
        <w:rPr>
          <w:rFonts w:hint="eastAsia"/>
        </w:rPr>
        <w:t>进一步融合 SMILES 序列模态，利用 Transformer 捕获分子的线性化学语法与长程依赖。</w:t>
      </w:r>
    </w:p>
    <w:p w14:paraId="11924304">
      <w:pPr>
        <w:pageBreakBefore w:val="0"/>
        <w:kinsoku/>
        <w:wordWrap/>
        <w:overflowPunct/>
        <w:topLinePunct w:val="0"/>
        <w:autoSpaceDE/>
        <w:autoSpaceDN/>
        <w:bidi w:val="0"/>
        <w:adjustRightInd/>
        <w:spacing w:beforeAutospacing="0" w:afterAutospacing="0" w:line="360" w:lineRule="auto"/>
        <w:textAlignment w:val="auto"/>
        <w:rPr>
          <w:rFonts w:hint="eastAsia"/>
        </w:rPr>
      </w:pPr>
      <m:oMath>
        <m:r>
          <m:rPr/>
          <w:rPr>
            <w:rFonts w:hint="default" w:ascii="Cambria Math"/>
          </w:rPr>
          <m:t>KGAM</m:t>
        </m:r>
        <m:sSub>
          <m:sSubPr>
            <m:ctrlPr>
              <w:rPr>
                <w:rFonts w:hint="default" w:ascii="Cambria Math"/>
              </w:rPr>
            </m:ctrlPr>
          </m:sSubPr>
          <m:e>
            <m:r>
              <m:rPr/>
              <w:rPr>
                <w:rFonts w:hint="default" w:ascii="Cambria Math"/>
              </w:rPr>
              <m:t>A</m:t>
            </m:r>
            <m:ctrlPr>
              <w:rPr>
                <w:rFonts w:hint="default" w:ascii="Cambria Math"/>
              </w:rPr>
            </m:ctrlPr>
          </m:e>
          <m:sub>
            <m:r>
              <m:rPr/>
              <w:rPr>
                <w:rFonts w:hint="default" w:ascii="Cambria Math"/>
              </w:rPr>
              <m:t>Concat</m:t>
            </m:r>
            <m:ctrlPr>
              <w:rPr>
                <w:rFonts w:hint="default" w:ascii="Cambria Math"/>
              </w:rPr>
            </m:ctrlPr>
          </m:sub>
        </m:sSub>
      </m:oMath>
      <w:r>
        <w:rPr>
          <w:rFonts w:hint="eastAsia"/>
          <w:i w:val="0"/>
          <w:lang w:eastAsia="zh-CN"/>
        </w:rPr>
        <w:t>：</w:t>
      </w:r>
      <w:r>
        <w:rPr>
          <w:rFonts w:hint="eastAsia"/>
        </w:rPr>
        <w:t>静态融合</w:t>
      </w:r>
      <w:r>
        <w:rPr>
          <w:rFonts w:hint="eastAsia"/>
          <w:lang w:eastAsia="zh-CN"/>
        </w:rPr>
        <w:t>，</w:t>
      </w:r>
      <w:r>
        <w:rPr>
          <w:rFonts w:hint="eastAsia"/>
        </w:rPr>
        <w:t>采用完整的四模态输入（G+F+S+Text），但通过简单的特征拼接（Concatenation）方式进行融合，用于评估多模态信息的原始叠加效应。</w:t>
      </w:r>
    </w:p>
    <w:p w14:paraId="2A9EE9C9">
      <w:pPr>
        <w:pageBreakBefore w:val="0"/>
        <w:kinsoku/>
        <w:wordWrap/>
        <w:overflowPunct/>
        <w:topLinePunct w:val="0"/>
        <w:autoSpaceDE/>
        <w:autoSpaceDN/>
        <w:bidi w:val="0"/>
        <w:adjustRightInd/>
        <w:spacing w:beforeAutospacing="0" w:afterAutospacing="0" w:line="360" w:lineRule="auto"/>
        <w:textAlignment w:val="auto"/>
      </w:pPr>
      <m:oMath>
        <m:r>
          <m:rPr/>
          <w:rPr>
            <w:rFonts w:hint="default" w:ascii="Cambria Math"/>
          </w:rPr>
          <m:t>KGAM</m:t>
        </m:r>
        <m:sSub>
          <m:sSubPr>
            <m:ctrlPr>
              <w:rPr>
                <w:rFonts w:hint="default" w:ascii="Cambria Math"/>
              </w:rPr>
            </m:ctrlPr>
          </m:sSubPr>
          <m:e>
            <m:r>
              <m:rPr/>
              <w:rPr>
                <w:rFonts w:hint="default" w:ascii="Cambria Math"/>
              </w:rPr>
              <m:t>A</m:t>
            </m:r>
            <m:ctrlPr>
              <w:rPr>
                <w:rFonts w:hint="default" w:ascii="Cambria Math"/>
              </w:rPr>
            </m:ctrlPr>
          </m:e>
          <m:sub>
            <m:r>
              <m:rPr/>
              <w:rPr>
                <w:rFonts w:hint="default" w:ascii="Cambria Math"/>
              </w:rPr>
              <m:t>Full</m:t>
            </m:r>
            <m:ctrlPr>
              <w:rPr>
                <w:rFonts w:hint="default" w:ascii="Cambria Math"/>
              </w:rPr>
            </m:ctrlPr>
          </m:sub>
        </m:sSub>
      </m:oMath>
      <w:r>
        <w:rPr>
          <w:rFonts w:hint="eastAsia"/>
          <w:i w:val="0"/>
          <w:lang w:val="en-US" w:eastAsia="zh-CN"/>
        </w:rPr>
        <w:t>:</w:t>
      </w:r>
      <w:r>
        <w:rPr>
          <w:rFonts w:hint="eastAsia"/>
        </w:rPr>
        <w:t>完整模型</w:t>
      </w:r>
      <w:r>
        <w:rPr>
          <w:rFonts w:hint="eastAsia"/>
          <w:lang w:val="en-US" w:eastAsia="zh-CN"/>
        </w:rPr>
        <w:t>,</w:t>
      </w:r>
      <w:r>
        <w:rPr>
          <w:rFonts w:hint="eastAsia"/>
        </w:rPr>
        <w:t>本文提出的最终形态，即在四模态基础上引入交叉注意力（Cross-Attention）机制，实现特征的动态自适应融合。</w:t>
      </w:r>
    </w:p>
    <w:p w14:paraId="36536E37">
      <w:pPr>
        <w:pageBreakBefore w:val="0"/>
        <w:kinsoku/>
        <w:wordWrap/>
        <w:overflowPunct/>
        <w:topLinePunct w:val="0"/>
        <w:autoSpaceDE/>
        <w:autoSpaceDN/>
        <w:bidi w:val="0"/>
        <w:adjustRightInd/>
        <w:spacing w:beforeAutospacing="0" w:afterAutospacing="0" w:line="360" w:lineRule="auto"/>
        <w:textAlignment w:val="auto"/>
        <w:rPr>
          <w:rFonts w:ascii="Times New Roman" w:hAnsi="Times New Roman" w:eastAsia="宋体" w:cs="Times New Roman"/>
          <w:kern w:val="2"/>
          <w:sz w:val="21"/>
          <w:szCs w:val="24"/>
          <w:lang w:val="en-US" w:eastAsia="zh-CN" w:bidi="ar-SA"/>
        </w:rPr>
      </w:pPr>
    </w:p>
    <w:p w14:paraId="46C76CFA">
      <w:pPr>
        <w:pageBreakBefore w:val="0"/>
        <w:kinsoku/>
        <w:wordWrap/>
        <w:overflowPunct/>
        <w:topLinePunct w:val="0"/>
        <w:autoSpaceDE/>
        <w:autoSpaceDN/>
        <w:bidi w:val="0"/>
        <w:adjustRightInd/>
        <w:spacing w:beforeAutospacing="0" w:afterAutospacing="0" w:line="360" w:lineRule="auto"/>
        <w:textAlignment w:val="auto"/>
        <w:rPr>
          <w:rFonts w:hint="eastAsia" w:cs="Times New Roman"/>
          <w:kern w:val="2"/>
          <w:sz w:val="21"/>
          <w:szCs w:val="24"/>
          <w:lang w:val="en-US" w:eastAsia="zh-CN" w:bidi="ar-SA"/>
        </w:rPr>
      </w:pPr>
      <w:r>
        <w:rPr>
          <w:rFonts w:hint="eastAsia" w:ascii="Times New Roman" w:hAnsi="Times New Roman" w:eastAsia="宋体" w:cs="Times New Roman"/>
          <w:kern w:val="2"/>
          <w:sz w:val="21"/>
          <w:szCs w:val="24"/>
          <w:lang w:val="en-US" w:eastAsia="zh-CN" w:bidi="ar-SA"/>
        </w:rPr>
        <w:t xml:space="preserve">图 3-X 与图 3-Y 的实验结果清晰地揭示了模态间的互补规律与交叉注意力机制的关键作用。首先，从单模态基准来看，仅依赖分子图的 </w:t>
      </w:r>
      <m:oMath>
        <m:r>
          <m:rPr>
            <m:nor/>
          </m:rPr>
          <w:rPr>
            <w:rFonts w:hint="default" w:ascii="Times New Roman" w:hAnsi="Times New Roman" w:eastAsia="宋体" w:cs="Times New Roman"/>
            <w:i/>
            <w:sz w:val="21"/>
          </w:rPr>
          <m:t>KGAM</m:t>
        </m:r>
        <m:sSub>
          <m:sSubPr>
            <m:ctrlPr>
              <w:rPr>
                <w:rFonts w:hint="default" w:ascii="Cambria Math" w:hAnsi="Cambria Math" w:eastAsia="宋体" w:cs="Times New Roman"/>
                <w:sz w:val="21"/>
              </w:rPr>
            </m:ctrlPr>
          </m:sSubPr>
          <m:e>
            <m:r>
              <m:rPr>
                <m:nor/>
              </m:rPr>
              <w:rPr>
                <w:rFonts w:hint="default" w:ascii="Times New Roman" w:hAnsi="Times New Roman" w:eastAsia="宋体" w:cs="Times New Roman"/>
                <w:i/>
                <w:sz w:val="21"/>
              </w:rPr>
              <m:t>A</m:t>
            </m:r>
            <m:ctrlPr>
              <w:rPr>
                <w:rFonts w:hint="default" w:ascii="Cambria Math" w:hAnsi="Cambria Math" w:eastAsia="宋体" w:cs="Times New Roman"/>
                <w:sz w:val="21"/>
              </w:rPr>
            </m:ctrlPr>
          </m:e>
          <m:sub>
            <m:r>
              <m:rPr>
                <m:nor/>
              </m:rPr>
              <w:rPr>
                <w:rFonts w:hint="default" w:ascii="Times New Roman" w:hAnsi="Times New Roman" w:eastAsia="宋体" w:cs="Times New Roman"/>
                <w:i/>
                <w:sz w:val="21"/>
              </w:rPr>
              <m:t>G</m:t>
            </m:r>
            <m:ctrlPr>
              <w:rPr>
                <w:rFonts w:hint="default" w:ascii="Cambria Math" w:hAnsi="Cambria Math" w:eastAsia="宋体" w:cs="Times New Roman"/>
                <w:sz w:val="21"/>
              </w:rPr>
            </m:ctrlPr>
          </m:sub>
        </m:sSub>
      </m:oMath>
      <w:r>
        <w:rPr>
          <w:rFonts w:hint="eastAsia" w:ascii="Times New Roman" w:hAnsi="Times New Roman" w:eastAsia="宋体" w:cs="Times New Roman"/>
          <w:kern w:val="2"/>
          <w:sz w:val="21"/>
          <w:szCs w:val="24"/>
          <w:lang w:val="en-US" w:eastAsia="zh-CN" w:bidi="ar-SA"/>
        </w:rPr>
        <w:t xml:space="preserve">已在多个任务上（如 BACE AUROC 0.825）展现出良好的预测基础，验证了 Graphormer 在提取拓扑特征方面的有效性。在此基础上，引入分子指纹后的 </w:t>
      </w:r>
      <m:oMath>
        <m:r>
          <m:rPr>
            <m:nor/>
          </m:rPr>
          <w:rPr>
            <w:rFonts w:hint="default" w:ascii="Times New Roman" w:hAnsi="Times New Roman" w:eastAsia="宋体" w:cs="Times New Roman"/>
            <w:i/>
            <w:sz w:val="21"/>
          </w:rPr>
          <m:t>KGAM</m:t>
        </m:r>
        <m:sSub>
          <m:sSubPr>
            <m:ctrlPr>
              <w:rPr>
                <w:rFonts w:hint="default" w:ascii="Cambria Math" w:hAnsi="Cambria Math" w:eastAsia="宋体" w:cs="Times New Roman"/>
                <w:sz w:val="21"/>
              </w:rPr>
            </m:ctrlPr>
          </m:sSubPr>
          <m:e>
            <m:r>
              <m:rPr>
                <m:nor/>
              </m:rPr>
              <w:rPr>
                <w:rFonts w:hint="default" w:ascii="Times New Roman" w:hAnsi="Times New Roman" w:eastAsia="宋体" w:cs="Times New Roman"/>
                <w:i/>
                <w:sz w:val="21"/>
              </w:rPr>
              <m:t>A</m:t>
            </m:r>
            <m:ctrlPr>
              <w:rPr>
                <w:rFonts w:hint="default" w:ascii="Cambria Math" w:hAnsi="Cambria Math" w:eastAsia="宋体" w:cs="Times New Roman"/>
                <w:sz w:val="21"/>
              </w:rPr>
            </m:ctrlPr>
          </m:e>
          <m:sub>
            <m:r>
              <m:rPr>
                <m:nor/>
              </m:rPr>
              <w:rPr>
                <w:rFonts w:hint="default" w:ascii="Times New Roman" w:hAnsi="Times New Roman" w:eastAsia="宋体" w:cs="Times New Roman"/>
                <w:i/>
                <w:sz w:val="21"/>
              </w:rPr>
              <m:t>G</m:t>
            </m:r>
            <m:r>
              <m:rPr>
                <m:nor/>
                <m:sty m:val="p"/>
              </m:rPr>
              <w:rPr>
                <w:rFonts w:hint="default" w:ascii="Times New Roman" w:hAnsi="Times New Roman" w:eastAsia="宋体" w:cs="Times New Roman"/>
                <w:b w:val="0"/>
                <w:i w:val="0"/>
                <w:sz w:val="21"/>
              </w:rPr>
              <m:t>+</m:t>
            </m:r>
            <m:r>
              <m:rPr>
                <m:nor/>
              </m:rPr>
              <w:rPr>
                <w:rFonts w:hint="default" w:ascii="Times New Roman" w:hAnsi="Times New Roman" w:eastAsia="宋体" w:cs="Times New Roman"/>
                <w:i/>
                <w:sz w:val="21"/>
              </w:rPr>
              <m:t>F</m:t>
            </m:r>
            <m:ctrlPr>
              <w:rPr>
                <w:rFonts w:hint="default" w:ascii="Cambria Math" w:hAnsi="Cambria Math" w:eastAsia="宋体" w:cs="Times New Roman"/>
                <w:sz w:val="21"/>
              </w:rPr>
            </m:ctrlPr>
          </m:sub>
        </m:sSub>
      </m:oMath>
      <w:r>
        <w:rPr>
          <w:rFonts w:hint="eastAsia" w:ascii="Times New Roman" w:hAnsi="Times New Roman" w:eastAsia="宋体" w:cs="Times New Roman"/>
          <w:kern w:val="2"/>
          <w:sz w:val="21"/>
          <w:szCs w:val="24"/>
          <w:lang w:val="en-US" w:eastAsia="zh-CN" w:bidi="ar-SA"/>
        </w:rPr>
        <w:t>在几乎所有任务上均实现了性能跃升，特别是在 Lipo 亲脂性预测任务中 RMSE 的显著降低，表明指纹特征能有效弥补图网络在特定官能团计数方面的短板。随后，</w:t>
      </w:r>
      <m:oMath>
        <m:r>
          <m:rPr>
            <m:nor/>
          </m:rPr>
          <w:rPr>
            <w:rFonts w:hint="default" w:ascii="Times New Roman" w:hAnsi="Times New Roman" w:eastAsia="宋体" w:cs="Times New Roman"/>
            <w:i/>
            <w:sz w:val="21"/>
          </w:rPr>
          <m:t>KGAM</m:t>
        </m:r>
        <m:sSub>
          <m:sSubPr>
            <m:ctrlPr>
              <w:rPr>
                <w:rFonts w:hint="default" w:ascii="Cambria Math" w:hAnsi="Cambria Math" w:eastAsia="宋体" w:cs="Times New Roman"/>
                <w:sz w:val="21"/>
              </w:rPr>
            </m:ctrlPr>
          </m:sSubPr>
          <m:e>
            <m:r>
              <m:rPr>
                <m:nor/>
              </m:rPr>
              <w:rPr>
                <w:rFonts w:hint="default" w:ascii="Times New Roman" w:hAnsi="Times New Roman" w:eastAsia="宋体" w:cs="Times New Roman"/>
                <w:i/>
                <w:sz w:val="21"/>
              </w:rPr>
              <m:t>A</m:t>
            </m:r>
            <m:ctrlPr>
              <w:rPr>
                <w:rFonts w:hint="default" w:ascii="Cambria Math" w:hAnsi="Cambria Math" w:eastAsia="宋体" w:cs="Times New Roman"/>
                <w:sz w:val="21"/>
              </w:rPr>
            </m:ctrlPr>
          </m:e>
          <m:sub>
            <m:r>
              <m:rPr>
                <m:nor/>
              </m:rPr>
              <w:rPr>
                <w:rFonts w:hint="default" w:ascii="Times New Roman" w:hAnsi="Times New Roman" w:eastAsia="宋体" w:cs="Times New Roman"/>
                <w:i/>
                <w:sz w:val="21"/>
              </w:rPr>
              <m:t>G</m:t>
            </m:r>
            <m:r>
              <m:rPr>
                <m:nor/>
                <m:sty m:val="p"/>
              </m:rPr>
              <w:rPr>
                <w:rFonts w:hint="default" w:ascii="Times New Roman" w:hAnsi="Times New Roman" w:eastAsia="宋体" w:cs="Times New Roman"/>
                <w:b w:val="0"/>
                <w:i w:val="0"/>
                <w:sz w:val="21"/>
              </w:rPr>
              <m:t>+</m:t>
            </m:r>
            <m:r>
              <m:rPr>
                <m:nor/>
              </m:rPr>
              <w:rPr>
                <w:rFonts w:hint="default" w:ascii="Times New Roman" w:hAnsi="Times New Roman" w:eastAsia="宋体" w:cs="Times New Roman"/>
                <w:i/>
                <w:sz w:val="21"/>
              </w:rPr>
              <m:t>F</m:t>
            </m:r>
            <m:r>
              <m:rPr>
                <m:nor/>
                <m:sty m:val="p"/>
              </m:rPr>
              <w:rPr>
                <w:rFonts w:hint="default" w:ascii="Times New Roman" w:hAnsi="Times New Roman" w:eastAsia="宋体" w:cs="Times New Roman"/>
                <w:b w:val="0"/>
                <w:i w:val="0"/>
                <w:sz w:val="21"/>
              </w:rPr>
              <m:t>+</m:t>
            </m:r>
            <m:r>
              <m:rPr>
                <m:nor/>
              </m:rPr>
              <w:rPr>
                <w:rFonts w:hint="default" w:ascii="Times New Roman" w:hAnsi="Times New Roman" w:eastAsia="宋体" w:cs="Times New Roman"/>
                <w:i/>
                <w:sz w:val="21"/>
              </w:rPr>
              <m:t>S</m:t>
            </m:r>
            <m:ctrlPr>
              <w:rPr>
                <w:rFonts w:hint="default" w:ascii="Cambria Math" w:hAnsi="Cambria Math" w:eastAsia="宋体" w:cs="Times New Roman"/>
                <w:sz w:val="21"/>
              </w:rPr>
            </m:ctrlPr>
          </m:sub>
        </m:sSub>
      </m:oMath>
      <w:r>
        <w:rPr>
          <w:rFonts w:hint="eastAsia" w:ascii="Times New Roman" w:hAnsi="Times New Roman" w:eastAsia="宋体" w:cs="Times New Roman"/>
          <w:kern w:val="2"/>
          <w:sz w:val="21"/>
          <w:szCs w:val="24"/>
          <w:lang w:val="en-US" w:eastAsia="zh-CN" w:bidi="ar-SA"/>
        </w:rPr>
        <w:t xml:space="preserve"> 的进一步提升证明了序列模态提供的线性视角与图结构的二维视角具有良好的互补性。更重要的是，对比</w:t>
      </w:r>
      <m:oMath>
        <m:r>
          <m:rPr>
            <m:nor/>
          </m:rPr>
          <w:rPr>
            <w:rFonts w:hint="default" w:ascii="Times New Roman" w:hAnsi="Times New Roman" w:eastAsia="宋体" w:cs="Times New Roman"/>
            <w:i/>
            <w:sz w:val="21"/>
          </w:rPr>
          <m:t>KGAM</m:t>
        </m:r>
        <m:sSub>
          <m:sSubPr>
            <m:ctrlPr>
              <w:rPr>
                <w:rFonts w:hint="default" w:ascii="Cambria Math" w:hAnsi="Cambria Math" w:eastAsia="宋体" w:cs="Times New Roman"/>
                <w:sz w:val="21"/>
              </w:rPr>
            </m:ctrlPr>
          </m:sSubPr>
          <m:e>
            <m:r>
              <m:rPr>
                <m:nor/>
              </m:rPr>
              <w:rPr>
                <w:rFonts w:hint="default" w:ascii="Times New Roman" w:hAnsi="Times New Roman" w:eastAsia="宋体" w:cs="Times New Roman"/>
                <w:i/>
                <w:sz w:val="21"/>
              </w:rPr>
              <m:t>A</m:t>
            </m:r>
            <m:ctrlPr>
              <w:rPr>
                <w:rFonts w:hint="default" w:ascii="Cambria Math" w:hAnsi="Cambria Math" w:eastAsia="宋体" w:cs="Times New Roman"/>
                <w:sz w:val="21"/>
              </w:rPr>
            </m:ctrlPr>
          </m:e>
          <m:sub>
            <m:r>
              <m:rPr>
                <m:nor/>
              </m:rPr>
              <w:rPr>
                <w:rFonts w:hint="default" w:ascii="Times New Roman" w:hAnsi="Times New Roman" w:eastAsia="宋体" w:cs="Times New Roman"/>
                <w:i/>
                <w:sz w:val="21"/>
              </w:rPr>
              <m:t>Concat</m:t>
            </m:r>
            <m:ctrlPr>
              <w:rPr>
                <w:rFonts w:hint="default" w:ascii="Cambria Math" w:hAnsi="Cambria Math" w:eastAsia="宋体" w:cs="Times New Roman"/>
                <w:sz w:val="21"/>
              </w:rPr>
            </m:ctrlPr>
          </m:sub>
        </m:sSub>
      </m:oMath>
      <w:r>
        <w:rPr>
          <w:rFonts w:hint="eastAsia" w:ascii="Times New Roman" w:hAnsi="Times New Roman" w:eastAsia="宋体" w:cs="Times New Roman"/>
          <w:kern w:val="2"/>
          <w:sz w:val="21"/>
          <w:szCs w:val="24"/>
          <w:lang w:val="en-US" w:eastAsia="zh-CN" w:bidi="ar-SA"/>
        </w:rPr>
        <w:t xml:space="preserve"> 与 </w:t>
      </w:r>
      <m:oMath>
        <m:r>
          <m:rPr>
            <m:nor/>
          </m:rPr>
          <w:rPr>
            <w:rFonts w:hint="default" w:ascii="Times New Roman" w:hAnsi="Times New Roman" w:eastAsia="宋体" w:cs="Times New Roman"/>
            <w:i/>
            <w:sz w:val="21"/>
          </w:rPr>
          <m:t>KGAM</m:t>
        </m:r>
        <m:sSub>
          <m:sSubPr>
            <m:ctrlPr>
              <w:rPr>
                <w:rFonts w:hint="default" w:ascii="Cambria Math" w:hAnsi="Cambria Math" w:eastAsia="宋体" w:cs="Times New Roman"/>
                <w:sz w:val="21"/>
              </w:rPr>
            </m:ctrlPr>
          </m:sSubPr>
          <m:e>
            <m:r>
              <m:rPr>
                <m:nor/>
              </m:rPr>
              <w:rPr>
                <w:rFonts w:hint="default" w:ascii="Times New Roman" w:hAnsi="Times New Roman" w:eastAsia="宋体" w:cs="Times New Roman"/>
                <w:i/>
                <w:sz w:val="21"/>
              </w:rPr>
              <m:t>A</m:t>
            </m:r>
            <m:ctrlPr>
              <w:rPr>
                <w:rFonts w:hint="default" w:ascii="Cambria Math" w:hAnsi="Cambria Math" w:eastAsia="宋体" w:cs="Times New Roman"/>
                <w:sz w:val="21"/>
              </w:rPr>
            </m:ctrlPr>
          </m:e>
          <m:sub>
            <m:r>
              <m:rPr>
                <m:nor/>
              </m:rPr>
              <w:rPr>
                <w:rFonts w:hint="default" w:ascii="Times New Roman" w:hAnsi="Times New Roman" w:eastAsia="宋体" w:cs="Times New Roman"/>
                <w:i/>
                <w:sz w:val="21"/>
              </w:rPr>
              <m:t>Full</m:t>
            </m:r>
            <m:ctrlPr>
              <w:rPr>
                <w:rFonts w:hint="default" w:ascii="Cambria Math" w:hAnsi="Cambria Math" w:eastAsia="宋体" w:cs="Times New Roman"/>
                <w:sz w:val="21"/>
              </w:rPr>
            </m:ctrlPr>
          </m:sub>
        </m:sSub>
      </m:oMath>
      <w:r>
        <w:rPr>
          <w:rFonts w:hint="eastAsia" w:ascii="Times New Roman" w:hAnsi="Times New Roman" w:eastAsia="宋体" w:cs="Times New Roman"/>
          <w:kern w:val="2"/>
          <w:sz w:val="21"/>
          <w:szCs w:val="24"/>
          <w:lang w:val="en-US" w:eastAsia="zh-CN" w:bidi="ar-SA"/>
        </w:rPr>
        <w:t>的结果发现，交叉注意力机制起到了决定性的“智库”作用：</w:t>
      </w:r>
      <m:oMath>
        <m:r>
          <m:rPr/>
          <w:rPr>
            <w:rFonts w:hint="default" w:ascii="Cambria Math" w:hAnsi="Cambria Math" w:eastAsia="宋体"/>
            <w:sz w:val="21"/>
          </w:rPr>
          <m:t>KGAM</m:t>
        </m:r>
        <m:sSub>
          <m:sSubPr>
            <m:ctrlPr>
              <w:rPr>
                <w:rFonts w:hint="default" w:ascii="Cambria Math" w:hAnsi="Cambria Math" w:eastAsia="宋体"/>
                <w:sz w:val="21"/>
              </w:rPr>
            </m:ctrlPr>
          </m:sSubPr>
          <m:e>
            <m:r>
              <m:rPr/>
              <w:rPr>
                <w:rFonts w:hint="default" w:ascii="Cambria Math" w:hAnsi="Cambria Math" w:eastAsia="宋体"/>
                <w:sz w:val="21"/>
              </w:rPr>
              <m:t>A</m:t>
            </m:r>
            <m:ctrlPr>
              <w:rPr>
                <w:rFonts w:ascii="Cambria Math" w:hAnsi="Cambria Math" w:eastAsia="宋体"/>
                <w:sz w:val="21"/>
              </w:rPr>
            </m:ctrlPr>
          </m:e>
          <m:sub>
            <m:r>
              <m:rPr/>
              <w:rPr>
                <w:rFonts w:hint="default" w:ascii="Cambria Math" w:hAnsi="Cambria Math" w:eastAsia="宋体"/>
                <w:sz w:val="21"/>
              </w:rPr>
              <m:t>Full</m:t>
            </m:r>
            <m:ctrlPr>
              <w:rPr>
                <w:rFonts w:ascii="Cambria Math" w:hAnsi="Cambria Math" w:eastAsia="宋体"/>
                <w:sz w:val="21"/>
              </w:rPr>
            </m:ctrlPr>
          </m:sub>
        </m:sSub>
      </m:oMath>
      <w:r>
        <w:rPr>
          <w:rFonts w:hint="eastAsia" w:ascii="Times New Roman" w:hAnsi="Times New Roman" w:eastAsia="宋体" w:cs="Times New Roman"/>
          <w:kern w:val="2"/>
          <w:sz w:val="21"/>
          <w:szCs w:val="24"/>
          <w:lang w:val="en-US" w:eastAsia="zh-CN" w:bidi="ar-SA"/>
        </w:rPr>
        <w:t>在分类任务上的平均 AUROC 相比静态拼接提升了约 1.67%，在回归任务中平均 RMSE 降低了 4.23%。这一显著差距有力证明了简单的特征拼接无法有效处理多模态间的语义冲突与噪声——拼接本质上默认了各模态具有同等重要性，而忽略了分子性质决定因素的高度差异性。相比之下，这种性能的全面超越源于动态权重的机理，即交叉注意力模块能够根据具体预测任务自适应调节模态权重。例如在 ClinTox 任务中，</w:t>
      </w:r>
      <m:oMath>
        <m:r>
          <m:rPr/>
          <w:rPr>
            <w:rFonts w:hint="default" w:ascii="Cambria Math" w:hAnsi="Cambria Math" w:eastAsia="宋体"/>
            <w:sz w:val="21"/>
          </w:rPr>
          <m:t>KGAM</m:t>
        </m:r>
        <m:sSub>
          <m:sSubPr>
            <m:ctrlPr>
              <w:rPr>
                <w:rFonts w:hint="default" w:ascii="Cambria Math" w:hAnsi="Cambria Math" w:eastAsia="宋体"/>
                <w:sz w:val="21"/>
              </w:rPr>
            </m:ctrlPr>
          </m:sSubPr>
          <m:e>
            <m:r>
              <m:rPr/>
              <w:rPr>
                <w:rFonts w:hint="default" w:ascii="Cambria Math" w:hAnsi="Cambria Math" w:eastAsia="宋体"/>
                <w:sz w:val="21"/>
              </w:rPr>
              <m:t>A</m:t>
            </m:r>
            <m:ctrlPr>
              <w:rPr>
                <w:rFonts w:ascii="Cambria Math" w:hAnsi="Cambria Math" w:eastAsia="宋体"/>
                <w:sz w:val="21"/>
              </w:rPr>
            </m:ctrlPr>
          </m:e>
          <m:sub>
            <m:r>
              <m:rPr/>
              <w:rPr>
                <w:rFonts w:hint="default" w:ascii="Cambria Math" w:hAnsi="Cambria Math" w:eastAsia="宋体"/>
                <w:sz w:val="21"/>
              </w:rPr>
              <m:t>Full</m:t>
            </m:r>
            <m:ctrlPr>
              <w:rPr>
                <w:rFonts w:ascii="Cambria Math" w:hAnsi="Cambria Math" w:eastAsia="宋体"/>
                <w:sz w:val="21"/>
              </w:rPr>
            </m:ctrlPr>
          </m:sub>
        </m:sSub>
      </m:oMath>
      <w:r>
        <w:rPr>
          <w:rFonts w:hint="eastAsia" w:ascii="Times New Roman" w:hAnsi="Times New Roman" w:eastAsia="宋体" w:cs="Times New Roman"/>
          <w:kern w:val="2"/>
          <w:sz w:val="21"/>
          <w:szCs w:val="24"/>
          <w:lang w:val="en-US" w:eastAsia="zh-CN" w:bidi="ar-SA"/>
        </w:rPr>
        <w:t xml:space="preserve">（0.941）显著优于 </w:t>
      </w:r>
      <m:oMath>
        <m:r>
          <m:rPr/>
          <w:rPr>
            <w:rFonts w:hint="default" w:ascii="Cambria Math" w:hAnsi="Cambria Math" w:eastAsia="宋体"/>
            <w:sz w:val="21"/>
          </w:rPr>
          <m:t>KGAM</m:t>
        </m:r>
        <m:sSub>
          <m:sSubPr>
            <m:ctrlPr>
              <w:rPr>
                <w:rFonts w:hint="default" w:ascii="Cambria Math" w:hAnsi="Cambria Math" w:eastAsia="宋体"/>
                <w:sz w:val="21"/>
              </w:rPr>
            </m:ctrlPr>
          </m:sSubPr>
          <m:e>
            <m:r>
              <m:rPr/>
              <w:rPr>
                <w:rFonts w:hint="default" w:ascii="Cambria Math" w:hAnsi="Cambria Math" w:eastAsia="宋体"/>
                <w:sz w:val="21"/>
              </w:rPr>
              <m:t>A</m:t>
            </m:r>
            <m:ctrlPr>
              <w:rPr>
                <w:rFonts w:ascii="Cambria Math" w:hAnsi="Cambria Math" w:eastAsia="宋体"/>
                <w:sz w:val="21"/>
              </w:rPr>
            </m:ctrlPr>
          </m:e>
          <m:sub>
            <m:r>
              <m:rPr/>
              <w:rPr>
                <w:rFonts w:hint="default" w:ascii="Cambria Math" w:hAnsi="Cambria Math" w:eastAsia="宋体"/>
                <w:sz w:val="21"/>
              </w:rPr>
              <m:t>Concat</m:t>
            </m:r>
            <m:ctrlPr>
              <w:rPr>
                <w:rFonts w:ascii="Cambria Math" w:hAnsi="Cambria Math" w:eastAsia="宋体"/>
                <w:sz w:val="21"/>
              </w:rPr>
            </m:ctrlPr>
          </m:sub>
        </m:sSub>
      </m:oMath>
      <w:r>
        <w:rPr>
          <w:rFonts w:hint="eastAsia" w:ascii="Times New Roman" w:hAnsi="Times New Roman" w:eastAsia="宋体" w:cs="Times New Roman"/>
          <w:kern w:val="2"/>
          <w:sz w:val="21"/>
          <w:szCs w:val="24"/>
          <w:lang w:val="en-US" w:eastAsia="zh-CN" w:bidi="ar-SA"/>
        </w:rPr>
        <w:t>（0.925），说明模型成功识别出该任务对专家文本知识的高度依赖，从而赋予文本模态更高的权重以提取隐含的毒理学因果链条。关于各任务在交叉注意力层中具体的模态权重倾向，将在 3.3.3 可视化分析中进一步探讨。</w:t>
      </w:r>
    </w:p>
    <w:p w14:paraId="693A809A">
      <w:pPr>
        <w:pageBreakBefore w:val="0"/>
        <w:kinsoku/>
        <w:wordWrap/>
        <w:overflowPunct/>
        <w:topLinePunct w:val="0"/>
        <w:autoSpaceDE/>
        <w:autoSpaceDN/>
        <w:bidi w:val="0"/>
        <w:adjustRightInd/>
        <w:spacing w:beforeAutospacing="0" w:afterAutospacing="0" w:line="360" w:lineRule="auto"/>
        <w:ind w:left="0" w:leftChars="0" w:firstLine="0" w:firstLineChars="0"/>
        <w:jc w:val="left"/>
        <w:textAlignment w:val="auto"/>
      </w:pPr>
      <w:r>
        <w:drawing>
          <wp:inline distT="0" distB="0" distL="114300" distR="114300">
            <wp:extent cx="3987800" cy="1607820"/>
            <wp:effectExtent l="0" t="0" r="5080" b="7620"/>
            <wp:docPr id="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1"/>
                    <pic:cNvPicPr>
                      <a:picLocks noChangeAspect="1"/>
                    </pic:cNvPicPr>
                  </pic:nvPicPr>
                  <pic:blipFill>
                    <a:blip r:embed="rId10"/>
                    <a:stretch>
                      <a:fillRect/>
                    </a:stretch>
                  </pic:blipFill>
                  <pic:spPr>
                    <a:xfrm>
                      <a:off x="0" y="0"/>
                      <a:ext cx="3987800" cy="1607820"/>
                    </a:xfrm>
                    <a:prstGeom prst="rect">
                      <a:avLst/>
                    </a:prstGeom>
                    <a:noFill/>
                    <a:ln>
                      <a:noFill/>
                    </a:ln>
                  </pic:spPr>
                </pic:pic>
              </a:graphicData>
            </a:graphic>
          </wp:inline>
        </w:drawing>
      </w:r>
    </w:p>
    <w:p w14:paraId="177B602C">
      <w:pPr>
        <w:pageBreakBefore w:val="0"/>
        <w:kinsoku/>
        <w:wordWrap/>
        <w:overflowPunct/>
        <w:topLinePunct w:val="0"/>
        <w:autoSpaceDE/>
        <w:autoSpaceDN/>
        <w:bidi w:val="0"/>
        <w:adjustRightInd/>
        <w:spacing w:beforeAutospacing="0" w:afterAutospacing="0" w:line="360" w:lineRule="auto"/>
        <w:ind w:left="0" w:leftChars="0" w:firstLine="0" w:firstLineChars="0"/>
        <w:jc w:val="left"/>
        <w:textAlignment w:val="auto"/>
        <w:rPr>
          <w:rFonts w:hint="eastAsia"/>
          <w:lang w:val="en-US" w:eastAsia="zh-CN"/>
        </w:rPr>
      </w:pPr>
      <w:r>
        <w:drawing>
          <wp:inline distT="0" distB="0" distL="114300" distR="114300">
            <wp:extent cx="3135630" cy="1863725"/>
            <wp:effectExtent l="0" t="0" r="3810" b="10795"/>
            <wp:docPr id="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1"/>
                    <pic:cNvPicPr>
                      <a:picLocks noChangeAspect="1"/>
                    </pic:cNvPicPr>
                  </pic:nvPicPr>
                  <pic:blipFill>
                    <a:blip r:embed="rId11"/>
                    <a:stretch>
                      <a:fillRect/>
                    </a:stretch>
                  </pic:blipFill>
                  <pic:spPr>
                    <a:xfrm>
                      <a:off x="0" y="0"/>
                      <a:ext cx="3135630" cy="1863725"/>
                    </a:xfrm>
                    <a:prstGeom prst="rect">
                      <a:avLst/>
                    </a:prstGeom>
                    <a:noFill/>
                    <a:ln>
                      <a:noFill/>
                    </a:ln>
                  </pic:spPr>
                </pic:pic>
              </a:graphicData>
            </a:graphic>
          </wp:inline>
        </w:drawing>
      </w:r>
    </w:p>
    <w:p w14:paraId="2EB402DF">
      <w:pPr>
        <w:pStyle w:val="4"/>
        <w:bidi w:val="0"/>
        <w:rPr>
          <w:rFonts w:hint="default"/>
          <w:lang w:val="en-US" w:eastAsia="zh-CN"/>
        </w:rPr>
      </w:pPr>
      <w:r>
        <w:rPr>
          <w:rFonts w:hint="eastAsia"/>
          <w:lang w:val="en-US" w:eastAsia="zh-CN"/>
        </w:rPr>
        <w:t>可视化分析</w:t>
      </w:r>
    </w:p>
    <w:p w14:paraId="5C04042C">
      <w:pPr>
        <w:bidi w:val="0"/>
        <w:rPr>
          <w:rFonts w:hint="eastAsia"/>
          <w:lang w:val="en-US" w:eastAsia="zh-CN"/>
        </w:rPr>
      </w:pPr>
      <w:r>
        <w:rPr>
          <w:rFonts w:hint="eastAsia"/>
          <w:lang w:val="en-US" w:eastAsia="zh-CN"/>
        </w:rPr>
        <w:t>为了进一步解释不同模态对特定分子性质预测任务的贡献，本文分析了XXX模型学习的注意力权重矩阵，如图X所示。图中横轴代表不同的分子性质预测任务，纵轴代表四种输入模态，颜色的深浅直观反映了该模态在特定任务中的重要性贡献度（权重值越大，颜色越深）。. 根据权重图可以得出在物理性质任务中的结构模态起主导效应，具体的说在预测分子的物理化学性质时，模型表现出对拓扑结构的高度依赖。在 FreeSolv（溶剂化自由能）和 ESOL（水溶性）任务中，Graph 模态的权重分别高达 0.40 和 0.39，显著高于其他模态。这与化学直觉高度一致。分子的溶解能力和能量状态主要由其分子骨架的拓扑连接及原子间的空间排布决定。本文所使用的Graphormer图神经网络提取的显式结构特征在此类任务中提供了最核心的判别依据，起到了“语义锚点”的作用。值得注意的是，在 Lipo（亲脂性）任务中，Fingerprint获得了最高的权重 0.38，甚至超过了 Graph。这是因为亲脂性与分子中特定的疏水/亲水官能团数量呈强线性相关，而基于统计计数的分子指纹恰好擅长捕获此类特征。</w:t>
      </w:r>
    </w:p>
    <w:p w14:paraId="2331043D">
      <w:pPr>
        <w:bidi w:val="0"/>
        <w:rPr>
          <w:rFonts w:hint="eastAsia"/>
          <w:lang w:val="en-US" w:eastAsia="zh-CN"/>
        </w:rPr>
      </w:pPr>
      <w:r>
        <w:rPr>
          <w:rFonts w:hint="eastAsia"/>
          <w:lang w:val="en-US" w:eastAsia="zh-CN"/>
        </w:rPr>
        <w:t>另一方面权重图中也体现了知识增强在生物药理任务中的突破，与物理任务形成鲜明对比的是，在涉及复杂生物相互作用的任务中，模型自动学会了依赖专家知识。在 Sider（副作用预测）、ClinTox（临床毒性）和 Tox21 任务中，文本模态的权重出现了显著跃升，分别为 0.38、0.36 和 0.32。这是因为副作用和毒性往往难以仅从分子结构中直接推断，但通常在文献或专家描述中有明确记载（例如“该结构可能导致心脏毒性”）。此时，经过 LLM 重写并注入了 12 项理化性质的文本模态成为了关键的信息源。模型给予文本模态高权重，证明了本文提出的“知识增强”策略成功地将非结构化的药理知识转化为了可被模型利用的特征，弥补了纯结构视角的盲区。</w:t>
      </w:r>
    </w:p>
    <w:p w14:paraId="2E799103">
      <w:pPr>
        <w:bidi w:val="0"/>
        <w:rPr>
          <w:rFonts w:hint="eastAsia"/>
          <w:lang w:val="en-US" w:eastAsia="zh-CN"/>
        </w:rPr>
      </w:pPr>
      <w:r>
        <w:rPr>
          <w:rFonts w:hint="eastAsia"/>
          <w:lang w:val="en-US" w:eastAsia="zh-CN"/>
        </w:rPr>
        <w:t>最后权重图体现了序列模态的稳健补充作用，SMILES 模态在所有 9 个任务中的权重分布呈现出高度的稳定性，维持在 0.18 - 0.24 的区间内。作为分子的线性化表征，SMILES 虽然在某些特定任务上不如 Graph 直观或 Text 深刻，但它提供了一种独特的序列视角，能够捕获图网络可能遗漏的长程依赖信息。这种“平稳输出”的特性使其成为了多模态融合中的“稳定器”，确保模型在任何任务中都不会因单一模态的缺失或噪声而失效。</w:t>
      </w:r>
    </w:p>
    <w:p w14:paraId="0C38684A">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default"/>
          <w:lang w:val="en-US" w:eastAsia="zh-CN"/>
        </w:rPr>
      </w:pPr>
      <w:r>
        <w:rPr>
          <w:rFonts w:hint="default"/>
          <w:lang w:val="en-US" w:eastAsia="zh-CN"/>
        </w:rPr>
        <w:drawing>
          <wp:inline distT="0" distB="0" distL="114300" distR="114300">
            <wp:extent cx="5264785" cy="2315210"/>
            <wp:effectExtent l="0" t="0" r="8255" b="1270"/>
            <wp:docPr id="3" name="图片 3" descr="attention_heatmap_f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attention_heatmap_final"/>
                    <pic:cNvPicPr>
                      <a:picLocks noChangeAspect="1"/>
                    </pic:cNvPicPr>
                  </pic:nvPicPr>
                  <pic:blipFill>
                    <a:blip r:embed="rId12"/>
                    <a:stretch>
                      <a:fillRect/>
                    </a:stretch>
                  </pic:blipFill>
                  <pic:spPr>
                    <a:xfrm>
                      <a:off x="0" y="0"/>
                      <a:ext cx="5264785" cy="2315210"/>
                    </a:xfrm>
                    <a:prstGeom prst="rect">
                      <a:avLst/>
                    </a:prstGeom>
                  </pic:spPr>
                </pic:pic>
              </a:graphicData>
            </a:graphic>
          </wp:inline>
        </w:drawing>
      </w:r>
    </w:p>
    <w:p w14:paraId="275EA6C3">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eastAsia"/>
          <w:b/>
          <w:bCs/>
          <w:color w:val="FF0000"/>
          <w:lang w:val="en-US" w:eastAsia="zh-CN"/>
        </w:rPr>
      </w:pPr>
      <w:r>
        <w:rPr>
          <w:rFonts w:hint="eastAsia"/>
          <w:b/>
          <w:bCs/>
          <w:color w:val="FF0000"/>
          <w:lang w:val="en-US" w:eastAsia="zh-CN"/>
        </w:rPr>
        <w:t>增加一个预训练和没有预训练的一个图</w:t>
      </w:r>
    </w:p>
    <w:p w14:paraId="0A4F2786">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default"/>
          <w:b/>
          <w:bCs/>
          <w:color w:val="FF0000"/>
          <w:lang w:val="en-US" w:eastAsia="zh-CN"/>
        </w:rPr>
      </w:pPr>
      <w:r>
        <w:rPr>
          <w:rFonts w:hint="default"/>
          <w:b/>
          <w:bCs/>
          <w:color w:val="FF0000"/>
          <w:lang w:val="en-US" w:eastAsia="zh-CN"/>
        </w:rPr>
        <w:drawing>
          <wp:inline distT="0" distB="0" distL="114300" distR="114300">
            <wp:extent cx="2047240" cy="1638300"/>
            <wp:effectExtent l="0" t="0" r="10160" b="7620"/>
            <wp:docPr id="14" name="图片 14" descr="bbbp_real_spa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descr="bbbp_real_space"/>
                    <pic:cNvPicPr>
                      <a:picLocks noChangeAspect="1"/>
                    </pic:cNvPicPr>
                  </pic:nvPicPr>
                  <pic:blipFill>
                    <a:blip r:embed="rId13"/>
                    <a:stretch>
                      <a:fillRect/>
                    </a:stretch>
                  </pic:blipFill>
                  <pic:spPr>
                    <a:xfrm>
                      <a:off x="0" y="0"/>
                      <a:ext cx="2047240" cy="1638300"/>
                    </a:xfrm>
                    <a:prstGeom prst="rect">
                      <a:avLst/>
                    </a:prstGeom>
                  </pic:spPr>
                </pic:pic>
              </a:graphicData>
            </a:graphic>
          </wp:inline>
        </w:drawing>
      </w:r>
    </w:p>
    <w:p w14:paraId="2C8E9145">
      <w:pPr>
        <w:pStyle w:val="4"/>
        <w:bidi w:val="0"/>
        <w:rPr>
          <w:rFonts w:hint="default"/>
          <w:lang w:val="en-US" w:eastAsia="zh-CN"/>
        </w:rPr>
      </w:pPr>
      <w:r>
        <w:rPr>
          <w:rFonts w:hint="eastAsia"/>
          <w:lang w:val="en-US" w:eastAsia="zh-CN"/>
        </w:rPr>
        <w:t>参数敏感实验</w:t>
      </w:r>
    </w:p>
    <w:p w14:paraId="30332FF4">
      <w:pPr>
        <w:rPr>
          <w:rFonts w:hint="default"/>
          <w:lang w:val="en-US" w:eastAsia="zh-CN"/>
        </w:rPr>
      </w:pPr>
      <w:r>
        <w:rPr>
          <w:rFonts w:hint="default"/>
          <w:lang w:val="en-US" w:eastAsia="zh-CN"/>
        </w:rPr>
        <w:t xml:space="preserve">为了验证模型在不同超参数设置下的鲁棒性，并探究核心超参数对对比学习性能的影响规律，本节选取了对比损失函数中的温度系数 </w:t>
      </w:r>
      <m:oMath>
        <m:r>
          <m:rPr/>
          <w:rPr>
            <w:rFonts w:hint="default" w:ascii="Cambria Math"/>
          </w:rPr>
          <m:t>τ</m:t>
        </m:r>
      </m:oMath>
      <w:r>
        <w:rPr>
          <w:rFonts w:hint="default"/>
          <w:lang w:val="en-US" w:eastAsia="zh-CN"/>
        </w:rPr>
        <w:t xml:space="preserve"> (Temperature Coefficient) 进行敏感性实验。实验在 ClinTox 和 BBBP 两个代表性数据集上进行，其他训练参数保持不变。1. 温度系数 $\tau$ 的影响分析温度系数 </w:t>
      </w:r>
      <m:oMath>
        <m:r>
          <m:rPr/>
          <w:rPr>
            <w:rFonts w:hint="default" w:ascii="Cambria Math"/>
          </w:rPr>
          <m:t>τ</m:t>
        </m:r>
      </m:oMath>
      <w:r>
        <w:rPr>
          <w:rFonts w:hint="default"/>
          <w:lang w:val="en-US" w:eastAsia="zh-CN"/>
        </w:rPr>
        <w:t xml:space="preserve"> 在 NT-Xent 损失函数中起着调节负样本梯度的关键作用。图 3-X 展示了模型性能随 </w:t>
      </w:r>
      <m:oMath>
        <m:r>
          <m:rPr/>
          <w:rPr>
            <w:rFonts w:hint="default" w:ascii="Cambria Math"/>
          </w:rPr>
          <m:t>τ</m:t>
        </m:r>
      </m:oMath>
      <w:r>
        <w:rPr>
          <w:rFonts w:hint="default"/>
          <w:lang w:val="en-US" w:eastAsia="zh-CN"/>
        </w:rPr>
        <w:t>值（取值范围</w:t>
      </w:r>
      <m:oMath>
        <m:r>
          <m:rPr/>
          <w:rPr>
            <w:rFonts w:hint="default" w:ascii="Cambria Math"/>
          </w:rPr>
          <m:t>{0.05,0.1,0.2,0.5,1.0}</m:t>
        </m:r>
      </m:oMath>
      <w:r>
        <w:rPr>
          <w:rFonts w:hint="default"/>
          <w:lang w:val="en-US" w:eastAsia="zh-CN"/>
        </w:rPr>
        <w:t xml:space="preserve">）的变化曲线。从图中可以观察到明显的“倒 U 型”趋势，具体分析如下：过小的 </w:t>
      </w:r>
      <m:oMath>
        <m:r>
          <m:rPr/>
          <w:rPr>
            <w:rFonts w:hint="default" w:ascii="Cambria Math"/>
          </w:rPr>
          <m:t>τ</m:t>
        </m:r>
      </m:oMath>
      <w:r>
        <w:rPr>
          <w:rFonts w:hint="default"/>
          <w:lang w:val="en-US" w:eastAsia="zh-CN"/>
        </w:rPr>
        <w:t xml:space="preserve"> (0.05)：当温度系数过小时，Softmax 分布变得极度尖锐，模型过度关注少量极其困难的负样本（Hard Negatives）。这虽然能提供强梯度的监督信号，但容易引入潜在的假阴性样本噪声，导致优化过程不稳定，模型性能出现显著下降（ClinTox AUROC 降至 0.89 左右）。过大的 </w:t>
      </w:r>
      <m:oMath>
        <m:r>
          <m:rPr/>
          <w:rPr>
            <w:rFonts w:hint="default" w:ascii="Cambria Math"/>
          </w:rPr>
          <m:t>τ</m:t>
        </m:r>
      </m:oMath>
      <w:r>
        <w:rPr>
          <w:rFonts w:hint="default"/>
          <w:lang w:val="en-US" w:eastAsia="zh-CN"/>
        </w:rPr>
        <w:t xml:space="preserve"> (0.5 - 1.0)：随着温度系数增大，分布趋于平滑，模型对不同负样本的区分能力减弱。当 </w:t>
      </w:r>
      <m:oMath>
        <m:r>
          <m:rPr/>
          <w:rPr>
            <w:rFonts w:hint="default" w:ascii="Cambria Math"/>
          </w:rPr>
          <m:t>τ=1.0</m:t>
        </m:r>
      </m:oMath>
      <w:r>
        <w:rPr>
          <w:rFonts w:hint="default"/>
          <w:lang w:val="en-US" w:eastAsia="zh-CN"/>
        </w:rPr>
        <w:t xml:space="preserve"> 时，模型实际上是在同等程度地惩罚所有非匹配样本，失去了挖掘难样本的能力，导致特征空间的判别性降低，性能随之衰减。最优区间 (0.1 - 0.2)：实验结果表明，当 </w:t>
      </w:r>
      <m:oMath>
        <m:r>
          <m:rPr/>
          <w:rPr>
            <w:rFonts w:hint="default" w:ascii="Cambria Math"/>
          </w:rPr>
          <m:t>τ</m:t>
        </m:r>
      </m:oMath>
      <w:r>
        <w:rPr>
          <w:rFonts w:hint="default"/>
          <w:lang w:val="en-US" w:eastAsia="zh-CN"/>
        </w:rPr>
        <w:t xml:space="preserve">设定在 0.1 至 0.2 之间时，模型取得了最佳的预测性能。在此区间内，模型在挖掘难样本与保持训练稳定性之间达到了平衡，能够学习到既具有区分度又具备泛化能力的分子表征。因此，本研究在所有后续实验中均将 </w:t>
      </w:r>
      <m:oMath>
        <m:r>
          <m:rPr/>
          <w:rPr>
            <w:rFonts w:hint="default" w:ascii="Cambria Math"/>
          </w:rPr>
          <m:t>τ</m:t>
        </m:r>
      </m:oMath>
      <w:r>
        <w:rPr>
          <w:rFonts w:hint="default"/>
          <w:lang w:val="en-US" w:eastAsia="zh-CN"/>
        </w:rPr>
        <w:t xml:space="preserve"> 默认设置为 0.1。</w:t>
      </w:r>
    </w:p>
    <w:p w14:paraId="20BC0539">
      <w:pPr>
        <w:rPr>
          <w:rFonts w:hint="default"/>
          <w:lang w:val="en-US" w:eastAsia="zh-CN"/>
        </w:rPr>
      </w:pPr>
      <w:r>
        <w:drawing>
          <wp:inline distT="0" distB="0" distL="114300" distR="114300">
            <wp:extent cx="5269865" cy="3895725"/>
            <wp:effectExtent l="0" t="0" r="3175" b="5715"/>
            <wp:docPr id="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1"/>
                    <pic:cNvPicPr>
                      <a:picLocks noChangeAspect="1"/>
                    </pic:cNvPicPr>
                  </pic:nvPicPr>
                  <pic:blipFill>
                    <a:blip r:embed="rId14"/>
                    <a:stretch>
                      <a:fillRect/>
                    </a:stretch>
                  </pic:blipFill>
                  <pic:spPr>
                    <a:xfrm>
                      <a:off x="0" y="0"/>
                      <a:ext cx="5269865" cy="3895725"/>
                    </a:xfrm>
                    <a:prstGeom prst="rect">
                      <a:avLst/>
                    </a:prstGeom>
                    <a:noFill/>
                    <a:ln>
                      <a:noFill/>
                    </a:ln>
                  </pic:spPr>
                </pic:pic>
              </a:graphicData>
            </a:graphic>
          </wp:inline>
        </w:drawing>
      </w:r>
    </w:p>
    <w:p w14:paraId="6CE8FE9F">
      <w:pPr>
        <w:pStyle w:val="3"/>
        <w:bidi w:val="0"/>
        <w:rPr>
          <w:rFonts w:hint="default"/>
          <w:lang w:val="en-US" w:eastAsia="zh-CN"/>
        </w:rPr>
      </w:pPr>
      <w:r>
        <w:rPr>
          <w:rFonts w:hint="eastAsia"/>
          <w:lang w:val="en-US" w:eastAsia="zh-CN"/>
        </w:rPr>
        <w:t>本章小结</w:t>
      </w:r>
    </w:p>
    <w:p w14:paraId="2AF39311">
      <w:pPr>
        <w:rPr>
          <w:rFonts w:hint="default"/>
          <w:lang w:val="en-US" w:eastAsia="zh-CN"/>
        </w:rPr>
      </w:pPr>
      <w:r>
        <w:rPr>
          <w:rFonts w:hint="default"/>
          <w:lang w:val="en-US" w:eastAsia="zh-CN"/>
        </w:rPr>
        <w:t>本章系统阐述了一种基于图对齐与知识增强的多模态分子性质预测框架。针对现有方法在异构数据融合及语义鸿沟跨越方面的局限性，本章首先构建了包含图、序列、指纹及文本的四维模态表征体系。特别是在文本模态处理上，创新性地设计了“知识重写流水线”，利用大语言模型将非结构化的药理描述与定量的理化性质有机融合，为模型注入了高密度的专家先验知识。在模型训练层面，提出了以分子图为核心的对比学习预训练策略，并引入基于同方差不确定性的动态加权机制，有效解决了多任务场景下的模态噪声干扰与梯度冲突问题。</w:t>
      </w:r>
    </w:p>
    <w:p w14:paraId="61CD5E04">
      <w:pPr>
        <w:rPr>
          <w:rFonts w:hint="default"/>
          <w:lang w:val="en-US" w:eastAsia="zh-CN"/>
        </w:rPr>
      </w:pPr>
      <w:r>
        <w:rPr>
          <w:rFonts w:hint="default"/>
          <w:lang w:val="en-US" w:eastAsia="zh-CN"/>
        </w:rPr>
        <w:t>为了全面验证所提方法的有效性，本章在 MoleculeNet 的 9 个基准数据集上开展了多维度的实证研究。对比实验结果表明，该模型在 BACE、ClinTox 等分类任务及 FreeSolv 等回归任务上均取得了优于当前主流基准（如 CMPNN、MoleculeSTM）的预测性能。随后的消融实验定量解析了各输入模态的边际贡献，证实了交叉注意力机制在特征融合阶段优于简单拼接策略。</w:t>
      </w:r>
      <w:r>
        <w:rPr>
          <w:rFonts w:hint="default"/>
          <w:color w:val="E54C5E" w:themeColor="accent6"/>
          <w:lang w:val="en-US" w:eastAsia="zh-CN"/>
          <w14:textFill>
            <w14:solidFill>
              <w14:schemeClr w14:val="accent6"/>
            </w14:solidFill>
          </w14:textFill>
        </w:rPr>
        <w:t>此外，通过多模态注意力热图与 t-SNE 特征空间可视化分析，直观揭示了模型在面对物理化学性质与生物药理活性任务时展现出的任务驱动型模态偏好，以及将混沌特征空间重构为线性可分簇的能力</w:t>
      </w:r>
      <w:r>
        <w:rPr>
          <w:rFonts w:hint="default"/>
          <w:lang w:val="en-US" w:eastAsia="zh-CN"/>
        </w:rPr>
        <w:t>。最后，参数敏感性分析验证了模型核心超参数的鲁棒性。</w:t>
      </w:r>
    </w:p>
    <w:p w14:paraId="22A99C8D">
      <w:pPr>
        <w:rPr>
          <w:rFonts w:hint="default"/>
          <w:lang w:val="en-US" w:eastAsia="zh-CN"/>
        </w:rPr>
      </w:pPr>
    </w:p>
    <w:p w14:paraId="20C91683">
      <w:pPr>
        <w:rPr>
          <w:rFonts w:hint="default"/>
          <w:lang w:val="en-US" w:eastAsia="zh-CN"/>
        </w:rPr>
      </w:pPr>
      <w:r>
        <w:rPr>
          <w:rFonts w:hint="default"/>
          <w:lang w:val="en-US" w:eastAsia="zh-CN"/>
        </w:rPr>
        <w:t>综上所述，本章提出的方法不仅在预测精度上刷新了多项记录，更在模型的可解释性与泛化能力上取得了显著突破，为后续的药物分子筛选与优化提供了可靠的计算工具。</w:t>
      </w:r>
    </w:p>
    <w:p w14:paraId="0DF19E9A">
      <w:pPr>
        <w:rPr>
          <w:rFonts w:hint="default"/>
          <w:lang w:val="en-US" w:eastAsia="zh-CN"/>
        </w:rPr>
      </w:pPr>
    </w:p>
    <w:p w14:paraId="56729DB7">
      <w:pPr>
        <w:rPr>
          <w:rFonts w:hint="default"/>
          <w:lang w:val="en-US" w:eastAsia="zh-CN"/>
        </w:rPr>
      </w:pPr>
    </w:p>
    <w:p w14:paraId="1D5CBAC7">
      <w:pPr>
        <w:rPr>
          <w:rFonts w:hint="default"/>
          <w:lang w:val="en-US" w:eastAsia="zh-CN"/>
        </w:rPr>
      </w:pPr>
    </w:p>
    <w:p w14:paraId="651EDBC0">
      <w:pPr>
        <w:pageBreakBefore w:val="0"/>
        <w:kinsoku/>
        <w:wordWrap/>
        <w:overflowPunct/>
        <w:topLinePunct w:val="0"/>
        <w:autoSpaceDE/>
        <w:autoSpaceDN/>
        <w:bidi w:val="0"/>
        <w:adjustRightInd/>
        <w:spacing w:beforeAutospacing="0" w:afterAutospacing="0" w:line="360" w:lineRule="auto"/>
        <w:textAlignment w:val="auto"/>
        <w:rPr>
          <w:rFonts w:hint="default"/>
          <w:lang w:val="en-US" w:eastAsia="zh-CN"/>
        </w:rPr>
      </w:pPr>
    </w:p>
    <w:sectPr>
      <w:pgSz w:w="11906" w:h="16838"/>
      <w:pgMar w:top="1440" w:right="1800" w:bottom="1440" w:left="1800" w:header="851" w:footer="992" w:gutter="0"/>
      <w:pgBorders>
        <w:top w:val="none" w:sz="0" w:space="0"/>
        <w:left w:val="none" w:sz="0" w:space="0"/>
        <w:bottom w:val="none" w:sz="0" w:space="0"/>
        <w:right w:val="none" w:sz="0" w:space="0"/>
      </w:pgBorders>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420"/>
      </w:pPr>
      <w:r>
        <w:separator/>
      </w:r>
    </w:p>
  </w:endnote>
  <w:endnote w:type="continuationSeparator" w:id="1">
    <w:p>
      <w:pPr>
        <w:spacing w:line="240" w:lineRule="auto"/>
        <w:ind w:firstLine="42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CC"/>
    <w:family w:val="roman"/>
    <w:pitch w:val="default"/>
    <w:sig w:usb0="E0002EFF" w:usb1="C000785B" w:usb2="00000009" w:usb3="00000000" w:csb0="400001FF" w:csb1="FFFF0000"/>
  </w:font>
  <w:font w:name="宋体">
    <w:panose1 w:val="02010600030101010101"/>
    <w:charset w:val="7A"/>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Math">
    <w:panose1 w:val="02040503050406030204"/>
    <w:charset w:val="00"/>
    <w:family w:val="auto"/>
    <w:pitch w:val="default"/>
    <w:sig w:usb0="E00006FF" w:usb1="420024FF" w:usb2="02000000" w:usb3="00000000" w:csb0="2000019F" w:csb1="00000000"/>
  </w:font>
  <w:font w:name="sans-serif">
    <w:altName w:val="Euphorigenic"/>
    <w:panose1 w:val="00000000000000000000"/>
    <w:charset w:val="00"/>
    <w:family w:val="auto"/>
    <w:pitch w:val="default"/>
    <w:sig w:usb0="00000000" w:usb1="00000000" w:usb2="00000000" w:usb3="00000000" w:csb0="00000000" w:csb1="00000000"/>
  </w:font>
  <w:font w:name="Euphorigenic">
    <w:panose1 w:val="02000400000000000000"/>
    <w:charset w:val="00"/>
    <w:family w:val="auto"/>
    <w:pitch w:val="default"/>
    <w:sig w:usb0="80000027" w:usb1="0000000A" w:usb2="00000000" w:usb3="00000000" w:csb0="00000001" w:csb1="00000000"/>
  </w:font>
  <w:font w:name="MS Mincho">
    <w:altName w:val="Euphorigenic"/>
    <w:panose1 w:val="00000000000000000000"/>
    <w:charset w:val="00"/>
    <w:family w:val="auto"/>
    <w:pitch w:val="default"/>
    <w:sig w:usb0="00000000" w:usb1="00000000" w:usb2="00000000" w:usb3="00000000" w:csb0="00000000"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 w:name="Calibri Light">
    <w:panose1 w:val="020F0302020204030204"/>
    <w:charset w:val="00"/>
    <w:family w:val="auto"/>
    <w:pitch w:val="default"/>
    <w:sig w:usb0="E4002EFF" w:usb1="C200247B" w:usb2="00000009" w:usb3="00000000" w:csb0="2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ind w:firstLine="420"/>
      </w:pPr>
      <w:r>
        <w:separator/>
      </w:r>
    </w:p>
  </w:footnote>
  <w:footnote w:type="continuationSeparator" w:id="1">
    <w:p>
      <w:pPr>
        <w:spacing w:line="360" w:lineRule="auto"/>
        <w:ind w:firstLine="420"/>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6FB3329"/>
    <w:multiLevelType w:val="singleLevel"/>
    <w:tmpl w:val="86FB3329"/>
    <w:lvl w:ilvl="0" w:tentative="0">
      <w:start w:val="1"/>
      <w:numFmt w:val="decimal"/>
      <w:lvlText w:val="%1."/>
      <w:lvlJc w:val="left"/>
      <w:pPr>
        <w:tabs>
          <w:tab w:val="left" w:pos="312"/>
        </w:tabs>
      </w:pPr>
    </w:lvl>
  </w:abstractNum>
  <w:abstractNum w:abstractNumId="1">
    <w:nsid w:val="CF82725A"/>
    <w:multiLevelType w:val="multilevel"/>
    <w:tmpl w:val="CF82725A"/>
    <w:lvl w:ilvl="0" w:tentative="0">
      <w:start w:val="1"/>
      <w:numFmt w:val="decimal"/>
      <w:suff w:val="nothing"/>
      <w:lvlText w:val="%1、"/>
      <w:lvlJc w:val="right"/>
      <w:pPr>
        <w:tabs>
          <w:tab w:val="left" w:pos="0"/>
        </w:tabs>
        <w:ind w:left="432" w:hanging="432"/>
      </w:pPr>
      <w:rPr>
        <w:rFonts w:hint="default" w:ascii="黑体" w:hAnsi="黑体" w:eastAsia="黑体" w:cs="黑体"/>
        <w:sz w:val="28"/>
        <w:szCs w:val="28"/>
      </w:rPr>
    </w:lvl>
    <w:lvl w:ilvl="1" w:tentative="0">
      <w:start w:val="1"/>
      <w:numFmt w:val="decimal"/>
      <w:isLgl/>
      <w:suff w:val="nothing"/>
      <w:lvlText w:val="%1.%2、"/>
      <w:lvlJc w:val="left"/>
      <w:pPr>
        <w:tabs>
          <w:tab w:val="left" w:pos="0"/>
        </w:tabs>
        <w:ind w:left="420" w:leftChars="0" w:hanging="420" w:firstLineChars="0"/>
      </w:pPr>
      <w:rPr>
        <w:rFonts w:hint="default" w:ascii="黑体" w:hAnsi="黑体" w:eastAsia="黑体" w:cs="黑体"/>
        <w:sz w:val="24"/>
        <w:szCs w:val="24"/>
      </w:rPr>
    </w:lvl>
    <w:lvl w:ilvl="2" w:tentative="0">
      <w:start w:val="1"/>
      <w:numFmt w:val="decimal"/>
      <w:isLgl/>
      <w:lvlText w:val="%1.%2.%3 "/>
      <w:lvlJc w:val="left"/>
      <w:pPr>
        <w:tabs>
          <w:tab w:val="left" w:pos="0"/>
        </w:tabs>
        <w:ind w:left="720" w:hanging="720"/>
      </w:pPr>
      <w:rPr>
        <w:rFonts w:hint="eastAsia" w:ascii="宋体" w:hAnsi="宋体" w:eastAsia="宋体" w:cs="宋体"/>
      </w:rPr>
    </w:lvl>
    <w:lvl w:ilvl="3" w:tentative="0">
      <w:start w:val="1"/>
      <w:numFmt w:val="decimal"/>
      <w:isLgl/>
      <w:lvlText w:val="%1.%2.%3.%4."/>
      <w:lvlJc w:val="left"/>
      <w:pPr>
        <w:ind w:left="864" w:hanging="864"/>
      </w:pPr>
      <w:rPr>
        <w:rFonts w:hint="eastAsia"/>
      </w:rPr>
    </w:lvl>
    <w:lvl w:ilvl="4" w:tentative="0">
      <w:start w:val="1"/>
      <w:numFmt w:val="decimal"/>
      <w:pStyle w:val="6"/>
      <w:isLgl/>
      <w:lvlText w:val="%1.%2.%3.%4.%5."/>
      <w:lvlJc w:val="left"/>
      <w:pPr>
        <w:ind w:left="1008" w:hanging="1008"/>
      </w:pPr>
      <w:rPr>
        <w:rFonts w:hint="eastAsia"/>
      </w:rPr>
    </w:lvl>
    <w:lvl w:ilvl="5" w:tentative="0">
      <w:start w:val="1"/>
      <w:numFmt w:val="decimal"/>
      <w:pStyle w:val="7"/>
      <w:isLgl/>
      <w:lvlText w:val="%1.%2.%3.%4.%5.%6."/>
      <w:lvlJc w:val="left"/>
      <w:pPr>
        <w:ind w:left="1151" w:hanging="1151"/>
      </w:pPr>
      <w:rPr>
        <w:rFonts w:hint="eastAsia"/>
      </w:rPr>
    </w:lvl>
    <w:lvl w:ilvl="6" w:tentative="0">
      <w:start w:val="1"/>
      <w:numFmt w:val="decimal"/>
      <w:pStyle w:val="8"/>
      <w:isLgl/>
      <w:lvlText w:val="%1.%2.%3.%4.%5.%6.%7."/>
      <w:lvlJc w:val="left"/>
      <w:pPr>
        <w:ind w:left="1296" w:hanging="1296"/>
      </w:pPr>
      <w:rPr>
        <w:rFonts w:hint="eastAsia"/>
      </w:rPr>
    </w:lvl>
    <w:lvl w:ilvl="7" w:tentative="0">
      <w:start w:val="1"/>
      <w:numFmt w:val="decimal"/>
      <w:pStyle w:val="9"/>
      <w:isLgl/>
      <w:lvlText w:val="%1.%2.%3.%4.%5.%6.%7.%8."/>
      <w:lvlJc w:val="left"/>
      <w:pPr>
        <w:ind w:left="1440" w:hanging="1440"/>
      </w:pPr>
      <w:rPr>
        <w:rFonts w:hint="eastAsia"/>
      </w:rPr>
    </w:lvl>
    <w:lvl w:ilvl="8" w:tentative="0">
      <w:start w:val="1"/>
      <w:numFmt w:val="decimal"/>
      <w:pStyle w:val="10"/>
      <w:isLgl/>
      <w:lvlText w:val="%1.%2.%3.%4.%5.%6.%7.%8.%9."/>
      <w:lvlJc w:val="left"/>
      <w:pPr>
        <w:ind w:left="1583" w:hanging="1583"/>
      </w:pPr>
      <w:rPr>
        <w:rFonts w:hint="eastAsia"/>
      </w:rPr>
    </w:lvl>
  </w:abstractNum>
  <w:abstractNum w:abstractNumId="2">
    <w:nsid w:val="1BCBA1BC"/>
    <w:multiLevelType w:val="singleLevel"/>
    <w:tmpl w:val="1BCBA1BC"/>
    <w:lvl w:ilvl="0" w:tentative="0">
      <w:start w:val="1"/>
      <w:numFmt w:val="decimal"/>
      <w:suff w:val="space"/>
      <w:lvlText w:val="%1."/>
      <w:lvlJc w:val="left"/>
    </w:lvl>
  </w:abstractNum>
  <w:abstractNum w:abstractNumId="3">
    <w:nsid w:val="3139FD21"/>
    <w:multiLevelType w:val="multilevel"/>
    <w:tmpl w:val="3139FD21"/>
    <w:lvl w:ilvl="0" w:tentative="0">
      <w:start w:val="1"/>
      <w:numFmt w:val="decimal"/>
      <w:pStyle w:val="26"/>
      <w:suff w:val="space"/>
      <w:lvlText w:val="%1、"/>
      <w:lvlJc w:val="left"/>
      <w:pPr>
        <w:tabs>
          <w:tab w:val="left" w:pos="420"/>
        </w:tabs>
        <w:ind w:left="0" w:firstLine="0"/>
      </w:pPr>
      <w:rPr>
        <w:rFonts w:hint="default"/>
      </w:rPr>
    </w:lvl>
    <w:lvl w:ilvl="1" w:tentative="0">
      <w:start w:val="1"/>
      <w:numFmt w:val="decimal"/>
      <w:pStyle w:val="24"/>
      <w:isLgl/>
      <w:suff w:val="space"/>
      <w:lvlText w:val="%2.1"/>
      <w:lvlJc w:val="left"/>
      <w:pPr>
        <w:tabs>
          <w:tab w:val="left" w:pos="0"/>
        </w:tabs>
        <w:ind w:left="851" w:firstLine="0"/>
      </w:pPr>
      <w:rPr>
        <w:rFonts w:hint="default"/>
      </w:rPr>
    </w:lvl>
    <w:lvl w:ilvl="2" w:tentative="0">
      <w:start w:val="1"/>
      <w:numFmt w:val="decimal"/>
      <w:pStyle w:val="27"/>
      <w:isLgl/>
      <w:lvlText w:val="%2.%3.1"/>
      <w:lvlJc w:val="left"/>
      <w:pPr>
        <w:tabs>
          <w:tab w:val="left" w:pos="420"/>
        </w:tabs>
        <w:ind w:left="0" w:firstLine="0"/>
      </w:pPr>
      <w:rPr>
        <w:rFonts w:hint="eastAsia"/>
      </w:rPr>
    </w:lvl>
    <w:lvl w:ilvl="3" w:tentative="0">
      <w:start w:val="1"/>
      <w:numFmt w:val="decimal"/>
      <w:pStyle w:val="28"/>
      <w:lvlText w:val="1.%2.%3.%4"/>
      <w:lvlJc w:val="left"/>
      <w:pPr>
        <w:ind w:left="0" w:firstLine="0"/>
      </w:pPr>
      <w:rPr>
        <w:rFonts w:hint="eastAsia"/>
      </w:rPr>
    </w:lvl>
    <w:lvl w:ilvl="4" w:tentative="0">
      <w:start w:val="1"/>
      <w:numFmt w:val="decimal"/>
      <w:lvlText w:val="%1.%2.%3.%4.%5"/>
      <w:lvlJc w:val="left"/>
      <w:pPr>
        <w:ind w:left="0" w:firstLine="0"/>
      </w:pPr>
      <w:rPr>
        <w:rFonts w:hint="eastAsia"/>
      </w:rPr>
    </w:lvl>
    <w:lvl w:ilvl="5" w:tentative="0">
      <w:start w:val="1"/>
      <w:numFmt w:val="decimal"/>
      <w:lvlText w:val="%1.%2.%3.%4.%5.%6"/>
      <w:lvlJc w:val="left"/>
      <w:pPr>
        <w:ind w:left="0" w:firstLine="0"/>
      </w:pPr>
      <w:rPr>
        <w:rFonts w:hint="eastAsia"/>
      </w:rPr>
    </w:lvl>
    <w:lvl w:ilvl="6" w:tentative="0">
      <w:start w:val="1"/>
      <w:numFmt w:val="decimal"/>
      <w:lvlText w:val="%1.%2.%3.%4.%5.%6.%7"/>
      <w:lvlJc w:val="left"/>
      <w:pPr>
        <w:ind w:left="0" w:firstLine="0"/>
      </w:pPr>
      <w:rPr>
        <w:rFonts w:hint="eastAsia"/>
      </w:rPr>
    </w:lvl>
    <w:lvl w:ilvl="7" w:tentative="0">
      <w:start w:val="1"/>
      <w:numFmt w:val="decimal"/>
      <w:lvlText w:val="%1.%2.%3.%4.%5.%6.%7.%8"/>
      <w:lvlJc w:val="left"/>
      <w:pPr>
        <w:ind w:left="0" w:firstLine="0"/>
      </w:pPr>
      <w:rPr>
        <w:rFonts w:hint="eastAsia"/>
      </w:rPr>
    </w:lvl>
    <w:lvl w:ilvl="8" w:tentative="0">
      <w:start w:val="1"/>
      <w:numFmt w:val="decimal"/>
      <w:lvlText w:val="%1.%2.%3.%4.%5.%6.%7.%8.%9"/>
      <w:lvlJc w:val="left"/>
      <w:pPr>
        <w:ind w:left="0" w:firstLine="0"/>
      </w:pPr>
      <w:rPr>
        <w:rFonts w:hint="eastAsia"/>
      </w:rPr>
    </w:lvl>
  </w:abstractNum>
  <w:abstractNum w:abstractNumId="4">
    <w:nsid w:val="7E5371A9"/>
    <w:multiLevelType w:val="multilevel"/>
    <w:tmpl w:val="7E5371A9"/>
    <w:lvl w:ilvl="0" w:tentative="0">
      <w:start w:val="1"/>
      <w:numFmt w:val="decimal"/>
      <w:pStyle w:val="2"/>
      <w:isLgl/>
      <w:suff w:val="space"/>
      <w:lvlText w:val="%1"/>
      <w:lvlJc w:val="left"/>
      <w:pPr>
        <w:tabs>
          <w:tab w:val="left" w:pos="420"/>
        </w:tabs>
        <w:ind w:left="0" w:leftChars="0" w:firstLine="0" w:firstLineChars="0"/>
      </w:pPr>
      <w:rPr>
        <w:rFonts w:hint="default"/>
      </w:rPr>
    </w:lvl>
    <w:lvl w:ilvl="1" w:tentative="0">
      <w:start w:val="1"/>
      <w:numFmt w:val="decimal"/>
      <w:pStyle w:val="3"/>
      <w:isLgl/>
      <w:suff w:val="space"/>
      <w:lvlText w:val="%1.%2"/>
      <w:lvlJc w:val="left"/>
      <w:pPr>
        <w:tabs>
          <w:tab w:val="left" w:pos="420"/>
        </w:tabs>
        <w:ind w:left="0" w:leftChars="0" w:firstLine="0" w:firstLineChars="0"/>
      </w:pPr>
      <w:rPr>
        <w:rFonts w:hint="default"/>
      </w:rPr>
    </w:lvl>
    <w:lvl w:ilvl="2" w:tentative="0">
      <w:start w:val="1"/>
      <w:numFmt w:val="decimal"/>
      <w:pStyle w:val="4"/>
      <w:isLgl/>
      <w:suff w:val="space"/>
      <w:lvlText w:val="%1.%2.%3"/>
      <w:lvlJc w:val="left"/>
      <w:pPr>
        <w:tabs>
          <w:tab w:val="left" w:pos="0"/>
        </w:tabs>
        <w:ind w:left="0" w:leftChars="0" w:firstLine="0" w:firstLineChars="0"/>
      </w:pPr>
      <w:rPr>
        <w:rFonts w:hint="default"/>
      </w:rPr>
    </w:lvl>
    <w:lvl w:ilvl="3" w:tentative="0">
      <w:start w:val="1"/>
      <w:numFmt w:val="decimal"/>
      <w:pStyle w:val="5"/>
      <w:isLgl/>
      <w:lvlText w:val="%1.%2.%3.%4"/>
      <w:lvlJc w:val="left"/>
      <w:pPr>
        <w:tabs>
          <w:tab w:val="left" w:pos="0"/>
        </w:tabs>
        <w:ind w:left="0" w:leftChars="0" w:firstLine="0" w:firstLineChars="0"/>
      </w:pPr>
      <w:rPr>
        <w:rFonts w:hint="default"/>
      </w:rPr>
    </w:lvl>
    <w:lvl w:ilvl="4" w:tentative="0">
      <w:start w:val="1"/>
      <w:numFmt w:val="decimal"/>
      <w:lvlText w:val="%1.%2.%3.%4.%5."/>
      <w:lvlJc w:val="left"/>
      <w:pPr>
        <w:ind w:left="991" w:hanging="991"/>
      </w:pPr>
      <w:rPr>
        <w:rFonts w:hint="default"/>
      </w:rPr>
    </w:lvl>
    <w:lvl w:ilvl="5" w:tentative="0">
      <w:start w:val="1"/>
      <w:numFmt w:val="decimal"/>
      <w:lvlText w:val="%1.%2.%3.%4.%5.%6."/>
      <w:lvlJc w:val="left"/>
      <w:pPr>
        <w:ind w:left="1134" w:hanging="1134"/>
      </w:pPr>
      <w:rPr>
        <w:rFonts w:hint="default"/>
      </w:rPr>
    </w:lvl>
    <w:lvl w:ilvl="6" w:tentative="0">
      <w:start w:val="1"/>
      <w:numFmt w:val="decimal"/>
      <w:lvlText w:val="%1.%2.%3.%4.%5.%6.%7."/>
      <w:lvlJc w:val="left"/>
      <w:pPr>
        <w:ind w:left="1275" w:hanging="1275"/>
      </w:pPr>
      <w:rPr>
        <w:rFonts w:hint="default"/>
      </w:rPr>
    </w:lvl>
    <w:lvl w:ilvl="7" w:tentative="0">
      <w:start w:val="1"/>
      <w:numFmt w:val="decimal"/>
      <w:lvlText w:val="%1.%2.%3.%4.%5.%6.%7.%8."/>
      <w:lvlJc w:val="left"/>
      <w:pPr>
        <w:ind w:left="1418" w:hanging="1418"/>
      </w:pPr>
      <w:rPr>
        <w:rFonts w:hint="default"/>
      </w:rPr>
    </w:lvl>
    <w:lvl w:ilvl="8" w:tentative="0">
      <w:start w:val="1"/>
      <w:numFmt w:val="decimal"/>
      <w:lvlText w:val="%1.%2.%3.%4.%5.%6.%7.%8.%9."/>
      <w:lvlJc w:val="left"/>
      <w:pPr>
        <w:ind w:left="1558" w:hanging="1558"/>
      </w:pPr>
      <w:rPr>
        <w:rFonts w:hint="default"/>
      </w:rPr>
    </w:lvl>
  </w:abstractNum>
  <w:num w:numId="1">
    <w:abstractNumId w:val="4"/>
  </w:num>
  <w:num w:numId="2">
    <w:abstractNumId w:val="1"/>
  </w:num>
  <w:num w:numId="3">
    <w:abstractNumId w:val="3"/>
  </w:num>
  <w:num w:numId="4">
    <w:abstractNumId w:val="0"/>
  </w:num>
  <w:num w:numId="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01D5FB4"/>
    <w:rsid w:val="01150B21"/>
    <w:rsid w:val="018502B5"/>
    <w:rsid w:val="01DB1C83"/>
    <w:rsid w:val="01F64D0F"/>
    <w:rsid w:val="03AE3AF3"/>
    <w:rsid w:val="0433224A"/>
    <w:rsid w:val="05A849B2"/>
    <w:rsid w:val="064F49ED"/>
    <w:rsid w:val="06510766"/>
    <w:rsid w:val="06B62CBE"/>
    <w:rsid w:val="06E11AE9"/>
    <w:rsid w:val="071E0F8F"/>
    <w:rsid w:val="07677AD1"/>
    <w:rsid w:val="07754928"/>
    <w:rsid w:val="08155C5D"/>
    <w:rsid w:val="08805332"/>
    <w:rsid w:val="08CE2541"/>
    <w:rsid w:val="08EE4992"/>
    <w:rsid w:val="0935611C"/>
    <w:rsid w:val="093D1475"/>
    <w:rsid w:val="0958005D"/>
    <w:rsid w:val="0A0B19C3"/>
    <w:rsid w:val="0A4C7BC2"/>
    <w:rsid w:val="0ABF0394"/>
    <w:rsid w:val="0B04049C"/>
    <w:rsid w:val="0B6B22C9"/>
    <w:rsid w:val="0BD64449"/>
    <w:rsid w:val="0BFF569C"/>
    <w:rsid w:val="0C965756"/>
    <w:rsid w:val="0CDC2ACA"/>
    <w:rsid w:val="0D9773A6"/>
    <w:rsid w:val="0E6A3D66"/>
    <w:rsid w:val="0EC8358F"/>
    <w:rsid w:val="0ED168E7"/>
    <w:rsid w:val="0F503503"/>
    <w:rsid w:val="0F7C2CF7"/>
    <w:rsid w:val="0FC95811"/>
    <w:rsid w:val="10596B94"/>
    <w:rsid w:val="10D475A4"/>
    <w:rsid w:val="11380C28"/>
    <w:rsid w:val="118A0FD0"/>
    <w:rsid w:val="11BF6ECB"/>
    <w:rsid w:val="11CC3396"/>
    <w:rsid w:val="120548F1"/>
    <w:rsid w:val="1212349F"/>
    <w:rsid w:val="12CF0C0F"/>
    <w:rsid w:val="13313DF9"/>
    <w:rsid w:val="13741F37"/>
    <w:rsid w:val="13BE388E"/>
    <w:rsid w:val="144B713C"/>
    <w:rsid w:val="14667AD2"/>
    <w:rsid w:val="14681A9C"/>
    <w:rsid w:val="146944C2"/>
    <w:rsid w:val="14E37374"/>
    <w:rsid w:val="150C0679"/>
    <w:rsid w:val="15CF1017"/>
    <w:rsid w:val="1666772B"/>
    <w:rsid w:val="16721235"/>
    <w:rsid w:val="16EE3830"/>
    <w:rsid w:val="17887D5F"/>
    <w:rsid w:val="17F65611"/>
    <w:rsid w:val="191915B7"/>
    <w:rsid w:val="19197809"/>
    <w:rsid w:val="1A9B7C43"/>
    <w:rsid w:val="1B593EEC"/>
    <w:rsid w:val="1BCA6B98"/>
    <w:rsid w:val="1BDB2F6A"/>
    <w:rsid w:val="1C884062"/>
    <w:rsid w:val="1D37025D"/>
    <w:rsid w:val="1D8B05A9"/>
    <w:rsid w:val="1F3F2EA1"/>
    <w:rsid w:val="1F5E18DF"/>
    <w:rsid w:val="1F7F074A"/>
    <w:rsid w:val="1FCF02AE"/>
    <w:rsid w:val="1FE673DA"/>
    <w:rsid w:val="202645B9"/>
    <w:rsid w:val="20DB53A4"/>
    <w:rsid w:val="20F01385"/>
    <w:rsid w:val="21423675"/>
    <w:rsid w:val="214E0CB3"/>
    <w:rsid w:val="220925C6"/>
    <w:rsid w:val="220A5F40"/>
    <w:rsid w:val="222A07C5"/>
    <w:rsid w:val="22F9340A"/>
    <w:rsid w:val="23E876FD"/>
    <w:rsid w:val="23F97868"/>
    <w:rsid w:val="25641E0C"/>
    <w:rsid w:val="257A162F"/>
    <w:rsid w:val="25853B30"/>
    <w:rsid w:val="259D70CC"/>
    <w:rsid w:val="260E3B25"/>
    <w:rsid w:val="264D3A61"/>
    <w:rsid w:val="26C2328E"/>
    <w:rsid w:val="26FB67A0"/>
    <w:rsid w:val="272924A0"/>
    <w:rsid w:val="27866B9F"/>
    <w:rsid w:val="27B32BD6"/>
    <w:rsid w:val="27E71EA9"/>
    <w:rsid w:val="27F60D15"/>
    <w:rsid w:val="289E73E3"/>
    <w:rsid w:val="28EA6ACC"/>
    <w:rsid w:val="292A511A"/>
    <w:rsid w:val="29DF5F05"/>
    <w:rsid w:val="29FA6504"/>
    <w:rsid w:val="2BCC4267"/>
    <w:rsid w:val="2C536B29"/>
    <w:rsid w:val="2C5F332D"/>
    <w:rsid w:val="2C7072E8"/>
    <w:rsid w:val="2C906D58"/>
    <w:rsid w:val="2CCD473A"/>
    <w:rsid w:val="2CEB4BC0"/>
    <w:rsid w:val="2CFA0444"/>
    <w:rsid w:val="2CFE5A0D"/>
    <w:rsid w:val="2D577A9F"/>
    <w:rsid w:val="2D984BB1"/>
    <w:rsid w:val="2DF45CF7"/>
    <w:rsid w:val="2E0F77BA"/>
    <w:rsid w:val="2F917CA1"/>
    <w:rsid w:val="2FBA3380"/>
    <w:rsid w:val="2FBC06DB"/>
    <w:rsid w:val="2FC5794B"/>
    <w:rsid w:val="2FD656B4"/>
    <w:rsid w:val="2FFE2E5D"/>
    <w:rsid w:val="303F594F"/>
    <w:rsid w:val="30586A11"/>
    <w:rsid w:val="32220E91"/>
    <w:rsid w:val="333077D1"/>
    <w:rsid w:val="34B61F58"/>
    <w:rsid w:val="34CE2DFE"/>
    <w:rsid w:val="34D92233"/>
    <w:rsid w:val="34DF14AF"/>
    <w:rsid w:val="3575596F"/>
    <w:rsid w:val="35EA1EB9"/>
    <w:rsid w:val="361433DA"/>
    <w:rsid w:val="36401AD9"/>
    <w:rsid w:val="36794FEB"/>
    <w:rsid w:val="36A75037"/>
    <w:rsid w:val="37841E99"/>
    <w:rsid w:val="381F1BC2"/>
    <w:rsid w:val="38F17A02"/>
    <w:rsid w:val="39025256"/>
    <w:rsid w:val="39551D3F"/>
    <w:rsid w:val="3963760F"/>
    <w:rsid w:val="39B30BBC"/>
    <w:rsid w:val="39FE4A9D"/>
    <w:rsid w:val="3A39340F"/>
    <w:rsid w:val="3AA30888"/>
    <w:rsid w:val="3AB94550"/>
    <w:rsid w:val="3B40257B"/>
    <w:rsid w:val="3B7566C9"/>
    <w:rsid w:val="3BA7755B"/>
    <w:rsid w:val="3BB16FD5"/>
    <w:rsid w:val="3BDD426E"/>
    <w:rsid w:val="3D143CBF"/>
    <w:rsid w:val="3D2B25F8"/>
    <w:rsid w:val="3D6119C4"/>
    <w:rsid w:val="3DA94408"/>
    <w:rsid w:val="3E047E0A"/>
    <w:rsid w:val="3E4800C5"/>
    <w:rsid w:val="3F0F0BE2"/>
    <w:rsid w:val="3F12422F"/>
    <w:rsid w:val="3F32042D"/>
    <w:rsid w:val="3FC65745"/>
    <w:rsid w:val="40BB2DD0"/>
    <w:rsid w:val="40E90FBF"/>
    <w:rsid w:val="41F12821"/>
    <w:rsid w:val="42694565"/>
    <w:rsid w:val="427B20EB"/>
    <w:rsid w:val="431F0E8B"/>
    <w:rsid w:val="436D237B"/>
    <w:rsid w:val="43C26152"/>
    <w:rsid w:val="44044A8E"/>
    <w:rsid w:val="440C3157"/>
    <w:rsid w:val="44444E8A"/>
    <w:rsid w:val="44D426B2"/>
    <w:rsid w:val="44E80FE1"/>
    <w:rsid w:val="455A06DD"/>
    <w:rsid w:val="45837C34"/>
    <w:rsid w:val="45B352DC"/>
    <w:rsid w:val="45CB21F7"/>
    <w:rsid w:val="45CF4C28"/>
    <w:rsid w:val="45ED3300"/>
    <w:rsid w:val="482F17FF"/>
    <w:rsid w:val="48A77906"/>
    <w:rsid w:val="490E6F34"/>
    <w:rsid w:val="49217DF9"/>
    <w:rsid w:val="4941408E"/>
    <w:rsid w:val="494D47E1"/>
    <w:rsid w:val="49D96075"/>
    <w:rsid w:val="4AB34B18"/>
    <w:rsid w:val="4AE03433"/>
    <w:rsid w:val="4B8204BE"/>
    <w:rsid w:val="4C4507B6"/>
    <w:rsid w:val="4C63256E"/>
    <w:rsid w:val="4D551EB6"/>
    <w:rsid w:val="4D8B14D9"/>
    <w:rsid w:val="4DB33B09"/>
    <w:rsid w:val="4EBB21ED"/>
    <w:rsid w:val="4F1813ED"/>
    <w:rsid w:val="4F576D80"/>
    <w:rsid w:val="4FA30A16"/>
    <w:rsid w:val="509947B0"/>
    <w:rsid w:val="50AF18DD"/>
    <w:rsid w:val="525C3CE7"/>
    <w:rsid w:val="528E3D51"/>
    <w:rsid w:val="530E3233"/>
    <w:rsid w:val="53D55AFF"/>
    <w:rsid w:val="546B0211"/>
    <w:rsid w:val="55844E99"/>
    <w:rsid w:val="55B44A7B"/>
    <w:rsid w:val="560E70A6"/>
    <w:rsid w:val="572D5C52"/>
    <w:rsid w:val="583B7EFB"/>
    <w:rsid w:val="58B061F7"/>
    <w:rsid w:val="58BA1CEE"/>
    <w:rsid w:val="58C16652"/>
    <w:rsid w:val="59576FB6"/>
    <w:rsid w:val="5A3B2CC9"/>
    <w:rsid w:val="5B305D11"/>
    <w:rsid w:val="5B4F0B23"/>
    <w:rsid w:val="5B4F731A"/>
    <w:rsid w:val="5B993B5A"/>
    <w:rsid w:val="5BD668B8"/>
    <w:rsid w:val="5BF907F8"/>
    <w:rsid w:val="5C2C0286"/>
    <w:rsid w:val="5C983B6D"/>
    <w:rsid w:val="5D814602"/>
    <w:rsid w:val="5D9A3915"/>
    <w:rsid w:val="5DF254FF"/>
    <w:rsid w:val="5EA7453C"/>
    <w:rsid w:val="5F573763"/>
    <w:rsid w:val="5F773F0E"/>
    <w:rsid w:val="5FC01AAC"/>
    <w:rsid w:val="6045400C"/>
    <w:rsid w:val="60D1764E"/>
    <w:rsid w:val="611A2DA3"/>
    <w:rsid w:val="61D513C0"/>
    <w:rsid w:val="621C33F7"/>
    <w:rsid w:val="621E4B15"/>
    <w:rsid w:val="634E31D8"/>
    <w:rsid w:val="637C5F97"/>
    <w:rsid w:val="639332E1"/>
    <w:rsid w:val="64F102BF"/>
    <w:rsid w:val="65711400"/>
    <w:rsid w:val="666902A6"/>
    <w:rsid w:val="66D87988"/>
    <w:rsid w:val="68464DC5"/>
    <w:rsid w:val="68E36170"/>
    <w:rsid w:val="692A78CC"/>
    <w:rsid w:val="69502941"/>
    <w:rsid w:val="69D81A4D"/>
    <w:rsid w:val="69F97043"/>
    <w:rsid w:val="6A2373A8"/>
    <w:rsid w:val="6A627569"/>
    <w:rsid w:val="6AAF6C52"/>
    <w:rsid w:val="6C661592"/>
    <w:rsid w:val="6CCA3A1C"/>
    <w:rsid w:val="6CE81FA7"/>
    <w:rsid w:val="6D1F1741"/>
    <w:rsid w:val="6D8A5754"/>
    <w:rsid w:val="6E46167B"/>
    <w:rsid w:val="6E577D47"/>
    <w:rsid w:val="6F170AB2"/>
    <w:rsid w:val="6F455D89"/>
    <w:rsid w:val="6F745D74"/>
    <w:rsid w:val="6F9562E9"/>
    <w:rsid w:val="6FD1766A"/>
    <w:rsid w:val="6FE27182"/>
    <w:rsid w:val="70756248"/>
    <w:rsid w:val="709B2013"/>
    <w:rsid w:val="70AF4C91"/>
    <w:rsid w:val="71267542"/>
    <w:rsid w:val="71706A0F"/>
    <w:rsid w:val="723D2D95"/>
    <w:rsid w:val="7248226E"/>
    <w:rsid w:val="72783DCD"/>
    <w:rsid w:val="72B666A4"/>
    <w:rsid w:val="72EC6569"/>
    <w:rsid w:val="72F21DD2"/>
    <w:rsid w:val="73C51294"/>
    <w:rsid w:val="74C07CAE"/>
    <w:rsid w:val="752E2E69"/>
    <w:rsid w:val="75A803EA"/>
    <w:rsid w:val="764861AD"/>
    <w:rsid w:val="76E2215D"/>
    <w:rsid w:val="771B020D"/>
    <w:rsid w:val="77435AB2"/>
    <w:rsid w:val="78237046"/>
    <w:rsid w:val="78407BB7"/>
    <w:rsid w:val="78533470"/>
    <w:rsid w:val="78BE62B2"/>
    <w:rsid w:val="79921C19"/>
    <w:rsid w:val="79A47B9E"/>
    <w:rsid w:val="7A023EF6"/>
    <w:rsid w:val="7A220727"/>
    <w:rsid w:val="7AFD1314"/>
    <w:rsid w:val="7B1F572E"/>
    <w:rsid w:val="7B95154C"/>
    <w:rsid w:val="7BAE5340"/>
    <w:rsid w:val="7BC23531"/>
    <w:rsid w:val="7CEF576A"/>
    <w:rsid w:val="7DD722F0"/>
    <w:rsid w:val="7E2D1F10"/>
    <w:rsid w:val="7E3E236F"/>
    <w:rsid w:val="7FD616A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0"/>
    <w:pPr>
      <w:widowControl w:val="0"/>
      <w:spacing w:line="360" w:lineRule="auto"/>
      <w:ind w:left="0" w:leftChars="0" w:firstLine="602" w:firstLineChars="200"/>
      <w:jc w:val="both"/>
    </w:pPr>
    <w:rPr>
      <w:rFonts w:ascii="Times New Roman" w:hAnsi="Times New Roman" w:eastAsia="宋体" w:cs="Times New Roman"/>
      <w:kern w:val="2"/>
      <w:sz w:val="21"/>
      <w:szCs w:val="24"/>
      <w:lang w:val="en-US" w:eastAsia="zh-CN" w:bidi="ar-SA"/>
    </w:rPr>
  </w:style>
  <w:style w:type="paragraph" w:styleId="2">
    <w:name w:val="heading 1"/>
    <w:next w:val="1"/>
    <w:link w:val="21"/>
    <w:autoRedefine/>
    <w:qFormat/>
    <w:uiPriority w:val="0"/>
    <w:pPr>
      <w:keepNext/>
      <w:keepLines/>
      <w:numPr>
        <w:ilvl w:val="0"/>
        <w:numId w:val="1"/>
      </w:numPr>
      <w:spacing w:line="360" w:lineRule="auto"/>
      <w:ind w:left="0" w:firstLine="0" w:firstLineChars="0"/>
      <w:jc w:val="center"/>
      <w:outlineLvl w:val="0"/>
    </w:pPr>
    <w:rPr>
      <w:rFonts w:ascii="Times New Roman" w:hAnsi="Times New Roman" w:eastAsia="宋体" w:cs="Times New Roman"/>
      <w:b/>
      <w:color w:val="1C1F23"/>
      <w:kern w:val="44"/>
      <w:sz w:val="32"/>
      <w:szCs w:val="27"/>
      <w:shd w:val="clear" w:color="auto" w:fill="FFFFFF"/>
    </w:rPr>
  </w:style>
  <w:style w:type="paragraph" w:styleId="3">
    <w:name w:val="heading 2"/>
    <w:next w:val="1"/>
    <w:link w:val="22"/>
    <w:autoRedefine/>
    <w:unhideWhenUsed/>
    <w:qFormat/>
    <w:uiPriority w:val="0"/>
    <w:pPr>
      <w:numPr>
        <w:ilvl w:val="1"/>
        <w:numId w:val="1"/>
      </w:numPr>
      <w:spacing w:beforeAutospacing="1" w:afterAutospacing="1" w:line="360" w:lineRule="auto"/>
      <w:ind w:left="0" w:firstLine="0" w:firstLineChars="0"/>
      <w:jc w:val="left"/>
      <w:outlineLvl w:val="1"/>
    </w:pPr>
    <w:rPr>
      <w:rFonts w:ascii="Times New Roman" w:hAnsi="Times New Roman" w:eastAsia="宋体" w:cs="Times New Roman"/>
      <w:b/>
      <w:bCs/>
      <w:kern w:val="0"/>
      <w:sz w:val="28"/>
      <w:szCs w:val="36"/>
      <w:lang w:bidi="ar"/>
    </w:rPr>
  </w:style>
  <w:style w:type="paragraph" w:styleId="4">
    <w:name w:val="heading 3"/>
    <w:next w:val="1"/>
    <w:unhideWhenUsed/>
    <w:qFormat/>
    <w:uiPriority w:val="0"/>
    <w:pPr>
      <w:numPr>
        <w:ilvl w:val="2"/>
        <w:numId w:val="1"/>
      </w:numPr>
      <w:spacing w:beforeAutospacing="0" w:afterAutospacing="0" w:line="360" w:lineRule="auto"/>
      <w:ind w:left="0" w:firstLine="0"/>
      <w:jc w:val="left"/>
      <w:outlineLvl w:val="2"/>
    </w:pPr>
    <w:rPr>
      <w:rFonts w:hint="eastAsia" w:ascii="Times New Roman" w:hAnsi="Times New Roman" w:eastAsia="宋体" w:cs="Times New Roman"/>
      <w:b/>
      <w:kern w:val="0"/>
      <w:sz w:val="24"/>
      <w:szCs w:val="24"/>
      <w:lang w:bidi="ar"/>
    </w:rPr>
  </w:style>
  <w:style w:type="paragraph" w:styleId="5">
    <w:name w:val="heading 4"/>
    <w:basedOn w:val="1"/>
    <w:next w:val="1"/>
    <w:autoRedefine/>
    <w:semiHidden/>
    <w:unhideWhenUsed/>
    <w:qFormat/>
    <w:uiPriority w:val="0"/>
    <w:pPr>
      <w:numPr>
        <w:ilvl w:val="3"/>
        <w:numId w:val="1"/>
      </w:numPr>
      <w:spacing w:before="0" w:beforeAutospacing="1" w:after="0" w:afterAutospacing="1"/>
      <w:ind w:firstLine="0" w:firstLineChars="0"/>
      <w:jc w:val="left"/>
      <w:outlineLvl w:val="3"/>
    </w:pPr>
    <w:rPr>
      <w:rFonts w:hint="eastAsia" w:ascii="宋体" w:hAnsi="宋体" w:eastAsia="宋体" w:cs="宋体"/>
      <w:b/>
      <w:bCs/>
      <w:kern w:val="0"/>
      <w:sz w:val="24"/>
      <w:szCs w:val="24"/>
      <w:lang w:val="en-US" w:eastAsia="zh-CN" w:bidi="ar"/>
    </w:rPr>
  </w:style>
  <w:style w:type="paragraph" w:styleId="6">
    <w:name w:val="heading 5"/>
    <w:basedOn w:val="1"/>
    <w:next w:val="1"/>
    <w:autoRedefine/>
    <w:semiHidden/>
    <w:unhideWhenUsed/>
    <w:qFormat/>
    <w:uiPriority w:val="0"/>
    <w:pPr>
      <w:keepNext/>
      <w:keepLines/>
      <w:numPr>
        <w:ilvl w:val="4"/>
        <w:numId w:val="2"/>
      </w:numPr>
      <w:spacing w:before="280" w:beforeLines="0" w:beforeAutospacing="0" w:after="290" w:afterLines="0" w:afterAutospacing="0" w:line="372" w:lineRule="auto"/>
      <w:ind w:left="1008" w:hanging="1008" w:firstLineChars="0"/>
      <w:outlineLvl w:val="4"/>
    </w:pPr>
    <w:rPr>
      <w:b/>
      <w:sz w:val="28"/>
    </w:rPr>
  </w:style>
  <w:style w:type="paragraph" w:styleId="7">
    <w:name w:val="heading 6"/>
    <w:basedOn w:val="1"/>
    <w:next w:val="1"/>
    <w:semiHidden/>
    <w:unhideWhenUsed/>
    <w:qFormat/>
    <w:uiPriority w:val="0"/>
    <w:pPr>
      <w:keepNext/>
      <w:keepLines/>
      <w:numPr>
        <w:ilvl w:val="5"/>
        <w:numId w:val="2"/>
      </w:numPr>
      <w:spacing w:before="240" w:beforeLines="0" w:beforeAutospacing="0" w:after="64" w:afterLines="0" w:afterAutospacing="0" w:line="317" w:lineRule="auto"/>
      <w:ind w:left="1151" w:hanging="1151" w:firstLineChars="0"/>
      <w:outlineLvl w:val="5"/>
    </w:pPr>
    <w:rPr>
      <w:rFonts w:ascii="Arial" w:hAnsi="Arial" w:eastAsia="黑体"/>
      <w:b/>
      <w:sz w:val="24"/>
    </w:rPr>
  </w:style>
  <w:style w:type="paragraph" w:styleId="8">
    <w:name w:val="heading 7"/>
    <w:basedOn w:val="1"/>
    <w:next w:val="1"/>
    <w:autoRedefine/>
    <w:semiHidden/>
    <w:unhideWhenUsed/>
    <w:qFormat/>
    <w:uiPriority w:val="0"/>
    <w:pPr>
      <w:keepNext/>
      <w:keepLines/>
      <w:numPr>
        <w:ilvl w:val="6"/>
        <w:numId w:val="2"/>
      </w:numPr>
      <w:spacing w:before="240" w:beforeLines="0" w:beforeAutospacing="0" w:after="64" w:afterLines="0" w:afterAutospacing="0" w:line="317" w:lineRule="auto"/>
      <w:ind w:left="1296" w:hanging="1296" w:firstLineChars="0"/>
      <w:outlineLvl w:val="6"/>
    </w:pPr>
    <w:rPr>
      <w:b/>
      <w:sz w:val="24"/>
    </w:rPr>
  </w:style>
  <w:style w:type="paragraph" w:styleId="9">
    <w:name w:val="heading 8"/>
    <w:basedOn w:val="1"/>
    <w:next w:val="1"/>
    <w:autoRedefine/>
    <w:semiHidden/>
    <w:unhideWhenUsed/>
    <w:qFormat/>
    <w:uiPriority w:val="0"/>
    <w:pPr>
      <w:keepNext/>
      <w:keepLines/>
      <w:numPr>
        <w:ilvl w:val="7"/>
        <w:numId w:val="2"/>
      </w:numPr>
      <w:spacing w:before="240" w:beforeLines="0" w:beforeAutospacing="0" w:after="64" w:afterLines="0" w:afterAutospacing="0" w:line="317" w:lineRule="auto"/>
      <w:ind w:left="1440" w:hanging="1440" w:firstLineChars="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2"/>
      </w:numPr>
      <w:spacing w:before="240" w:beforeLines="0" w:beforeAutospacing="0" w:after="64" w:afterLines="0" w:afterAutospacing="0" w:line="317" w:lineRule="auto"/>
      <w:ind w:left="1583" w:hanging="1583" w:firstLineChars="0"/>
      <w:outlineLvl w:val="8"/>
    </w:pPr>
    <w:rPr>
      <w:rFonts w:ascii="Arial" w:hAnsi="Arial" w:eastAsia="黑体"/>
      <w:sz w:val="21"/>
    </w:rPr>
  </w:style>
  <w:style w:type="character" w:default="1" w:styleId="18">
    <w:name w:val="Default Paragraph Font"/>
    <w:autoRedefine/>
    <w:semiHidden/>
    <w:qFormat/>
    <w:uiPriority w:val="0"/>
  </w:style>
  <w:style w:type="table" w:default="1" w:styleId="16">
    <w:name w:val="Normal Table"/>
    <w:autoRedefine/>
    <w:semiHidden/>
    <w:qFormat/>
    <w:uiPriority w:val="0"/>
    <w:tblPr>
      <w:tblCellMar>
        <w:top w:w="0" w:type="dxa"/>
        <w:left w:w="108" w:type="dxa"/>
        <w:bottom w:w="0" w:type="dxa"/>
        <w:right w:w="108" w:type="dxa"/>
      </w:tblCellMar>
    </w:tblPr>
  </w:style>
  <w:style w:type="paragraph" w:styleId="11">
    <w:name w:val="caption"/>
    <w:basedOn w:val="1"/>
    <w:next w:val="1"/>
    <w:autoRedefine/>
    <w:semiHidden/>
    <w:unhideWhenUsed/>
    <w:qFormat/>
    <w:uiPriority w:val="0"/>
    <w:rPr>
      <w:rFonts w:ascii="Times New Roman" w:hAnsi="Times New Roman" w:eastAsia="宋体" w:cstheme="majorBidi"/>
      <w:sz w:val="21"/>
      <w:szCs w:val="20"/>
    </w:rPr>
  </w:style>
  <w:style w:type="paragraph" w:styleId="12">
    <w:name w:val="toc 3"/>
    <w:basedOn w:val="1"/>
    <w:next w:val="1"/>
    <w:autoRedefine/>
    <w:qFormat/>
    <w:uiPriority w:val="0"/>
    <w:pPr>
      <w:ind w:left="420"/>
      <w:jc w:val="left"/>
    </w:pPr>
    <w:rPr>
      <w:rFonts w:ascii="Times New Roman" w:hAnsi="Times New Roman" w:eastAsia="宋体" w:cstheme="minorHAnsi"/>
      <w:iCs/>
      <w:sz w:val="24"/>
      <w:szCs w:val="20"/>
    </w:rPr>
  </w:style>
  <w:style w:type="paragraph" w:styleId="13">
    <w:name w:val="toc 1"/>
    <w:basedOn w:val="1"/>
    <w:next w:val="1"/>
    <w:qFormat/>
    <w:uiPriority w:val="0"/>
    <w:pPr>
      <w:spacing w:before="120" w:after="120"/>
      <w:jc w:val="left"/>
    </w:pPr>
    <w:rPr>
      <w:rFonts w:eastAsia="黑体" w:asciiTheme="minorAscii" w:hAnsiTheme="minorAscii" w:cstheme="minorHAnsi"/>
      <w:bCs/>
      <w:caps/>
      <w:szCs w:val="20"/>
    </w:rPr>
  </w:style>
  <w:style w:type="paragraph" w:styleId="14">
    <w:name w:val="toc 2"/>
    <w:basedOn w:val="1"/>
    <w:next w:val="1"/>
    <w:autoRedefine/>
    <w:qFormat/>
    <w:uiPriority w:val="0"/>
    <w:pPr>
      <w:ind w:left="0" w:firstLine="0" w:firstLineChars="0"/>
      <w:jc w:val="left"/>
    </w:pPr>
    <w:rPr>
      <w:rFonts w:ascii="Times New Roman" w:hAnsi="Times New Roman" w:eastAsia="宋体" w:cs="Times New Roman"/>
      <w:smallCaps/>
      <w:szCs w:val="20"/>
    </w:rPr>
  </w:style>
  <w:style w:type="paragraph" w:styleId="15">
    <w:name w:val="Normal (Web)"/>
    <w:basedOn w:val="1"/>
    <w:qFormat/>
    <w:uiPriority w:val="0"/>
    <w:pPr>
      <w:spacing w:before="0" w:beforeAutospacing="1" w:after="0" w:afterAutospacing="1"/>
      <w:ind w:left="0" w:right="0"/>
      <w:jc w:val="left"/>
    </w:pPr>
    <w:rPr>
      <w:kern w:val="0"/>
      <w:sz w:val="24"/>
      <w:lang w:val="en-US" w:eastAsia="zh-CN" w:bidi="ar"/>
    </w:rPr>
  </w:style>
  <w:style w:type="table" w:styleId="17">
    <w:name w:val="Table Grid"/>
    <w:basedOn w:val="16"/>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9">
    <w:name w:val="Strong"/>
    <w:basedOn w:val="18"/>
    <w:qFormat/>
    <w:uiPriority w:val="0"/>
    <w:rPr>
      <w:b/>
    </w:rPr>
  </w:style>
  <w:style w:type="character" w:styleId="20">
    <w:name w:val="HTML Code"/>
    <w:basedOn w:val="18"/>
    <w:uiPriority w:val="0"/>
    <w:rPr>
      <w:rFonts w:ascii="Courier New" w:hAnsi="Courier New"/>
      <w:sz w:val="20"/>
    </w:rPr>
  </w:style>
  <w:style w:type="character" w:customStyle="1" w:styleId="21">
    <w:name w:val="标题 1 字符"/>
    <w:link w:val="2"/>
    <w:qFormat/>
    <w:uiPriority w:val="9"/>
    <w:rPr>
      <w:rFonts w:ascii="Times New Roman" w:hAnsi="Times New Roman" w:eastAsia="宋体" w:cs="Times New Roman"/>
      <w:bCs/>
      <w:color w:val="1C1F23"/>
      <w:kern w:val="44"/>
      <w:sz w:val="36"/>
      <w:szCs w:val="24"/>
    </w:rPr>
  </w:style>
  <w:style w:type="character" w:customStyle="1" w:styleId="22">
    <w:name w:val="标题 2 字符"/>
    <w:link w:val="3"/>
    <w:autoRedefine/>
    <w:qFormat/>
    <w:uiPriority w:val="0"/>
    <w:rPr>
      <w:rFonts w:ascii="Times New Roman" w:hAnsi="Times New Roman" w:eastAsia="宋体" w:cs="Times New Roman"/>
      <w:b/>
      <w:bCs/>
      <w:kern w:val="0"/>
      <w:sz w:val="28"/>
      <w:szCs w:val="36"/>
      <w:lang w:val="en-US" w:eastAsia="zh-CN" w:bidi="ar"/>
    </w:rPr>
  </w:style>
  <w:style w:type="paragraph" w:customStyle="1" w:styleId="23">
    <w:name w:val="表格内容"/>
    <w:basedOn w:val="1"/>
    <w:autoRedefine/>
    <w:qFormat/>
    <w:uiPriority w:val="0"/>
    <w:pPr>
      <w:spacing w:line="300" w:lineRule="auto"/>
      <w:jc w:val="center"/>
    </w:pPr>
    <w:rPr>
      <w:rFonts w:hint="default" w:asciiTheme="minorAscii" w:hAnsiTheme="minorAscii" w:eastAsiaTheme="minorEastAsia" w:cstheme="minorEastAsia"/>
      <w:sz w:val="21"/>
      <w:szCs w:val="21"/>
    </w:rPr>
  </w:style>
  <w:style w:type="paragraph" w:customStyle="1" w:styleId="24">
    <w:name w:val="中期二级标题"/>
    <w:basedOn w:val="1"/>
    <w:link w:val="25"/>
    <w:qFormat/>
    <w:uiPriority w:val="0"/>
    <w:pPr>
      <w:numPr>
        <w:ilvl w:val="1"/>
        <w:numId w:val="3"/>
      </w:numPr>
      <w:ind w:left="851"/>
    </w:pPr>
    <w:rPr>
      <w:rFonts w:ascii="黑体" w:hAnsi="黑体" w:eastAsia="黑体"/>
      <w:sz w:val="32"/>
      <w:szCs w:val="32"/>
    </w:rPr>
  </w:style>
  <w:style w:type="character" w:customStyle="1" w:styleId="25">
    <w:name w:val="中期二级标题 字符"/>
    <w:link w:val="24"/>
    <w:qFormat/>
    <w:uiPriority w:val="0"/>
    <w:rPr>
      <w:rFonts w:ascii="黑体" w:hAnsi="黑体" w:eastAsia="黑体"/>
      <w:kern w:val="2"/>
      <w:sz w:val="32"/>
      <w:szCs w:val="32"/>
      <w:lang w:val="en-US" w:eastAsia="zh-CN" w:bidi="ar-SA"/>
    </w:rPr>
  </w:style>
  <w:style w:type="paragraph" w:customStyle="1" w:styleId="26">
    <w:name w:val="中期一级标题"/>
    <w:basedOn w:val="1"/>
    <w:qFormat/>
    <w:uiPriority w:val="0"/>
    <w:pPr>
      <w:numPr>
        <w:ilvl w:val="0"/>
        <w:numId w:val="3"/>
      </w:numPr>
      <w:ind w:firstLine="0" w:firstLineChars="0"/>
    </w:pPr>
  </w:style>
  <w:style w:type="paragraph" w:customStyle="1" w:styleId="27">
    <w:name w:val="中期三级标题"/>
    <w:basedOn w:val="1"/>
    <w:qFormat/>
    <w:uiPriority w:val="0"/>
    <w:pPr>
      <w:numPr>
        <w:ilvl w:val="2"/>
        <w:numId w:val="3"/>
      </w:numPr>
      <w:ind w:firstLine="0" w:firstLineChars="0"/>
    </w:pPr>
  </w:style>
  <w:style w:type="paragraph" w:customStyle="1" w:styleId="28">
    <w:name w:val="中期四级标题"/>
    <w:basedOn w:val="1"/>
    <w:qFormat/>
    <w:uiPriority w:val="0"/>
    <w:pPr>
      <w:numPr>
        <w:ilvl w:val="3"/>
        <w:numId w:val="3"/>
      </w:numPr>
      <w:ind w:firstLine="0" w:firstLineChars="0"/>
    </w:p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6" Type="http://schemas.openxmlformats.org/officeDocument/2006/relationships/fontTable" Target="fontTable.xml"/><Relationship Id="rId15" Type="http://schemas.openxmlformats.org/officeDocument/2006/relationships/numbering" Target="numbering.xml"/><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25</Pages>
  <Words>14443</Words>
  <Characters>19309</Characters>
  <Lines>0</Lines>
  <Paragraphs>0</Paragraphs>
  <TotalTime>24</TotalTime>
  <ScaleCrop>false</ScaleCrop>
  <LinksUpToDate>false</LinksUpToDate>
  <CharactersWithSpaces>19833</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2023-05-03T02:03:00Z</dcterms:created>
  <dc:creator>DELL</dc:creator>
  <cp:lastModifiedBy>EliauK</cp:lastModifiedBy>
  <dcterms:modified xsi:type="dcterms:W3CDTF">2026-02-11T15:38:48Z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ICV">
    <vt:lpwstr>5A42619EACE746528190165281C55736_12</vt:lpwstr>
  </property>
  <property fmtid="{D5CDD505-2E9C-101B-9397-08002B2CF9AE}" pid="4" name="KSOTemplateDocerSaveRecord">
    <vt:lpwstr>eyJoZGlkIjoiZDg1NGE5MjEwMGYxMTgwMjZlNjM1NTZiYmYzOGIyNzkiLCJ1c2VySWQiOiIxMDAyNjk2MDIwIn0=</vt:lpwstr>
  </property>
</Properties>
</file>