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A840ED7">
      <w:pPr>
        <w:pStyle w:val="2"/>
        <w:bidi w:val="0"/>
        <w:rPr>
          <w:rFonts w:hint="eastAsia"/>
          <w:lang w:val="en-US" w:eastAsia="zh-CN"/>
        </w:rPr>
      </w:pPr>
      <w:r>
        <w:rPr>
          <w:rFonts w:hint="eastAsia"/>
          <w:lang w:val="en-US" w:eastAsia="zh-CN"/>
        </w:rPr>
        <w:t>思维链支持的大语言模型的分子性质预测方法</w:t>
      </w:r>
    </w:p>
    <w:p w14:paraId="66F7189C">
      <w:pPr>
        <w:pStyle w:val="3"/>
        <w:bidi w:val="0"/>
        <w:rPr>
          <w:rFonts w:hint="default"/>
          <w:lang w:val="en-US" w:eastAsia="zh-CN"/>
        </w:rPr>
      </w:pPr>
      <w:r>
        <w:rPr>
          <w:rFonts w:hint="eastAsia"/>
          <w:lang w:val="en-US" w:eastAsia="zh-CN"/>
        </w:rPr>
        <w:t>模型设计与描述</w:t>
      </w:r>
    </w:p>
    <w:p w14:paraId="29A69ACB">
      <w:pPr>
        <w:pStyle w:val="3"/>
        <w:bidi w:val="0"/>
        <w:rPr>
          <w:rFonts w:hint="default"/>
          <w:lang w:val="en-US" w:eastAsia="zh-CN"/>
        </w:rPr>
      </w:pPr>
      <w:r>
        <w:rPr>
          <w:rFonts w:hint="eastAsia"/>
          <w:lang w:val="en-US" w:eastAsia="zh-CN"/>
        </w:rPr>
        <w:t>实验设计</w:t>
      </w:r>
    </w:p>
    <w:p w14:paraId="2FD2C56A">
      <w:pPr>
        <w:pStyle w:val="3"/>
        <w:bidi w:val="0"/>
        <w:rPr>
          <w:rFonts w:hint="default"/>
          <w:lang w:val="en-US" w:eastAsia="zh-CN"/>
        </w:rPr>
      </w:pPr>
      <w:r>
        <w:rPr>
          <w:rFonts w:hint="eastAsia"/>
          <w:lang w:val="en-US" w:eastAsia="zh-CN"/>
        </w:rPr>
        <w:t>实验即结果分析</w:t>
      </w:r>
    </w:p>
    <w:p w14:paraId="5644B9B8">
      <w:pPr>
        <w:pStyle w:val="3"/>
        <w:bidi w:val="0"/>
        <w:rPr>
          <w:rFonts w:hint="default"/>
          <w:lang w:val="en-US" w:eastAsia="zh-CN"/>
        </w:rPr>
      </w:pPr>
      <w:r>
        <w:rPr>
          <w:rFonts w:hint="eastAsia"/>
          <w:lang w:val="en-US" w:eastAsia="zh-CN"/>
        </w:rPr>
        <w:t>本章小结</w:t>
      </w:r>
    </w:p>
    <w:p w14:paraId="5B3CDD47">
      <w:pPr>
        <w:pStyle w:val="2"/>
        <w:bidi w:val="0"/>
        <w:rPr>
          <w:rFonts w:hint="eastAsia"/>
          <w:lang w:val="en-US" w:eastAsia="zh-CN"/>
        </w:rPr>
      </w:pPr>
      <w:r>
        <w:t>基于图对齐与知识增强的分子性质预测方法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ind w:left="210" w:leftChars="0" w:firstLineChars="0"/>
        <w:rPr>
          <w:rFonts w:hint="default"/>
          <w:lang w:val="en-US" w:eastAsia="zh-CN"/>
        </w:rPr>
      </w:pPr>
      <w:r>
        <w:rPr>
          <w:rFonts w:hint="eastAsia"/>
          <w:lang w:val="en-US" w:eastAsia="zh-CN"/>
        </w:rPr>
        <w:t>XXX框架概述</w:t>
      </w:r>
    </w:p>
    <w:p w14:paraId="0C19663F">
      <w:pPr>
        <w:bidi w:val="0"/>
        <w:rPr>
          <w:rFonts w:hint="eastAsia"/>
          <w:lang w:val="en-US" w:eastAsia="zh-CN"/>
        </w:rPr>
      </w:pPr>
      <w:r>
        <w:rPr>
          <w:rFonts w:hint="eastAsia"/>
          <w:lang w:val="en-US" w:eastAsia="zh-CN"/>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lang w:val="en-US" w:eastAsia="zh-CN"/>
        </w:rPr>
        <w:t>此框架采用预训练-微调范式，在预训练阶段，引入图中心对比学习策略，驱动各模态在潜在空间内完成语义锚定；而在面向特定下游任务的微调阶段，则部署交叉注意力模块与</w:t>
      </w:r>
      <w:r>
        <w:t>多层感知机（MLP），实现对任务敏感特征的动态捕捉与灵活预测。</w:t>
      </w:r>
    </w:p>
    <w:p w14:paraId="7996BBC3">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该模型的架构图如图 3-1 所示，其总体拓扑结构可清晰划分为三大核心组件：模态专属编码器：用于提取异构特征、统一嵌入空间映射模块：用于维度对齐，以及基于交叉注意力机制的融合模块：用于特征交互与预测。</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7960" cy="3104515"/>
            <wp:effectExtent l="0" t="0" r="5080" b="444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6"/>
                    <a:stretch>
                      <a:fillRect/>
                    </a:stretch>
                  </pic:blipFill>
                  <pic:spPr>
                    <a:xfrm>
                      <a:off x="0" y="0"/>
                      <a:ext cx="5267960" cy="3104515"/>
                    </a:xfrm>
                    <a:prstGeom prst="rect">
                      <a:avLst/>
                    </a:prstGeom>
                  </pic:spPr>
                </pic:pic>
              </a:graphicData>
            </a:graphic>
          </wp:inline>
        </w:drawing>
      </w:r>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16E2FDF8">
      <w:pPr>
        <w:pStyle w:val="4"/>
        <w:bidi w:val="0"/>
        <w:ind w:left="210" w:leftChars="0" w:firstLineChars="0"/>
        <w:rPr>
          <w:rFonts w:hint="eastAsia"/>
          <w:lang w:val="en-US" w:eastAsia="zh-CN"/>
        </w:rPr>
      </w:pPr>
      <w:r>
        <w:rPr>
          <w:rFonts w:hint="eastAsia"/>
          <w:lang w:val="en-US" w:eastAsia="zh-CN"/>
        </w:rPr>
        <w:t>图编码器</w:t>
      </w:r>
    </w:p>
    <w:p w14:paraId="5970E9D2">
      <w:pPr>
        <w:rPr>
          <w:rFonts w:hint="eastAsia"/>
          <w:lang w:val="en-US" w:eastAsia="zh-CN"/>
        </w:rPr>
      </w:pPr>
      <w:r>
        <w:rPr>
          <w:rFonts w:hint="eastAsia"/>
          <w:lang w:val="en-US" w:eastAsia="zh-CN"/>
        </w:rPr>
        <w:t xml:space="preserve">图编码器构成了本框架的语义核心（Anchor）。本文部署 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Para>
        <m:oMath>
          <m:sSub>
            <m:sSubPr>
              <m:ctrlPr>
                <w:rPr>
                  <w:rFonts w:hint="default" w:ascii="Cambria Math"/>
                </w:rPr>
              </m:ctrlPr>
            </m:sSubPr>
            <m:e>
              <m:r>
                <m:rPr/>
                <w:rPr>
                  <w:rFonts w:hint="default" w:ascii="Cambria Math"/>
                </w:rPr>
                <m:t>F</m:t>
              </m:r>
            </m:e>
            <m:sub>
              <m:r>
                <m:rPr/>
                <w:rPr>
                  <w:rFonts w:hint="default" w:ascii="Cambria Math"/>
                </w:rPr>
                <m:t>g</m:t>
              </m:r>
            </m:sub>
          </m:sSub>
        </m:oMath>
      </m:oMathPara>
      <w:r>
        <w:rPr>
          <w:rFonts w:hint="eastAsia"/>
          <w:lang w:val="en-US" w:eastAsia="zh-CN"/>
        </w:rPr>
        <w:t>，该向量在预训练阶段充当了其他模态对齐的“语义锚点”。</w:t>
      </w:r>
    </w:p>
    <w:p w14:paraId="3E4A7DE5">
      <w:pPr>
        <w:pStyle w:val="4"/>
        <w:bidi w:val="0"/>
        <w:ind w:left="210" w:leftChars="0" w:firstLineChars="0"/>
        <w:rPr>
          <w:rFonts w:hint="default"/>
          <w:lang w:val="en-US" w:eastAsia="zh-CN"/>
        </w:rPr>
      </w:pPr>
      <w:r>
        <w:rPr>
          <w:rFonts w:hint="eastAsia"/>
          <w:lang w:val="en-US" w:eastAsia="zh-CN"/>
        </w:rPr>
        <w:t>指纹编码器</w:t>
      </w:r>
    </w:p>
    <w:p w14:paraId="7522D1C5">
      <w:pPr>
        <w:rPr>
          <w:rFonts w:hint="eastAsia"/>
          <w:lang w:val="en-US" w:eastAsia="zh-CN"/>
        </w:rPr>
      </w:pPr>
      <w:r>
        <w:rPr>
          <w:rFonts w:ascii="宋体" w:hAnsi="宋体" w:eastAsia="宋体" w:cs="宋体"/>
          <w:sz w:val="24"/>
          <w:szCs w:val="24"/>
        </w:rP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ascii="宋体" w:hAnsi="宋体" w:eastAsia="宋体" w:cs="宋体"/>
          <w:sz w:val="24"/>
          <w:szCs w:val="24"/>
          <w:lang w:val="en-US" w:eastAsia="zh-CN"/>
        </w:rPr>
        <w:t>所</w:t>
      </w:r>
      <w:r>
        <w:rPr>
          <w:rFonts w:ascii="宋体" w:hAnsi="宋体" w:eastAsia="宋体" w:cs="宋体"/>
          <w:sz w:val="24"/>
          <w:szCs w:val="24"/>
        </w:rPr>
        <w:t>能承载的信息维度。</w:t>
      </w:r>
    </w:p>
    <w:p w14:paraId="18602F8E">
      <w:pPr>
        <w:rPr>
          <w:rFonts w:hint="eastAsia"/>
          <w:lang w:val="en-US" w:eastAsia="zh-CN"/>
        </w:rPr>
      </w:pP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left w:w="108" w:type="dxa"/>
          <w:right w:w="108" w:type="dxa"/>
        </w:tblCellMar>
      </w:tblPr>
      <w:tblGrid>
        <w:gridCol w:w="1786"/>
        <w:gridCol w:w="1638"/>
        <w:gridCol w:w="1574"/>
        <w:gridCol w:w="1575"/>
      </w:tblGrid>
      <w:tr w14:paraId="195B1D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bottom w:val="single" w:color="auto" w:sz="8" w:space="0"/>
            </w:tcBorders>
          </w:tcPr>
          <w:p w14:paraId="0AA94A75">
            <w:pPr>
              <w:rPr>
                <w:rFonts w:hint="default"/>
                <w:vertAlign w:val="baseline"/>
                <w:lang w:val="en-US" w:eastAsia="zh-CN"/>
              </w:rPr>
            </w:pPr>
            <w:r>
              <w:rPr>
                <w:rFonts w:hint="eastAsia"/>
                <w:vertAlign w:val="baseline"/>
                <w:lang w:val="en-US" w:eastAsia="zh-CN"/>
              </w:rPr>
              <w:t>指纹类型</w:t>
            </w:r>
          </w:p>
        </w:tc>
        <w:tc>
          <w:tcPr>
            <w:tcW w:w="1638" w:type="dxa"/>
            <w:tcBorders>
              <w:bottom w:val="single" w:color="auto" w:sz="8" w:space="0"/>
            </w:tcBorders>
          </w:tcPr>
          <w:p w14:paraId="3A6CC5E2">
            <w:pPr>
              <w:rPr>
                <w:rFonts w:hint="default"/>
                <w:vertAlign w:val="baseline"/>
                <w:lang w:val="en-US" w:eastAsia="zh-CN"/>
              </w:rPr>
            </w:pPr>
            <w:r>
              <w:rPr>
                <w:rFonts w:hint="eastAsia"/>
                <w:vertAlign w:val="baseline"/>
                <w:lang w:val="en-US" w:eastAsia="zh-CN"/>
              </w:rPr>
              <w:t>结构信息</w:t>
            </w:r>
          </w:p>
        </w:tc>
        <w:tc>
          <w:tcPr>
            <w:tcW w:w="1574" w:type="dxa"/>
            <w:tcBorders>
              <w:bottom w:val="single" w:color="auto" w:sz="8" w:space="0"/>
            </w:tcBorders>
          </w:tcPr>
          <w:p w14:paraId="31D0B825">
            <w:pPr>
              <w:rPr>
                <w:rFonts w:hint="default"/>
                <w:vertAlign w:val="baseline"/>
                <w:lang w:val="en-US" w:eastAsia="zh-CN"/>
              </w:rPr>
            </w:pPr>
            <w:r>
              <w:rPr>
                <w:rFonts w:hint="eastAsia"/>
                <w:vertAlign w:val="baseline"/>
                <w:lang w:val="en-US" w:eastAsia="zh-CN"/>
              </w:rPr>
              <w:t>功能信息</w:t>
            </w:r>
          </w:p>
        </w:tc>
        <w:tc>
          <w:tcPr>
            <w:tcW w:w="1575" w:type="dxa"/>
            <w:tcBorders>
              <w:bottom w:val="single" w:color="auto" w:sz="8" w:space="0"/>
            </w:tcBorders>
          </w:tcPr>
          <w:p w14:paraId="1FA6559A">
            <w:pPr>
              <w:rPr>
                <w:rFonts w:hint="default"/>
                <w:vertAlign w:val="baseline"/>
                <w:lang w:val="en-US" w:eastAsia="zh-CN"/>
              </w:rPr>
            </w:pPr>
            <w:r>
              <w:rPr>
                <w:rFonts w:hint="eastAsia"/>
                <w:vertAlign w:val="baseline"/>
                <w:lang w:val="en-US" w:eastAsia="zh-CN"/>
              </w:rPr>
              <w:t>拓扑信息</w:t>
            </w:r>
          </w:p>
        </w:tc>
      </w:tr>
      <w:tr w14:paraId="5DE879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op w:val="single" w:color="auto" w:sz="8" w:space="0"/>
              <w:tl2br w:val="nil"/>
              <w:tr2bl w:val="nil"/>
            </w:tcBorders>
          </w:tcPr>
          <w:p w14:paraId="4A560315">
            <w:pPr>
              <w:rPr>
                <w:rFonts w:hint="default"/>
                <w:vertAlign w:val="baseline"/>
                <w:lang w:val="en-US" w:eastAsia="zh-CN"/>
              </w:rPr>
            </w:pPr>
            <w:r>
              <w:rPr>
                <w:rFonts w:hint="eastAsia"/>
                <w:lang w:val="en-US" w:eastAsia="zh-CN"/>
              </w:rPr>
              <w:t xml:space="preserve">AtomPairs </w:t>
            </w:r>
          </w:p>
        </w:tc>
        <w:tc>
          <w:tcPr>
            <w:tcW w:w="1638" w:type="dxa"/>
            <w:tcBorders>
              <w:top w:val="single" w:color="auto" w:sz="8" w:space="0"/>
              <w:tl2br w:val="nil"/>
              <w:tr2bl w:val="nil"/>
            </w:tcBorders>
          </w:tcPr>
          <w:p w14:paraId="09A50823">
            <w:pPr>
              <w:rPr>
                <w:rFonts w:hint="default"/>
                <w:vertAlign w:val="baseline"/>
                <w:lang w:val="en-US" w:eastAsia="zh-CN"/>
              </w:rPr>
            </w:pPr>
            <w:r>
              <w:rPr>
                <w:rFonts w:hint="eastAsia"/>
                <w:vertAlign w:val="baseline"/>
                <w:lang w:val="en-US" w:eastAsia="zh-CN"/>
              </w:rPr>
              <w:t>√</w:t>
            </w:r>
          </w:p>
        </w:tc>
        <w:tc>
          <w:tcPr>
            <w:tcW w:w="1574" w:type="dxa"/>
            <w:tcBorders>
              <w:top w:val="single" w:color="auto" w:sz="8" w:space="0"/>
              <w:tl2br w:val="nil"/>
              <w:tr2bl w:val="nil"/>
            </w:tcBorders>
          </w:tcPr>
          <w:p w14:paraId="1E01253E">
            <w:pPr>
              <w:rPr>
                <w:rFonts w:hint="default"/>
                <w:vertAlign w:val="baseline"/>
                <w:lang w:val="en-US" w:eastAsia="zh-CN"/>
              </w:rPr>
            </w:pPr>
          </w:p>
        </w:tc>
        <w:tc>
          <w:tcPr>
            <w:tcW w:w="1575" w:type="dxa"/>
            <w:tcBorders>
              <w:top w:val="single" w:color="auto" w:sz="8" w:space="0"/>
              <w:tl2br w:val="nil"/>
              <w:tr2bl w:val="nil"/>
            </w:tcBorders>
          </w:tcPr>
          <w:p w14:paraId="3D74EBA4">
            <w:pPr>
              <w:rPr>
                <w:rFonts w:hint="default"/>
                <w:vertAlign w:val="baseline"/>
                <w:lang w:val="en-US" w:eastAsia="zh-CN"/>
              </w:rPr>
            </w:pPr>
            <w:r>
              <w:rPr>
                <w:rFonts w:hint="eastAsia"/>
                <w:vertAlign w:val="baseline"/>
                <w:lang w:val="en-US" w:eastAsia="zh-CN"/>
              </w:rPr>
              <w:t>√</w:t>
            </w:r>
          </w:p>
        </w:tc>
      </w:tr>
      <w:tr w14:paraId="22A9730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l2br w:val="nil"/>
              <w:tr2bl w:val="nil"/>
            </w:tcBorders>
          </w:tcPr>
          <w:p w14:paraId="31514E53">
            <w:pPr>
              <w:rPr>
                <w:rFonts w:hint="eastAsia"/>
                <w:lang w:val="en-US" w:eastAsia="zh-CN"/>
              </w:rPr>
            </w:pPr>
            <w:r>
              <w:rPr>
                <w:rFonts w:hint="eastAsia"/>
                <w:lang w:val="en-US" w:eastAsia="zh-CN"/>
              </w:rPr>
              <w:t xml:space="preserve">MACCS </w:t>
            </w:r>
          </w:p>
        </w:tc>
        <w:tc>
          <w:tcPr>
            <w:tcW w:w="1638" w:type="dxa"/>
            <w:tcBorders>
              <w:tl2br w:val="nil"/>
              <w:tr2bl w:val="nil"/>
            </w:tcBorders>
          </w:tcPr>
          <w:p w14:paraId="680C3DC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6447CA02">
            <w:pPr>
              <w:rPr>
                <w:rFonts w:hint="default"/>
                <w:vertAlign w:val="baseline"/>
                <w:lang w:val="en-US" w:eastAsia="zh-CN"/>
              </w:rPr>
            </w:pPr>
            <w:r>
              <w:rPr>
                <w:rFonts w:hint="eastAsia"/>
                <w:vertAlign w:val="baseline"/>
                <w:lang w:val="en-US" w:eastAsia="zh-CN"/>
              </w:rPr>
              <w:t>√</w:t>
            </w:r>
          </w:p>
        </w:tc>
        <w:tc>
          <w:tcPr>
            <w:tcW w:w="1575" w:type="dxa"/>
            <w:tcBorders>
              <w:tl2br w:val="nil"/>
              <w:tr2bl w:val="nil"/>
            </w:tcBorders>
          </w:tcPr>
          <w:p w14:paraId="0091A139">
            <w:pPr>
              <w:rPr>
                <w:rFonts w:hint="default"/>
                <w:vertAlign w:val="baseline"/>
                <w:lang w:val="en-US" w:eastAsia="zh-CN"/>
              </w:rPr>
            </w:pPr>
          </w:p>
        </w:tc>
      </w:tr>
      <w:tr w14:paraId="7F3AD5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rPr>
          <w:jc w:val="center"/>
        </w:trPr>
        <w:tc>
          <w:tcPr>
            <w:tcW w:w="1786" w:type="dxa"/>
            <w:tcBorders>
              <w:tl2br w:val="nil"/>
              <w:tr2bl w:val="nil"/>
            </w:tcBorders>
          </w:tcPr>
          <w:p w14:paraId="02BFD4F1">
            <w:pPr>
              <w:rPr>
                <w:rFonts w:hint="eastAsia"/>
                <w:lang w:val="en-US" w:eastAsia="zh-CN"/>
              </w:rPr>
            </w:pPr>
            <w:r>
              <w:rPr>
                <w:rFonts w:hint="default"/>
                <w:lang w:val="en-US" w:eastAsia="zh-CN"/>
              </w:rPr>
              <w:t>Morgan</w:t>
            </w:r>
          </w:p>
        </w:tc>
        <w:tc>
          <w:tcPr>
            <w:tcW w:w="1638" w:type="dxa"/>
            <w:tcBorders>
              <w:tl2br w:val="nil"/>
              <w:tr2bl w:val="nil"/>
            </w:tcBorders>
          </w:tcPr>
          <w:p w14:paraId="235A28F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17D50701">
            <w:pPr>
              <w:rPr>
                <w:rFonts w:hint="default"/>
                <w:vertAlign w:val="baseline"/>
                <w:lang w:val="en-US" w:eastAsia="zh-CN"/>
              </w:rPr>
            </w:pPr>
          </w:p>
        </w:tc>
        <w:tc>
          <w:tcPr>
            <w:tcW w:w="1575" w:type="dxa"/>
            <w:tcBorders>
              <w:tl2br w:val="nil"/>
              <w:tr2bl w:val="nil"/>
            </w:tcBorders>
          </w:tcPr>
          <w:p w14:paraId="25781416">
            <w:pPr>
              <w:rPr>
                <w:rFonts w:hint="default"/>
                <w:vertAlign w:val="baseline"/>
                <w:lang w:val="en-US" w:eastAsia="zh-CN"/>
              </w:rPr>
            </w:pPr>
            <w:r>
              <w:rPr>
                <w:rFonts w:hint="eastAsia"/>
                <w:vertAlign w:val="baseline"/>
                <w:lang w:val="en-US" w:eastAsia="zh-CN"/>
              </w:rPr>
              <w:t>√</w:t>
            </w:r>
          </w:p>
        </w:tc>
      </w:tr>
    </w:tbl>
    <w:p w14:paraId="543C034C">
      <w:pPr>
        <w:ind w:left="0" w:leftChars="0" w:firstLine="0" w:firstLineChars="0"/>
        <w:rPr>
          <w:rFonts w:hint="default"/>
          <w:lang w:val="en-US" w:eastAsia="zh-CN"/>
        </w:rPr>
      </w:pPr>
    </w:p>
    <w:p w14:paraId="793FBA7A">
      <w:pPr>
        <w:bidi w:val="0"/>
      </w:pPr>
      <w:r>
        <w:rPr>
          <w:rFonts w:hint="default"/>
        </w:rPr>
        <w:t>AtomPairs</w:t>
      </w:r>
      <w:r>
        <w:t>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02498C8B">
      <w:pPr>
        <w:bidi w:val="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E1FD8E">
      <w:pPr>
        <w:bidi w:val="0"/>
        <m:rPr/>
        <w:rPr>
          <w:rFonts w:hint="default" w:hAnsi="Cambria Math" w:cs="Times New Roman"/>
          <w:i w:val="0"/>
          <w:kern w:val="2"/>
          <w:sz w:val="21"/>
          <w:szCs w:val="24"/>
          <w:lang w:val="en-US" w:eastAsia="zh-CN" w:bidi="ar-SA"/>
        </w:rPr>
      </w:pPr>
      <m:oMathPara>
        <m:oMath>
          <m:r>
            <m:rPr/>
            <w:rPr>
              <w:rFonts w:hint="default" w:ascii="Cambria Math" w:hAnsi="Cambria Math" w:eastAsia="sans-serif"/>
              <w:sz w:val="24"/>
            </w:rPr>
            <m:t>Output=σ(W⋅[</m:t>
          </m:r>
          <m:r>
            <m:rPr/>
            <w:rPr>
              <w:rFonts w:hint="default" w:ascii="Cambria Math" w:hAnsi="Cambria Math" w:eastAsia="宋体"/>
              <w:sz w:val="24"/>
              <w:lang w:val="en-US" w:eastAsia="zh-CN"/>
            </w:rPr>
            <m:t>A</m:t>
          </m:r>
          <m:r>
            <m:rPr/>
            <w:rPr>
              <w:rFonts w:hint="default" w:ascii="Cambria Math" w:hAnsi="Cambria Math" w:eastAsia="sans-serif"/>
              <w:sz w:val="24"/>
            </w:rPr>
            <m:t>(x),B(x),C(x)]+b)</m:t>
          </m:r>
        </m:oMath>
      </m:oMathPara>
    </w:p>
    <w:p w14:paraId="6DB75378">
      <w:pPr>
        <w:bidi w:val="0"/>
      </w:pPr>
      <w:r>
        <w:rPr>
          <w:lang w:val="en-US" w:eastAsia="zh-CN"/>
        </w:rPr>
        <w:t>式中：</w:t>
      </w:r>
      <m:oMath>
        <m:r>
          <m:rPr/>
          <w:rPr>
            <w:rFonts w:hint="default" w:ascii="Cambria Math" w:hAnsi="Cambria Math" w:eastAsia="宋体"/>
            <w:sz w:val="24"/>
            <w:lang w:val="en-US" w:eastAsia="zh-CN"/>
          </w:rPr>
          <m:t>A</m:t>
        </m:r>
        <m:r>
          <m:rPr/>
          <w:rPr>
            <w:rFonts w:hint="default" w:ascii="Cambria Math" w:hAnsi="Cambria Math" w:eastAsia="sans-serif"/>
            <w:sz w:val="24"/>
          </w:rPr>
          <m:t>(x)</m:t>
        </m:r>
      </m:oMath>
      <w:r>
        <w:rPr>
          <w:lang w:val="en-US" w:eastAsia="zh-CN"/>
        </w:rPr>
        <w:t>代表AtomPairs指纹，</w:t>
      </w:r>
      <m:oMath>
        <m:r>
          <m:rPr>
            <m:sty m:val="p"/>
          </m:rPr>
          <w:rPr>
            <w:rFonts w:hint="default" w:ascii="Times New Roman" w:hAnsi="Times New Roman"/>
          </w:rPr>
          <m:t>B(x)</m:t>
        </m:r>
      </m:oMath>
      <w:r>
        <w:rPr>
          <w:lang w:val="en-US" w:eastAsia="zh-CN"/>
        </w:rPr>
        <w:t>指代MACCS指纹，</w:t>
      </w:r>
      <m:oMath>
        <m:r>
          <m:rPr>
            <m:sty m:val="p"/>
          </m:rPr>
          <w:rPr>
            <w:rFonts w:hint="default" w:ascii="Times New Roman" w:hAnsi="Times New Roman"/>
          </w:rPr>
          <m:t>C(x)</m:t>
        </m:r>
      </m:oMath>
      <w:r>
        <w:rPr>
          <w:lang w:val="en-US" w:eastAsia="zh-CN"/>
        </w:rPr>
        <w:t>为Morgan指纹；</w:t>
      </w:r>
      <m:oMath>
        <m:r>
          <m:rPr>
            <m:sty m:val="p"/>
          </m:rPr>
          <w:rPr>
            <w:rFonts w:hint="default" w:ascii="Times New Roman" w:hAnsi="Times New Roman"/>
          </w:rPr>
          <m:t>σ</m:t>
        </m:r>
      </m:oMath>
      <w:r>
        <w:rPr>
          <w:lang w:val="en-US" w:eastAsia="zh-CN"/>
        </w:rPr>
        <w:t>表示ReLU激活函数，</w:t>
      </w:r>
      <m:oMath>
        <m:r>
          <m:rPr>
            <m:sty m:val="p"/>
          </m:rPr>
          <w:rPr>
            <w:rFonts w:hint="default" w:ascii="Times New Roman" w:hAnsi="Times New Roman"/>
          </w:rPr>
          <m:t>W</m:t>
        </m:r>
      </m:oMath>
      <w:r>
        <w:rPr>
          <w:lang w:val="en-US" w:eastAsia="zh-CN"/>
        </w:rPr>
        <w:t>与</w:t>
      </w:r>
      <m:oMath>
        <m:r>
          <m:rPr>
            <m:sty m:val="p"/>
          </m:rPr>
          <w:rPr>
            <w:rFonts w:hint="default" w:ascii="Times New Roman" w:hAnsi="Times New Roman"/>
          </w:rPr>
          <m:t>b</m:t>
        </m:r>
      </m:oMath>
      <w:r>
        <w:rPr>
          <w:lang w:val="en-US" w:eastAsia="zh-CN"/>
        </w:rPr>
        <w:t>分别对应权重矩阵及偏置向量。</w:t>
      </w:r>
    </w:p>
    <w:p w14:paraId="670561D1">
      <w:pPr>
        <w:pStyle w:val="4"/>
        <w:bidi w:val="0"/>
        <w:ind w:left="210" w:leftChars="0" w:firstLineChars="0"/>
        <w:rPr>
          <w:rFonts w:hint="default"/>
          <w:lang w:val="en-US" w:eastAsia="zh-CN"/>
        </w:rPr>
      </w:pPr>
      <w:r>
        <w:rPr>
          <w:rFonts w:hint="eastAsia"/>
          <w:lang w:val="en-US" w:eastAsia="zh-CN"/>
        </w:rPr>
        <w:t>序列编码器</w:t>
      </w:r>
    </w:p>
    <w:p w14:paraId="5A11323B">
      <w:pPr>
        <w:rPr>
          <w:rFonts w:hint="default"/>
          <w:lang w:val="en-US" w:eastAsia="zh-CN"/>
        </w:rPr>
      </w:pPr>
      <w:r>
        <w:rPr>
          <w:rFonts w:hint="default"/>
          <w:lang w:val="en-US" w:eastAsia="zh-CN"/>
        </w:rP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Para>
        <m:oMath>
          <m:sSub>
            <m:sSubPr>
              <m:ctrlPr>
                <w:rPr>
                  <w:rFonts w:hint="default" w:ascii="Cambria Math"/>
                </w:rPr>
              </m:ctrlPr>
            </m:sSubPr>
            <m:e>
              <m:r>
                <m:rPr/>
                <w:rPr>
                  <w:rFonts w:hint="default" w:ascii="Cambria Math"/>
                </w:rPr>
                <m:t>F</m:t>
              </m:r>
            </m:e>
            <m:sub>
              <m:r>
                <m:rPr/>
                <w:rPr>
                  <w:rFonts w:hint="default" w:ascii="Cambria Math"/>
                </w:rPr>
                <m:t>s</m:t>
              </m:r>
            </m:sub>
          </m:sSub>
        </m:oMath>
      </m:oMathPara>
      <w:r>
        <w:rPr>
          <w:rFonts w:hint="default"/>
          <w:lang w:val="en-US" w:eastAsia="zh-CN"/>
        </w:rPr>
        <w:t xml:space="preserve">，随后经由全连接层映射至与图特征 </w:t>
      </w:r>
      <m:oMathPara>
        <m:oMath>
          <m:sSub>
            <m:sSubPr>
              <m:ctrlPr>
                <w:rPr>
                  <w:rFonts w:hint="default" w:ascii="Cambria Math"/>
                </w:rPr>
              </m:ctrlPr>
            </m:sSubPr>
            <m:e>
              <m:r>
                <m:rPr/>
                <w:rPr>
                  <w:rFonts w:hint="default" w:ascii="Cambria Math"/>
                </w:rPr>
                <m:t>F</m:t>
              </m:r>
            </m:e>
            <m:sub>
              <m:r>
                <m:rPr/>
                <w:rPr>
                  <w:rFonts w:hint="default" w:ascii="Cambria Math"/>
                </w:rPr>
                <m:t>g</m:t>
              </m:r>
            </m:sub>
          </m:sSub>
        </m:oMath>
      </m:oMathPara>
      <w:r>
        <w:rPr>
          <w:rFonts w:hint="default"/>
          <w:lang w:val="en-US" w:eastAsia="zh-CN"/>
        </w:rPr>
        <w:t>等维的语义空间，为后续的跨模态对齐奠定维度基础。</w:t>
      </w:r>
    </w:p>
    <w:p w14:paraId="5B6CBE39">
      <w:pPr>
        <w:pStyle w:val="4"/>
        <w:bidi w:val="0"/>
        <w:ind w:left="210" w:leftChars="0" w:firstLineChars="0"/>
        <w:rPr>
          <w:rFonts w:hint="default"/>
          <w:lang w:val="en-US" w:eastAsia="zh-CN"/>
        </w:rPr>
      </w:pPr>
      <w:r>
        <w:rPr>
          <w:rFonts w:hint="eastAsia"/>
          <w:lang w:val="en-US" w:eastAsia="zh-CN"/>
        </w:rPr>
        <w:t>文本编码器模块</w:t>
      </w:r>
    </w:p>
    <w:p w14:paraId="3CAF7708">
      <w:pPr>
        <w:jc w:val="both"/>
        <w:rPr>
          <w:rFonts w:hint="eastAsia"/>
          <w:lang w:val="en-US" w:eastAsia="zh-CN"/>
        </w:rPr>
      </w:pPr>
      <w:r>
        <w:rPr>
          <w:rFonts w:hint="default"/>
          <w:lang w:val="en-US" w:eastAsia="zh-CN"/>
        </w:rPr>
        <w:t>该模块实现了本文核心创新点之一：知识增强重写。</w:t>
      </w:r>
      <w:r>
        <w:rPr>
          <w:rFonts w:hint="eastAsia"/>
          <w:lang w:val="en-US" w:eastAsia="zh-CN"/>
        </w:rPr>
        <w:t>针对原始数据库文本可能存在的噪声干扰与信息冗余，本文设计了如下处理链路：</w:t>
      </w:r>
    </w:p>
    <w:p w14:paraId="22AACF06">
      <w:pPr>
        <w:numPr>
          <w:ilvl w:val="0"/>
          <w:numId w:val="4"/>
        </w:numPr>
        <w:jc w:val="both"/>
        <w:rPr>
          <w:rFonts w:hint="eastAsia"/>
          <w:lang w:val="en-US" w:eastAsia="zh-CN"/>
        </w:rPr>
      </w:pPr>
      <w:r>
        <w:rPr>
          <w:rFonts w:hint="eastAsia"/>
          <w:lang w:val="en-US" w:eastAsia="zh-CN"/>
        </w:rPr>
        <w:t>知识注入：利用 PubChem API 获取原始描述，并融合由 RDKit 计算得出的</w:t>
      </w:r>
      <w:r>
        <w:rPr>
          <w:rFonts w:hint="eastAsia"/>
          <w:color w:val="FF0000"/>
          <w:lang w:val="en-US" w:eastAsia="zh-CN"/>
        </w:rPr>
        <w:t>12</w:t>
      </w:r>
      <w:r>
        <w:rPr>
          <w:rFonts w:hint="eastAsia"/>
          <w:lang w:val="en-US" w:eastAsia="zh-CN"/>
        </w:rPr>
        <w:t>项关键理化指标（如 LogP、TPSA 等）。</w:t>
      </w:r>
    </w:p>
    <w:p w14:paraId="2490DD16">
      <w:pPr>
        <w:numPr>
          <w:ilvl w:val="0"/>
          <w:numId w:val="4"/>
        </w:numPr>
        <w:jc w:val="both"/>
        <w:rPr>
          <w:rFonts w:hint="default"/>
          <w:lang w:val="en-US" w:eastAsia="zh-CN"/>
        </w:rPr>
      </w:pPr>
      <w:r>
        <w:rPr>
          <w:rFonts w:hint="eastAsia"/>
          <w:lang w:val="en-US" w:eastAsia="zh-CN"/>
        </w:rPr>
        <w:t>LLM 重写：利用大语言模型充当领域专家，将定量的理化数值与定性的文本描述有机融合，生成逻辑严密、去噪后的高质量文本。</w:t>
      </w:r>
    </w:p>
    <w:p w14:paraId="7983D170">
      <w:pPr>
        <w:numPr>
          <w:ilvl w:val="0"/>
          <w:numId w:val="4"/>
        </w:numPr>
        <w:jc w:val="both"/>
        <w:rPr>
          <w:rFonts w:hint="default"/>
          <w:lang w:val="en-US" w:eastAsia="zh-CN"/>
        </w:rPr>
      </w:pPr>
      <w:r>
        <w:rPr>
          <w:rFonts w:hint="eastAsia"/>
          <w:lang w:val="en-US" w:eastAsia="zh-CN"/>
        </w:rPr>
        <w:t xml:space="preserve">语义编码：重写后的文本被送入预训练 SciBERT 编码器。得益于其在海量科学文献上的预训练先验，SciBERT 能够敏锐捕捉分子描述中的专业术语语义，最终输出高密度的文本特征向量 </w:t>
      </w:r>
      <m:oMathPara>
        <m:oMath>
          <m:sSub>
            <m:sSubPr>
              <m:ctrlPr>
                <w:rPr>
                  <w:rFonts w:hint="default" w:ascii="Cambria Math"/>
                </w:rPr>
              </m:ctrlPr>
            </m:sSubPr>
            <m:e>
              <m:r>
                <m:rPr/>
                <w:rPr>
                  <w:rFonts w:hint="default" w:ascii="Cambria Math"/>
                </w:rPr>
                <m:t>F</m:t>
              </m:r>
            </m:e>
            <m:sub>
              <m:r>
                <m:rPr/>
                <w:rPr>
                  <w:rFonts w:hint="default" w:ascii="Cambria Math"/>
                </w:rPr>
                <m:t>t</m:t>
              </m:r>
            </m:sub>
          </m:sSub>
        </m:oMath>
      </m:oMathPara>
      <w:r>
        <w:rPr>
          <w:rFonts w:hint="eastAsia"/>
          <w:lang w:val="en-US" w:eastAsia="zh-CN"/>
        </w:rPr>
        <w:t>。</w:t>
      </w:r>
    </w:p>
    <w:p w14:paraId="063DB7DA">
      <w:pPr>
        <w:numPr>
          <w:numId w:val="0"/>
        </w:numPr>
        <w:ind w:leftChars="200"/>
        <w:jc w:val="both"/>
        <w:rPr>
          <w:rFonts w:hint="default"/>
          <w:lang w:val="en-US" w:eastAsia="zh-CN"/>
        </w:rPr>
      </w:pPr>
      <w:r>
        <w:rPr>
          <w:rFonts w:hint="eastAsia"/>
          <w:lang w:val="en-US" w:eastAsia="zh-CN"/>
        </w:rPr>
        <w:t>具体的构建流程见实验设计预训练数据章节。</w:t>
      </w:r>
    </w:p>
    <w:p w14:paraId="2CB3DBC5">
      <w:pPr>
        <w:pStyle w:val="4"/>
        <w:bidi w:val="0"/>
        <w:ind w:left="210" w:leftChars="0" w:firstLineChars="0"/>
        <w:jc w:val="both"/>
        <w:rPr>
          <w:rFonts w:hint="default"/>
          <w:lang w:val="en-US" w:eastAsia="zh-CN"/>
        </w:rPr>
      </w:pPr>
      <w:r>
        <w:rPr>
          <w:rFonts w:hint="eastAsia"/>
          <w:lang w:val="en-US" w:eastAsia="zh-CN"/>
        </w:rPr>
        <w:t>融合与预测模块</w:t>
      </w:r>
    </w:p>
    <w:p w14:paraId="6CB67CDE">
      <w:pPr>
        <w:rPr>
          <w:rFonts w:hint="default"/>
          <w:lang w:val="en-US" w:eastAsia="zh-CN"/>
        </w:rPr>
      </w:pPr>
      <w:r>
        <w:rPr>
          <w:rFonts w:hint="default"/>
          <w:lang w:val="en-US" w:eastAsia="zh-CN"/>
        </w:rPr>
        <w:t>在下游任务微调阶段，模型通过交叉注意力机制实现多模态信息的自适应融合。动态加权融合</w:t>
      </w:r>
      <w:r>
        <w:rPr>
          <w:rFonts w:hint="eastAsia"/>
          <w:lang w:val="en-US" w:eastAsia="zh-CN"/>
        </w:rPr>
        <w:t>机制允许</w:t>
      </w:r>
      <w:r>
        <w:rPr>
          <w:rFonts w:hint="default"/>
          <w:lang w:val="en-US" w:eastAsia="zh-CN"/>
        </w:rPr>
        <w:t>模型根据不同性质预测任务的需求，自动学习不同模态特征</w:t>
      </w:r>
      <m:oMathPara>
        <m:oMath>
          <m:r>
            <m:rPr>
              <m:sty m:val="p"/>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g</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s</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f</m:t>
              </m:r>
            </m:sub>
          </m:sSub>
          <m:r>
            <m:rPr/>
            <w:rPr>
              <w:rFonts w:hint="default" w:ascii="Cambria Math"/>
            </w:rPr>
            <m:t>,</m:t>
          </m:r>
          <m:sSub>
            <m:sSubPr>
              <m:ctrlPr>
                <w:rPr>
                  <w:rFonts w:hint="default" w:ascii="Cambria Math"/>
                </w:rPr>
              </m:ctrlPr>
            </m:sSubPr>
            <m:e>
              <m:r>
                <m:rPr/>
                <w:rPr>
                  <w:rFonts w:hint="default" w:ascii="Cambria Math"/>
                </w:rPr>
                <m:t>F</m:t>
              </m:r>
            </m:e>
            <m:sub>
              <m:r>
                <m:rPr/>
                <w:rPr>
                  <w:rFonts w:hint="default" w:ascii="Cambria Math"/>
                </w:rPr>
                <m:t>t</m:t>
              </m:r>
            </m:sub>
          </m:sSub>
          <m:r>
            <m:rPr>
              <m:sty m:val="p"/>
            </m:rPr>
            <w:rPr>
              <w:rFonts w:hint="default" w:ascii="Cambria Math"/>
            </w:rPr>
            <m:t>）</m:t>
          </m:r>
        </m:oMath>
      </m:oMathPara>
      <w:r>
        <w:rPr>
          <w:rFonts w:hint="default"/>
          <w:lang w:val="en-US" w:eastAsia="zh-CN"/>
        </w:rPr>
        <w:t>的重要性权重</w:t>
      </w:r>
      <m:oMathPara>
        <m:oMath>
          <m:sSub>
            <m:sSubPr>
              <m:ctrlPr>
                <w:rPr>
                  <w:rFonts w:hint="default" w:ascii="Cambria Math"/>
                </w:rPr>
              </m:ctrlPr>
            </m:sSubPr>
            <m:e>
              <m:r>
                <m:rPr/>
                <w:rPr>
                  <w:rFonts w:hint="default" w:ascii="Cambria Math"/>
                </w:rPr>
                <m:t>W</m:t>
              </m:r>
            </m:e>
            <m:sub>
              <m:r>
                <m:rPr/>
                <w:rPr>
                  <w:rFonts w:hint="default" w:ascii="Cambria Math"/>
                </w:rPr>
                <m:t>m</m:t>
              </m:r>
            </m:sub>
          </m:sSub>
        </m:oMath>
      </m:oMathPara>
      <w:r>
        <w:rPr>
          <w:rFonts w:hint="default"/>
          <w:lang w:val="en-US" w:eastAsia="zh-CN"/>
        </w:rPr>
        <w:t>。性质预测：融合后的全景分子表征被输入至由多层全连接网络构成的预测头（MLP Head），最终输出分子的理化性质或生物活性预测值</w:t>
      </w:r>
      <m:oMathPara>
        <m:oMath>
          <m:sSub>
            <m:sSubPr>
              <m:ctrlPr>
                <w:rPr>
                  <w:rFonts w:hint="default" w:ascii="Cambria Math"/>
                </w:rPr>
              </m:ctrlPr>
            </m:sSubPr>
            <m:e>
              <m:r>
                <m:rPr/>
                <w:rPr>
                  <w:rFonts w:hint="default" w:ascii="Cambria Math"/>
                </w:rPr>
                <m:t>Y</m:t>
              </m:r>
            </m:e>
            <m:sub>
              <m:r>
                <m:rPr/>
                <w:rPr>
                  <w:rFonts w:hint="default" w:ascii="Cambria Math"/>
                </w:rPr>
                <m:t>pred</m:t>
              </m:r>
            </m:sub>
          </m:sSub>
        </m:oMath>
      </m:oMathPara>
      <w:r>
        <w:rPr>
          <w:rFonts w:hint="default"/>
          <w:lang w:val="en-US" w:eastAsia="zh-CN"/>
        </w:rPr>
        <w:t>。</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pageBreakBefore w:val="0"/>
        <w:kinsoku/>
        <w:wordWrap/>
        <w:overflowPunct/>
        <w:topLinePunct w:val="0"/>
        <w:autoSpaceDE/>
        <w:autoSpaceDN/>
        <w:bidi w:val="0"/>
        <w:adjustRightInd/>
        <w:spacing w:beforeAutospacing="0" w:afterAutospacing="0" w:line="360" w:lineRule="auto"/>
        <w:ind w:left="919" w:leftChars="0" w:hanging="709" w:firstLineChars="0"/>
        <w:textAlignment w:val="auto"/>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53D4A73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ind w:left="210" w:leftChars="0" w:firstLineChars="0"/>
        <w:rPr>
          <w:rFonts w:hint="default"/>
          <w:lang w:val="en-US" w:eastAsia="zh-CN"/>
        </w:rPr>
      </w:pPr>
      <w:r>
        <w:rPr>
          <w:rFonts w:hint="eastAsia"/>
          <w:lang w:val="en-US" w:eastAsia="zh-CN"/>
        </w:rPr>
        <w:t>下游数据集介绍</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840"/>
        <w:gridCol w:w="2841"/>
        <w:gridCol w:w="2841"/>
      </w:tblGrid>
      <w:tr w14:paraId="1804C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vAlign w:val="top"/>
          </w:tcPr>
          <w:p w14:paraId="7287328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1" name="图片 11"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SOL_Distribution"/>
                          <pic:cNvPicPr>
                            <a:picLocks noChangeAspect="1"/>
                          </pic:cNvPicPr>
                        </pic:nvPicPr>
                        <pic:blipFill>
                          <a:blip r:embed="rId7"/>
                          <a:stretch>
                            <a:fillRect/>
                          </a:stretch>
                        </pic:blipFill>
                        <pic:spPr>
                          <a:xfrm>
                            <a:off x="0" y="0"/>
                            <a:ext cx="1663700" cy="1385570"/>
                          </a:xfrm>
                          <a:prstGeom prst="rect">
                            <a:avLst/>
                          </a:prstGeom>
                        </pic:spPr>
                      </pic:pic>
                    </a:graphicData>
                  </a:graphic>
                </wp:inline>
              </w:drawing>
            </w:r>
          </w:p>
        </w:tc>
        <w:tc>
          <w:tcPr>
            <w:tcW w:w="2841" w:type="dxa"/>
          </w:tcPr>
          <w:p w14:paraId="2E6ED4E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2" name="图片 12"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reeSolv_Distribution"/>
                          <pic:cNvPicPr>
                            <a:picLocks noChangeAspect="1"/>
                          </pic:cNvPicPr>
                        </pic:nvPicPr>
                        <pic:blipFill>
                          <a:blip r:embed="rId8"/>
                          <a:stretch>
                            <a:fillRect/>
                          </a:stretch>
                        </pic:blipFill>
                        <pic:spPr>
                          <a:xfrm>
                            <a:off x="0" y="0"/>
                            <a:ext cx="1663700" cy="1385570"/>
                          </a:xfrm>
                          <a:prstGeom prst="rect">
                            <a:avLst/>
                          </a:prstGeom>
                        </pic:spPr>
                      </pic:pic>
                    </a:graphicData>
                  </a:graphic>
                </wp:inline>
              </w:drawing>
            </w:r>
          </w:p>
        </w:tc>
        <w:tc>
          <w:tcPr>
            <w:tcW w:w="2841" w:type="dxa"/>
          </w:tcPr>
          <w:p w14:paraId="081A173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6840"/>
                  <wp:effectExtent l="0" t="0" r="12700" b="0"/>
                  <wp:docPr id="13" name="图片 13"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pophilicity_Distribution"/>
                          <pic:cNvPicPr>
                            <a:picLocks noChangeAspect="1"/>
                          </pic:cNvPicPr>
                        </pic:nvPicPr>
                        <pic:blipFill>
                          <a:blip r:embed="rId9"/>
                          <a:stretch>
                            <a:fillRect/>
                          </a:stretch>
                        </pic:blipFill>
                        <pic:spPr>
                          <a:xfrm>
                            <a:off x="0" y="0"/>
                            <a:ext cx="1663700" cy="1386840"/>
                          </a:xfrm>
                          <a:prstGeom prst="rect">
                            <a:avLst/>
                          </a:prstGeom>
                        </pic:spPr>
                      </pic:pic>
                    </a:graphicData>
                  </a:graphic>
                </wp:inline>
              </w:drawing>
            </w:r>
          </w:p>
        </w:tc>
      </w:tr>
    </w:tbl>
    <w:p w14:paraId="281F4A9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2D9AC9CE">
      <w:pPr>
        <w:pStyle w:val="4"/>
        <w:bidi w:val="0"/>
        <w:ind w:left="210" w:leftChars="0" w:firstLineChars="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ind w:left="210" w:leftChars="0" w:firstLineChars="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j</m:t>
            </m:r>
            <m:ctrlPr>
              <w:rPr>
                <w:rFonts w:hint="default" w:ascii="Cambria Math"/>
              </w:rPr>
            </m:ctrlPr>
          </m:sub>
        </m:sSub>
      </m:oMath>
      <w:r>
        <w:rPr>
          <w:rFonts w:hint="eastAsia"/>
          <w:lang w:val="en-US" w:eastAsia="zh-CN"/>
        </w:rPr>
        <w:t>为归一化后的特征向量，</w:t>
      </w:r>
      <m:oMath>
        <m:r>
          <m:rPr/>
          <w:rPr>
            <w:rFonts w:hint="default" w:ascii="Cambria Math"/>
          </w:rPr>
          <m:t>sim(⋅,⋅)</m:t>
        </m:r>
      </m:oMath>
      <w:r>
        <w:rPr>
          <w:rFonts w:hint="eastAsia"/>
          <w:lang w:val="en-US" w:eastAsia="zh-CN"/>
        </w:rPr>
        <w:t>表示余弦相似度，</w:t>
      </w:r>
      <m:oMath>
        <m:r>
          <m:rPr/>
          <w:rPr>
            <w:rFonts w:hint="default" w:ascii="Cambria Math"/>
          </w:rPr>
          <m:t>τ</m:t>
        </m:r>
      </m:oMath>
      <w:r>
        <w:rPr>
          <w:rFonts w:hint="eastAsia"/>
          <w:lang w:val="en-US" w:eastAsia="zh-CN"/>
        </w:rPr>
        <w:t>为温度系数，</w:t>
      </w:r>
      <m:oMath>
        <m:r>
          <m:rPr/>
          <w:rPr>
            <w:rFonts w:hint="default" w:ascii="Cambria Math"/>
          </w:rPr>
          <m:t>B</m:t>
        </m:r>
      </m:oMath>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
        <m:r>
          <m:rPr/>
          <w:rPr>
            <w:rFonts w:hint="default" w:ascii="Cambria Math"/>
          </w:rPr>
          <m:t>i</m:t>
        </m:r>
      </m:oMath>
      <w:r>
        <w:rPr>
          <w:rFonts w:hint="eastAsia"/>
          <w:lang w:val="en-US" w:eastAsia="zh-CN"/>
        </w:rPr>
        <w:t>个分子样本在模态</w:t>
      </w:r>
      <m:oMath>
        <m:r>
          <m:rPr/>
          <w:rPr>
            <w:rFonts w:hint="default" w:ascii="Cambria Math"/>
          </w:rPr>
          <m:t>m∈{S,F,T}</m:t>
        </m:r>
      </m:oMath>
      <w:r>
        <w:rPr>
          <w:rFonts w:hint="eastAsia"/>
          <w:lang w:val="en-US" w:eastAsia="zh-CN"/>
        </w:rPr>
        <w:t>下的表示为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(m)</m:t>
            </m:r>
            <m:ctrlPr>
              <w:rPr>
                <w:rFonts w:hint="default" w:ascii="Cambria Math"/>
              </w:rPr>
            </m:ctrlPr>
          </m:sup>
        </m:sSubSup>
      </m:oMath>
      <w:r>
        <w:rPr>
          <w:rFonts w:hint="eastAsia"/>
          <w:lang w:val="en-US" w:eastAsia="zh-CN"/>
        </w:rPr>
        <w:t>，Graph模态表示为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(G)</m:t>
            </m:r>
            <m:ctrlPr>
              <w:rPr>
                <w:rFonts w:hint="default" w:ascii="Cambria Math"/>
              </w:rPr>
            </m:ctrlPr>
          </m:sup>
        </m:sSubSup>
      </m:oMath>
      <w:r>
        <w:rPr>
          <w:rFonts w:hint="eastAsia"/>
          <w:lang w:val="en-US" w:eastAsia="zh-CN"/>
        </w:rPr>
        <w:t>。为了确保对齐的对称性，本文定义双向对比损失</w:t>
      </w:r>
      <m:oMath>
        <m:sSub>
          <m:sSubPr>
            <m:ctrlPr>
              <w:rPr>
                <w:rFonts w:hint="default" w:ascii="Cambria Math"/>
              </w:rPr>
            </m:ctrlPr>
          </m:sSubPr>
          <m:e>
            <m:r>
              <m:rPr>
                <m:scr m:val="script"/>
              </m:rPr>
              <w:rPr>
                <w:rFonts w:hint="default" w:ascii="Cambria Math"/>
              </w:rPr>
              <m:t>ℒ</m:t>
            </m:r>
            <m:ctrlPr>
              <w:rPr>
                <w:rFonts w:hint="default" w:ascii="Cambria Math"/>
              </w:rPr>
            </m:ctrlPr>
          </m:e>
          <m:sub>
            <m:r>
              <m:rPr/>
              <w:rPr>
                <w:rFonts w:hint="default" w:ascii="Cambria Math"/>
              </w:rPr>
              <m:t>G,m</m:t>
            </m:r>
            <m:ctrlPr>
              <w:rPr>
                <w:rFonts w:hint="default" w:ascii="Cambria Math"/>
              </w:rPr>
            </m:ctrlPr>
          </m:sub>
        </m:sSub>
      </m:oMath>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w:t>
      </w:r>
      <m:oMathPara>
        <m:oMath>
          <m:r>
            <m:rPr/>
            <w:rPr>
              <w:rFonts w:hint="default" w:ascii="Cambria Math"/>
            </w:rPr>
            <m:t>m</m:t>
          </m:r>
        </m:oMath>
      </m:oMathPara>
      <w:r>
        <w:rPr>
          <w:rFonts w:hint="eastAsia"/>
          <w:lang w:val="en-US" w:eastAsia="zh-CN"/>
        </w:rPr>
        <w:t>的单向对比损失定义为：</w:t>
      </w:r>
    </w:p>
    <w:p w14:paraId="3824D8F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w:r>
        <w:rPr>
          <w:rFonts w:hint="eastAsia"/>
          <w:lang w:val="en-US" w:eastAsia="zh-CN"/>
        </w:rPr>
        <w:t>时，由于各模态的信息熵与噪声水平存在显著差异，采用静态等权重加权（如</w:t>
      </w:r>
      <m:oMath>
        <m:r>
          <m:rPr/>
          <w:rPr>
            <w:rFonts w:hint="default" w:ascii="Cambria Math"/>
          </w:rPr>
          <m:t>1:1:1</m:t>
        </m:r>
      </m:oMath>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up>
                <m:r>
                  <m:rPr>
                    <m:sty m:val="p"/>
                  </m:rPr>
                  <w:rPr>
                    <w:rFonts w:hint="default" w:ascii="Times New Roman" w:hAnsi="Times New Roman"/>
                  </w:rPr>
                  <m:t>2</m:t>
                </m:r>
                <m:ctrlPr>
                  <w:rPr>
                    <w:rFonts w:hint="default" w:ascii="Cambria Math" w:hAnsi="Cambria Math"/>
                  </w:rPr>
                </m:ctrlPr>
              </m:sup>
            </m:sSubSup>
            <m:ctrlPr>
              <w:rPr>
                <w:rFonts w:hint="default" w:ascii="Cambria Math" w:hAnsi="Cambria Math"/>
              </w:rPr>
            </m:ctrlPr>
          </m:den>
        </m:f>
      </m:oMath>
      <w:r>
        <w:rPr>
          <w:rFonts w:hint="eastAsia"/>
          <w:lang w:val="en-US" w:eastAsia="zh-CN"/>
        </w:rPr>
        <w:t>项充当动态权重。当某一模态对齐任务表现出较高的不确定性或存在较大噪声时，模型会自动增大</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
        <m:func>
          <m:funcPr>
            <m:ctrlPr>
              <w:rPr>
                <w:rFonts w:hint="default" w:ascii="Cambria Math" w:hAnsi="Cambria Math"/>
              </w:rPr>
            </m:ctrlPr>
          </m:funcPr>
          <m:fName>
            <m:r>
              <m:rPr>
                <m:sty m:val="p"/>
              </m:rPr>
              <w:rPr>
                <w:rFonts w:hint="default" w:ascii="Times New Roman" w:hAnsi="Times New Roman"/>
              </w:rPr>
              <m:t>log</m:t>
            </m:r>
            <m:ctrlPr>
              <w:rPr>
                <w:rFonts w:hint="default" w:ascii="Cambria Math" w:hAnsi="Cambria Math"/>
              </w:rPr>
            </m:ctrlPr>
          </m:fName>
          <m:e>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ctrlPr>
              <w:rPr>
                <w:rFonts w:hint="default" w:ascii="Cambria Math" w:hAnsi="Cambria Math"/>
              </w:rPr>
            </m:ctrlPr>
          </m:e>
        </m:func>
      </m:oMath>
      <w:r>
        <w:rPr>
          <w:rFonts w:hint="eastAsia"/>
          <w:lang w:val="en-US" w:eastAsia="zh-CN"/>
        </w:rPr>
        <w:t>项作为正则化因子，防止</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ind w:left="210" w:leftChars="0" w:firstLineChars="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ind w:left="210" w:leftChars="0" w:firstLineChars="0"/>
        <w:rPr>
          <w:rFonts w:hint="eastAsia"/>
          <w:lang w:val="en-US" w:eastAsia="zh-CN"/>
        </w:rPr>
      </w:pPr>
      <w:r>
        <w:rPr>
          <w:rFonts w:hint="eastAsia"/>
          <w:lang w:val="en-US" w:eastAsia="zh-CN"/>
        </w:rPr>
        <w:t>对比实验</w:t>
      </w:r>
    </w:p>
    <w:p w14:paraId="3E8A1B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 MoleculeNet 上的9个分子性质预测数据集，进行了多维度的实验和评估。</w:t>
      </w:r>
      <w:r>
        <w:rPr>
          <w:rFonts w:hint="eastAsia" w:ascii="Times New Roman" w:hAnsi="Times New Roman" w:eastAsia="宋体" w:cs="Times New Roman"/>
          <w:kern w:val="2"/>
          <w:sz w:val="21"/>
          <w:szCs w:val="24"/>
          <w:lang w:val="en-US" w:eastAsia="zh-CN" w:bidi="ar-SA"/>
        </w:rPr>
        <w:t>对于所有数据集，我们都遵循 MoleculeNet 推荐的标准数据划分协议</w:t>
      </w:r>
      <w:r>
        <w:rPr>
          <w:rFonts w:hint="eastAsia" w:cs="Times New Roman"/>
          <w:kern w:val="2"/>
          <w:sz w:val="21"/>
          <w:szCs w:val="24"/>
          <w:lang w:val="en-US" w:eastAsia="zh-CN" w:bidi="ar-SA"/>
        </w:rPr>
        <w:t>，即</w:t>
      </w:r>
      <w:r>
        <w:rPr>
          <w:rFonts w:hint="eastAsia"/>
          <w:lang w:val="en-US" w:eastAsia="zh-CN"/>
        </w:rPr>
        <w:t>采用骨架分割的方法，按照8:1:1的比例划分出实验的训练集、验证集和测试集。并且我们使用不同的随机种子做了多组实验，并记录每次实验的结果，最终各个模型的性能我们取均值以及标准差来作为结果。</w:t>
      </w:r>
    </w:p>
    <w:tbl>
      <w:tblPr>
        <w:tblStyle w:val="17"/>
        <w:tblpPr w:leftFromText="180" w:rightFromText="180" w:vertAnchor="text" w:horzAnchor="page" w:tblpX="2200" w:tblpY="459"/>
        <w:tblOverlap w:val="never"/>
        <w:tblW w:w="7957"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441"/>
        <w:gridCol w:w="1086"/>
        <w:gridCol w:w="1086"/>
        <w:gridCol w:w="1086"/>
        <w:gridCol w:w="1086"/>
        <w:gridCol w:w="1086"/>
        <w:gridCol w:w="1086"/>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86"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10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86"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086"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86"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086"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86"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10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86"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086"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86"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086"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86"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10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86"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1086"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86"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1086"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AttentiveFP</w:t>
            </w:r>
          </w:p>
        </w:tc>
        <w:tc>
          <w:tcPr>
            <w:tcW w:w="1086"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0.863</w:t>
            </w:r>
            <w:r>
              <w:rPr>
                <w:rFonts w:hint="eastAsia"/>
                <w:color w:val="auto"/>
                <w:vertAlign w:val="subscript"/>
                <w:lang w:val="en-US" w:eastAsia="zh-CN"/>
              </w:rPr>
              <w:t>(0.150)</w:t>
            </w:r>
          </w:p>
        </w:tc>
        <w:tc>
          <w:tcPr>
            <w:tcW w:w="10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0.908</w:t>
            </w:r>
            <w:r>
              <w:rPr>
                <w:rFonts w:hint="eastAsia"/>
                <w:color w:val="auto"/>
                <w:vertAlign w:val="subscript"/>
                <w:lang w:val="en-US" w:eastAsia="zh-CN"/>
              </w:rPr>
              <w:t>(0.050)</w:t>
            </w:r>
          </w:p>
        </w:tc>
        <w:tc>
          <w:tcPr>
            <w:tcW w:w="1086"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0.933</w:t>
            </w:r>
            <w:r>
              <w:rPr>
                <w:rFonts w:hint="eastAsia"/>
                <w:color w:val="auto"/>
                <w:vertAlign w:val="subscript"/>
                <w:lang w:val="en-US" w:eastAsia="zh-CN"/>
              </w:rPr>
              <w:t>(0.020)</w:t>
            </w:r>
          </w:p>
        </w:tc>
        <w:tc>
          <w:tcPr>
            <w:tcW w:w="1086"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0.807</w:t>
            </w:r>
            <w:r>
              <w:rPr>
                <w:rFonts w:hint="eastAsia"/>
                <w:color w:val="auto"/>
                <w:vertAlign w:val="subscript"/>
                <w:lang w:val="en-US" w:eastAsia="zh-CN"/>
              </w:rPr>
              <w:t>(0.021)</w:t>
            </w:r>
          </w:p>
        </w:tc>
        <w:tc>
          <w:tcPr>
            <w:tcW w:w="1086"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0.637</w:t>
            </w:r>
            <w:r>
              <w:rPr>
                <w:rFonts w:hint="eastAsia"/>
                <w:color w:val="auto"/>
                <w:vertAlign w:val="subscript"/>
                <w:lang w:val="en-US" w:eastAsia="zh-CN"/>
              </w:rPr>
              <w:t>(0.103)</w:t>
            </w:r>
          </w:p>
        </w:tc>
        <w:tc>
          <w:tcPr>
            <w:tcW w:w="1086"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0.605</w:t>
            </w:r>
            <w:r>
              <w:rPr>
                <w:rFonts w:hint="eastAsia"/>
                <w:color w:val="auto"/>
                <w:vertAlign w:val="subscript"/>
                <w:lang w:val="en-US" w:eastAsia="zh-CN"/>
              </w:rPr>
              <w:t>(0.061)</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86"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0.802</w:t>
            </w:r>
            <w:r>
              <w:rPr>
                <w:rFonts w:hint="eastAsia"/>
                <w:color w:val="auto"/>
                <w:vertAlign w:val="subscript"/>
                <w:lang w:val="en-US" w:eastAsia="zh-CN"/>
              </w:rPr>
              <w:t>(0.008)</w:t>
            </w:r>
          </w:p>
        </w:tc>
        <w:tc>
          <w:tcPr>
            <w:tcW w:w="10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0.826</w:t>
            </w:r>
            <w:r>
              <w:rPr>
                <w:rFonts w:hint="eastAsia"/>
                <w:color w:val="auto"/>
                <w:vertAlign w:val="subscript"/>
                <w:lang w:val="en-US" w:eastAsia="zh-CN"/>
              </w:rPr>
              <w:t>(0.027)</w:t>
            </w:r>
          </w:p>
        </w:tc>
        <w:tc>
          <w:tcPr>
            <w:tcW w:w="1086"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0.750</w:t>
            </w:r>
            <w:r>
              <w:rPr>
                <w:rFonts w:hint="eastAsia"/>
                <w:color w:val="auto"/>
                <w:vertAlign w:val="subscript"/>
                <w:lang w:val="en-US" w:eastAsia="zh-CN"/>
              </w:rPr>
              <w:t>(0.127)</w:t>
            </w:r>
          </w:p>
        </w:tc>
        <w:tc>
          <w:tcPr>
            <w:tcW w:w="1086"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0.754</w:t>
            </w:r>
            <w:r>
              <w:rPr>
                <w:rFonts w:hint="eastAsia"/>
                <w:color w:val="auto"/>
                <w:vertAlign w:val="subscript"/>
                <w:lang w:val="en-US" w:eastAsia="zh-CN"/>
              </w:rPr>
              <w:t>(0.101)</w:t>
            </w:r>
          </w:p>
        </w:tc>
        <w:tc>
          <w:tcPr>
            <w:tcW w:w="1086"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0.614</w:t>
            </w:r>
            <w:r>
              <w:rPr>
                <w:rFonts w:hint="eastAsia"/>
                <w:color w:val="auto"/>
                <w:vertAlign w:val="subscript"/>
                <w:lang w:val="en-US" w:eastAsia="zh-CN"/>
              </w:rPr>
              <w:t>(0.031)</w:t>
            </w:r>
          </w:p>
        </w:tc>
        <w:tc>
          <w:tcPr>
            <w:tcW w:w="1086"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0.592</w:t>
            </w:r>
            <w:r>
              <w:rPr>
                <w:rFonts w:hint="eastAsia"/>
                <w:color w:val="auto"/>
                <w:vertAlign w:val="subscript"/>
                <w:lang w:val="en-US" w:eastAsia="zh-CN"/>
              </w:rPr>
              <w:t>(0.003)</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86"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0.810</w:t>
            </w:r>
            <w:r>
              <w:rPr>
                <w:rFonts w:hint="eastAsia"/>
                <w:color w:val="auto"/>
                <w:vertAlign w:val="subscript"/>
                <w:lang w:val="en-US" w:eastAsia="zh-CN"/>
              </w:rPr>
              <w:t>(0.044)</w:t>
            </w:r>
          </w:p>
        </w:tc>
        <w:tc>
          <w:tcPr>
            <w:tcW w:w="10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0.695</w:t>
            </w:r>
            <w:r>
              <w:rPr>
                <w:rFonts w:hint="eastAsia"/>
                <w:color w:val="auto"/>
                <w:vertAlign w:val="subscript"/>
                <w:lang w:val="en-US" w:eastAsia="zh-CN"/>
              </w:rPr>
              <w:t>(0.185)</w:t>
            </w:r>
          </w:p>
        </w:tc>
        <w:tc>
          <w:tcPr>
            <w:tcW w:w="1086"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0.762</w:t>
            </w:r>
            <w:r>
              <w:rPr>
                <w:rFonts w:hint="eastAsia"/>
                <w:color w:val="auto"/>
                <w:vertAlign w:val="subscript"/>
                <w:lang w:val="en-US" w:eastAsia="zh-CN"/>
              </w:rPr>
              <w:t>(0.013)</w:t>
            </w:r>
          </w:p>
        </w:tc>
        <w:tc>
          <w:tcPr>
            <w:tcW w:w="1086"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0.735</w:t>
            </w:r>
            <w:r>
              <w:rPr>
                <w:rFonts w:hint="eastAsia"/>
                <w:color w:val="auto"/>
                <w:vertAlign w:val="subscript"/>
                <w:lang w:val="en-US" w:eastAsia="zh-CN"/>
              </w:rPr>
              <w:t>(0.027)</w:t>
            </w:r>
          </w:p>
        </w:tc>
        <w:tc>
          <w:tcPr>
            <w:tcW w:w="1086"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0.653</w:t>
            </w:r>
            <w:r>
              <w:rPr>
                <w:rFonts w:hint="eastAsia"/>
                <w:color w:val="auto"/>
                <w:vertAlign w:val="subscript"/>
                <w:lang w:val="en-US" w:eastAsia="zh-CN"/>
              </w:rPr>
              <w:t>(0.005)</w:t>
            </w:r>
          </w:p>
        </w:tc>
        <w:tc>
          <w:tcPr>
            <w:tcW w:w="1086"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0.614</w:t>
            </w:r>
            <w:r>
              <w:rPr>
                <w:rFonts w:hint="eastAsia"/>
                <w:color w:val="auto"/>
                <w:vertAlign w:val="subscript"/>
                <w:lang w:val="en-US" w:eastAsia="zh-CN"/>
              </w:rPr>
              <w:t>(0.017)</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86"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0.812</w:t>
            </w:r>
            <w:r>
              <w:rPr>
                <w:rFonts w:hint="eastAsia"/>
                <w:color w:val="auto"/>
                <w:vertAlign w:val="subscript"/>
                <w:lang w:val="en-US" w:eastAsia="zh-CN"/>
              </w:rPr>
              <w:t>(0.009)</w:t>
            </w:r>
          </w:p>
        </w:tc>
        <w:tc>
          <w:tcPr>
            <w:tcW w:w="10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0.724</w:t>
            </w:r>
            <w:r>
              <w:rPr>
                <w:rFonts w:hint="eastAsia"/>
                <w:color w:val="auto"/>
                <w:vertAlign w:val="subscript"/>
                <w:lang w:val="en-US" w:eastAsia="zh-CN"/>
              </w:rPr>
              <w:t>(0.016)</w:t>
            </w:r>
          </w:p>
        </w:tc>
        <w:tc>
          <w:tcPr>
            <w:tcW w:w="1086"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0.791</w:t>
            </w:r>
            <w:r>
              <w:rPr>
                <w:rFonts w:hint="eastAsia"/>
                <w:color w:val="auto"/>
                <w:vertAlign w:val="subscript"/>
                <w:lang w:val="en-US" w:eastAsia="zh-CN"/>
              </w:rPr>
              <w:t>(0.028)</w:t>
            </w:r>
          </w:p>
        </w:tc>
        <w:tc>
          <w:tcPr>
            <w:tcW w:w="1086"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0.759</w:t>
            </w:r>
            <w:r>
              <w:rPr>
                <w:rFonts w:hint="eastAsia"/>
                <w:color w:val="auto"/>
                <w:vertAlign w:val="subscript"/>
                <w:lang w:val="en-US" w:eastAsia="zh-CN"/>
              </w:rPr>
              <w:t>(0.005)</w:t>
            </w:r>
          </w:p>
        </w:tc>
        <w:tc>
          <w:tcPr>
            <w:tcW w:w="1086"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0.631</w:t>
            </w:r>
            <w:r>
              <w:rPr>
                <w:rFonts w:hint="eastAsia"/>
                <w:color w:val="auto"/>
                <w:vertAlign w:val="subscript"/>
                <w:lang w:val="en-US" w:eastAsia="zh-CN"/>
              </w:rPr>
              <w:t>(0.114)</w:t>
            </w:r>
          </w:p>
        </w:tc>
        <w:tc>
          <w:tcPr>
            <w:tcW w:w="1086"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0.639</w:t>
            </w:r>
            <w:r>
              <w:rPr>
                <w:rFonts w:hint="eastAsia"/>
                <w:color w:val="auto"/>
                <w:vertAlign w:val="subscript"/>
                <w:lang w:val="en-US" w:eastAsia="zh-CN"/>
              </w:rPr>
              <w:t>(0.012)</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86"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0.815</w:t>
            </w:r>
            <w:r>
              <w:rPr>
                <w:rFonts w:hint="eastAsia"/>
                <w:color w:val="auto"/>
                <w:vertAlign w:val="subscript"/>
                <w:lang w:val="en-US" w:eastAsia="zh-CN"/>
              </w:rPr>
              <w:t>(0.043)</w:t>
            </w:r>
          </w:p>
        </w:tc>
        <w:tc>
          <w:tcPr>
            <w:tcW w:w="10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0.913</w:t>
            </w:r>
            <w:r>
              <w:rPr>
                <w:rFonts w:hint="eastAsia"/>
                <w:color w:val="auto"/>
                <w:vertAlign w:val="subscript"/>
                <w:lang w:val="en-US" w:eastAsia="zh-CN"/>
              </w:rPr>
              <w:t>(0.042)</w:t>
            </w:r>
          </w:p>
        </w:tc>
        <w:tc>
          <w:tcPr>
            <w:tcW w:w="1086"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0.879</w:t>
            </w:r>
            <w:r>
              <w:rPr>
                <w:rFonts w:hint="eastAsia"/>
                <w:color w:val="auto"/>
                <w:vertAlign w:val="subscript"/>
                <w:lang w:val="en-US" w:eastAsia="zh-CN"/>
              </w:rPr>
              <w:t>(0.054)</w:t>
            </w:r>
          </w:p>
        </w:tc>
        <w:tc>
          <w:tcPr>
            <w:tcW w:w="1086"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0.808</w:t>
            </w:r>
            <w:r>
              <w:rPr>
                <w:rFonts w:hint="eastAsia"/>
                <w:color w:val="auto"/>
                <w:vertAlign w:val="subscript"/>
                <w:lang w:val="en-US" w:eastAsia="zh-CN"/>
              </w:rPr>
              <w:t>(0.024)</w:t>
            </w:r>
          </w:p>
        </w:tc>
        <w:tc>
          <w:tcPr>
            <w:tcW w:w="1086"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0.691</w:t>
            </w:r>
            <w:r>
              <w:rPr>
                <w:rFonts w:hint="eastAsia"/>
                <w:color w:val="auto"/>
                <w:vertAlign w:val="subscript"/>
                <w:lang w:val="en-US" w:eastAsia="zh-CN"/>
              </w:rPr>
              <w:t>(0.018)</w:t>
            </w:r>
          </w:p>
        </w:tc>
        <w:tc>
          <w:tcPr>
            <w:tcW w:w="1086"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0.595</w:t>
            </w:r>
            <w:r>
              <w:rPr>
                <w:rFonts w:hint="eastAsia"/>
                <w:color w:val="auto"/>
                <w:vertAlign w:val="subscript"/>
                <w:lang w:val="en-US" w:eastAsia="zh-CN"/>
              </w:rPr>
              <w:t>(0.031)</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86"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0.809</w:t>
            </w:r>
            <w:r>
              <w:rPr>
                <w:rFonts w:hint="eastAsia"/>
                <w:color w:val="auto"/>
                <w:vertAlign w:val="subscript"/>
                <w:lang w:val="en-US" w:eastAsia="zh-CN"/>
              </w:rPr>
              <w:t>(0.038)</w:t>
            </w:r>
          </w:p>
        </w:tc>
        <w:tc>
          <w:tcPr>
            <w:tcW w:w="10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0.712</w:t>
            </w:r>
            <w:r>
              <w:rPr>
                <w:rFonts w:hint="eastAsia"/>
                <w:color w:val="auto"/>
                <w:vertAlign w:val="subscript"/>
                <w:lang w:val="en-US" w:eastAsia="zh-CN"/>
              </w:rPr>
              <w:t>(0.148)</w:t>
            </w:r>
          </w:p>
        </w:tc>
        <w:tc>
          <w:tcPr>
            <w:tcW w:w="1086"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0.906</w:t>
            </w:r>
            <w:r>
              <w:rPr>
                <w:rFonts w:hint="eastAsia"/>
                <w:color w:val="auto"/>
                <w:vertAlign w:val="subscript"/>
                <w:lang w:val="en-US" w:eastAsia="zh-CN"/>
              </w:rPr>
              <w:t>(0.041)</w:t>
            </w:r>
          </w:p>
        </w:tc>
        <w:tc>
          <w:tcPr>
            <w:tcW w:w="1086"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0.759</w:t>
            </w:r>
            <w:r>
              <w:rPr>
                <w:rFonts w:hint="eastAsia"/>
                <w:color w:val="auto"/>
                <w:vertAlign w:val="subscript"/>
                <w:lang w:val="en-US" w:eastAsia="zh-CN"/>
              </w:rPr>
              <w:t>(0.034)</w:t>
            </w:r>
          </w:p>
        </w:tc>
        <w:tc>
          <w:tcPr>
            <w:tcW w:w="1086"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0.655</w:t>
            </w:r>
            <w:r>
              <w:rPr>
                <w:rFonts w:hint="eastAsia"/>
                <w:color w:val="auto"/>
                <w:vertAlign w:val="subscript"/>
                <w:lang w:val="en-US" w:eastAsia="zh-CN"/>
              </w:rPr>
              <w:t>(0.101)</w:t>
            </w:r>
          </w:p>
        </w:tc>
        <w:tc>
          <w:tcPr>
            <w:tcW w:w="1086"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0.570</w:t>
            </w:r>
            <w:r>
              <w:rPr>
                <w:rFonts w:hint="eastAsia"/>
                <w:color w:val="auto"/>
                <w:vertAlign w:val="subscript"/>
                <w:lang w:val="en-US" w:eastAsia="zh-CN"/>
              </w:rPr>
              <w:t>(0.031)</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86"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r>
              <w:rPr>
                <w:rFonts w:hint="eastAsia"/>
                <w:color w:val="auto"/>
                <w:vertAlign w:val="subscript"/>
                <w:lang w:val="en-US" w:eastAsia="zh-CN"/>
              </w:rPr>
              <w:t>(0.006)</w:t>
            </w:r>
          </w:p>
        </w:tc>
        <w:tc>
          <w:tcPr>
            <w:tcW w:w="10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r>
              <w:rPr>
                <w:rFonts w:hint="eastAsia"/>
                <w:color w:val="auto"/>
                <w:vertAlign w:val="subscript"/>
                <w:lang w:val="en-US" w:eastAsia="zh-CN"/>
              </w:rPr>
              <w:t>(0.002)</w:t>
            </w:r>
          </w:p>
        </w:tc>
        <w:tc>
          <w:tcPr>
            <w:tcW w:w="1086"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r>
              <w:rPr>
                <w:rFonts w:hint="eastAsia"/>
                <w:color w:val="auto"/>
                <w:vertAlign w:val="subscript"/>
                <w:lang w:val="en-US" w:eastAsia="zh-CN"/>
              </w:rPr>
              <w:t>(0.012)</w:t>
            </w:r>
          </w:p>
        </w:tc>
        <w:tc>
          <w:tcPr>
            <w:tcW w:w="1086"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r>
              <w:rPr>
                <w:rFonts w:hint="eastAsia"/>
                <w:color w:val="auto"/>
                <w:vertAlign w:val="subscript"/>
                <w:lang w:val="en-US" w:eastAsia="zh-CN"/>
              </w:rPr>
              <w:t>(0.016)</w:t>
            </w:r>
          </w:p>
        </w:tc>
        <w:tc>
          <w:tcPr>
            <w:tcW w:w="1086"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r>
              <w:rPr>
                <w:rFonts w:hint="eastAsia"/>
                <w:color w:val="auto"/>
                <w:vertAlign w:val="subscript"/>
                <w:lang w:val="en-US" w:eastAsia="zh-CN"/>
              </w:rPr>
              <w:t>(0.002)</w:t>
            </w:r>
          </w:p>
        </w:tc>
        <w:tc>
          <w:tcPr>
            <w:tcW w:w="1086"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r>
              <w:rPr>
                <w:rFonts w:hint="eastAsia"/>
                <w:color w:val="auto"/>
                <w:vertAlign w:val="subscript"/>
                <w:lang w:val="en-US" w:eastAsia="zh-CN"/>
              </w:rPr>
              <w:t>(0.003)</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86"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color w:val="auto"/>
                <w:vertAlign w:val="subscript"/>
                <w:lang w:val="en-US" w:eastAsia="zh-CN"/>
              </w:rPr>
              <w:t>(0.021)</w:t>
            </w:r>
          </w:p>
        </w:tc>
        <w:tc>
          <w:tcPr>
            <w:tcW w:w="10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r>
              <w:rPr>
                <w:rFonts w:hint="eastAsia"/>
                <w:color w:val="auto"/>
                <w:vertAlign w:val="subscript"/>
                <w:lang w:val="en-US" w:eastAsia="zh-CN"/>
              </w:rPr>
              <w:t>(0.019)</w:t>
            </w:r>
          </w:p>
        </w:tc>
        <w:tc>
          <w:tcPr>
            <w:tcW w:w="1086"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r>
              <w:rPr>
                <w:rFonts w:hint="eastAsia"/>
                <w:color w:val="auto"/>
                <w:vertAlign w:val="subscript"/>
                <w:lang w:val="en-US" w:eastAsia="zh-CN"/>
              </w:rPr>
              <w:t>(0.034)</w:t>
            </w:r>
          </w:p>
        </w:tc>
        <w:tc>
          <w:tcPr>
            <w:tcW w:w="1086"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r>
              <w:rPr>
                <w:rFonts w:hint="eastAsia"/>
                <w:color w:val="auto"/>
                <w:vertAlign w:val="subscript"/>
                <w:lang w:val="en-US" w:eastAsia="zh-CN"/>
              </w:rPr>
              <w:t>(0.002)</w:t>
            </w:r>
          </w:p>
        </w:tc>
        <w:tc>
          <w:tcPr>
            <w:tcW w:w="1086"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r>
              <w:rPr>
                <w:rFonts w:hint="eastAsia"/>
                <w:color w:val="auto"/>
                <w:vertAlign w:val="subscript"/>
                <w:lang w:val="en-US" w:eastAsia="zh-CN"/>
              </w:rPr>
              <w:t>(0.004)</w:t>
            </w:r>
          </w:p>
        </w:tc>
        <w:tc>
          <w:tcPr>
            <w:tcW w:w="1086"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r>
              <w:rPr>
                <w:rFonts w:hint="eastAsia"/>
                <w:color w:val="auto"/>
                <w:vertAlign w:val="subscript"/>
                <w:lang w:val="en-US" w:eastAsia="zh-CN"/>
              </w:rPr>
              <w:t>(0.016)</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SchNet</w:t>
            </w:r>
          </w:p>
        </w:tc>
        <w:tc>
          <w:tcPr>
            <w:tcW w:w="1086"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0.751</w:t>
            </w:r>
            <w:r>
              <w:rPr>
                <w:rFonts w:hint="eastAsia"/>
                <w:color w:val="auto"/>
                <w:vertAlign w:val="subscript"/>
                <w:lang w:val="en-US" w:eastAsia="zh-CN"/>
              </w:rPr>
              <w:t>(0.033)</w:t>
            </w:r>
          </w:p>
        </w:tc>
        <w:tc>
          <w:tcPr>
            <w:tcW w:w="10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0.847</w:t>
            </w:r>
            <w:r>
              <w:rPr>
                <w:rFonts w:hint="eastAsia"/>
                <w:color w:val="auto"/>
                <w:vertAlign w:val="subscript"/>
                <w:lang w:val="en-US" w:eastAsia="zh-CN"/>
              </w:rPr>
              <w:t>(0.025)</w:t>
            </w:r>
          </w:p>
        </w:tc>
        <w:tc>
          <w:tcPr>
            <w:tcW w:w="1086"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0.717</w:t>
            </w:r>
            <w:r>
              <w:rPr>
                <w:rFonts w:hint="eastAsia"/>
                <w:color w:val="auto"/>
                <w:vertAlign w:val="subscript"/>
                <w:lang w:val="en-US" w:eastAsia="zh-CN"/>
              </w:rPr>
              <w:t>(0.041)</w:t>
            </w:r>
          </w:p>
        </w:tc>
        <w:tc>
          <w:tcPr>
            <w:tcW w:w="1086"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0.767</w:t>
            </w:r>
            <w:r>
              <w:rPr>
                <w:rFonts w:hint="eastAsia"/>
                <w:color w:val="auto"/>
                <w:vertAlign w:val="subscript"/>
                <w:lang w:val="en-US" w:eastAsia="zh-CN"/>
              </w:rPr>
              <w:t>(0.023)</w:t>
            </w:r>
          </w:p>
        </w:tc>
        <w:tc>
          <w:tcPr>
            <w:tcW w:w="1086"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0.679</w:t>
            </w:r>
            <w:r>
              <w:rPr>
                <w:rFonts w:hint="eastAsia"/>
                <w:color w:val="auto"/>
                <w:vertAlign w:val="subscript"/>
                <w:lang w:val="en-US" w:eastAsia="zh-CN"/>
              </w:rPr>
              <w:t>(0.021)</w:t>
            </w:r>
          </w:p>
        </w:tc>
        <w:tc>
          <w:tcPr>
            <w:tcW w:w="1086"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0.545</w:t>
            </w:r>
            <w:r>
              <w:rPr>
                <w:rFonts w:hint="eastAsia"/>
                <w:color w:val="auto"/>
                <w:vertAlign w:val="subscript"/>
                <w:lang w:val="en-US" w:eastAsia="zh-CN"/>
              </w:rPr>
              <w:t>(0.038)</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N-Gram</w:t>
            </w:r>
          </w:p>
        </w:tc>
        <w:tc>
          <w:tcPr>
            <w:tcW w:w="1086"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0.779</w:t>
            </w:r>
            <w:r>
              <w:rPr>
                <w:rFonts w:hint="eastAsia"/>
                <w:color w:val="auto"/>
                <w:vertAlign w:val="subscript"/>
                <w:lang w:val="en-US" w:eastAsia="zh-CN"/>
              </w:rPr>
              <w:t>(0.031)</w:t>
            </w:r>
          </w:p>
        </w:tc>
        <w:tc>
          <w:tcPr>
            <w:tcW w:w="10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0.912</w:t>
            </w:r>
            <w:r>
              <w:rPr>
                <w:rFonts w:hint="eastAsia"/>
                <w:color w:val="auto"/>
                <w:vertAlign w:val="subscript"/>
                <w:lang w:val="en-US" w:eastAsia="zh-CN"/>
              </w:rPr>
              <w:t>(0.004)</w:t>
            </w:r>
          </w:p>
        </w:tc>
        <w:tc>
          <w:tcPr>
            <w:tcW w:w="1086"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0.855</w:t>
            </w:r>
            <w:r>
              <w:rPr>
                <w:rFonts w:hint="eastAsia"/>
                <w:color w:val="auto"/>
                <w:vertAlign w:val="subscript"/>
                <w:lang w:val="en-US" w:eastAsia="zh-CN"/>
              </w:rPr>
              <w:t>(0.013)</w:t>
            </w:r>
          </w:p>
        </w:tc>
        <w:tc>
          <w:tcPr>
            <w:tcW w:w="1086"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0.761</w:t>
            </w:r>
            <w:r>
              <w:rPr>
                <w:rFonts w:hint="eastAsia"/>
                <w:color w:val="auto"/>
                <w:vertAlign w:val="subscript"/>
                <w:lang w:val="en-US" w:eastAsia="zh-CN"/>
              </w:rPr>
              <w:t>(0.130)</w:t>
            </w:r>
          </w:p>
        </w:tc>
        <w:tc>
          <w:tcPr>
            <w:tcW w:w="1086"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0.659</w:t>
            </w:r>
            <w:r>
              <w:rPr>
                <w:rFonts w:hint="eastAsia"/>
                <w:color w:val="auto"/>
                <w:vertAlign w:val="subscript"/>
                <w:lang w:val="en-US" w:eastAsia="zh-CN"/>
              </w:rPr>
              <w:t>(0.133)</w:t>
            </w:r>
          </w:p>
        </w:tc>
        <w:tc>
          <w:tcPr>
            <w:tcW w:w="1086"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0.662</w:t>
            </w:r>
            <w:r>
              <w:rPr>
                <w:rFonts w:hint="eastAsia"/>
                <w:color w:val="auto"/>
                <w:vertAlign w:val="subscript"/>
                <w:lang w:val="en-US" w:eastAsia="zh-CN"/>
              </w:rPr>
              <w:t>(0.009)</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MoleculeSTM</w:t>
            </w:r>
          </w:p>
        </w:tc>
        <w:tc>
          <w:tcPr>
            <w:tcW w:w="1086"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0.808</w:t>
            </w:r>
            <w:r>
              <w:rPr>
                <w:rFonts w:hint="eastAsia"/>
                <w:color w:val="auto"/>
                <w:vertAlign w:val="subscript"/>
                <w:lang w:val="en-US" w:eastAsia="zh-CN"/>
              </w:rPr>
              <w:t>(0.002)</w:t>
            </w:r>
          </w:p>
        </w:tc>
        <w:tc>
          <w:tcPr>
            <w:tcW w:w="10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0.712</w:t>
            </w:r>
            <w:r>
              <w:rPr>
                <w:rFonts w:hint="eastAsia"/>
                <w:color w:val="auto"/>
                <w:vertAlign w:val="subscript"/>
                <w:lang w:val="en-US" w:eastAsia="zh-CN"/>
              </w:rPr>
              <w:t>(0.019)</w:t>
            </w:r>
          </w:p>
        </w:tc>
        <w:tc>
          <w:tcPr>
            <w:tcW w:w="1086"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0.925</w:t>
            </w:r>
            <w:r>
              <w:rPr>
                <w:rFonts w:hint="eastAsia"/>
                <w:color w:val="auto"/>
                <w:vertAlign w:val="subscript"/>
                <w:lang w:val="en-US" w:eastAsia="zh-CN"/>
              </w:rPr>
              <w:t>(0.011)</w:t>
            </w:r>
          </w:p>
        </w:tc>
        <w:tc>
          <w:tcPr>
            <w:tcW w:w="1086"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0.769</w:t>
            </w:r>
            <w:r>
              <w:rPr>
                <w:rFonts w:hint="eastAsia"/>
                <w:color w:val="auto"/>
                <w:vertAlign w:val="subscript"/>
                <w:lang w:val="en-US" w:eastAsia="zh-CN"/>
              </w:rPr>
              <w:t>(0.005)</w:t>
            </w:r>
          </w:p>
        </w:tc>
        <w:tc>
          <w:tcPr>
            <w:tcW w:w="1086"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0.651</w:t>
            </w:r>
            <w:r>
              <w:rPr>
                <w:rFonts w:hint="eastAsia"/>
                <w:color w:val="auto"/>
                <w:vertAlign w:val="subscript"/>
                <w:lang w:val="en-US" w:eastAsia="zh-CN"/>
              </w:rPr>
              <w:t>(0.014)</w:t>
            </w:r>
          </w:p>
        </w:tc>
        <w:tc>
          <w:tcPr>
            <w:tcW w:w="1086"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0.610</w:t>
            </w:r>
            <w:r>
              <w:rPr>
                <w:rFonts w:hint="eastAsia"/>
                <w:color w:val="auto"/>
                <w:vertAlign w:val="subscript"/>
                <w:lang w:val="en-US" w:eastAsia="zh-CN"/>
              </w:rPr>
              <w:t>(0.008)</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MoMu</w:t>
            </w:r>
          </w:p>
        </w:tc>
        <w:tc>
          <w:tcPr>
            <w:tcW w:w="1086"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0.767</w:t>
            </w:r>
            <w:r>
              <w:rPr>
                <w:rFonts w:hint="eastAsia"/>
                <w:color w:val="auto"/>
                <w:vertAlign w:val="subscript"/>
                <w:lang w:val="en-US" w:eastAsia="zh-CN"/>
              </w:rPr>
              <w:t>(0.014)</w:t>
            </w:r>
          </w:p>
        </w:tc>
        <w:tc>
          <w:tcPr>
            <w:tcW w:w="10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0.705</w:t>
            </w:r>
            <w:r>
              <w:rPr>
                <w:rFonts w:hint="eastAsia"/>
                <w:color w:val="auto"/>
                <w:vertAlign w:val="subscript"/>
                <w:lang w:val="en-US" w:eastAsia="zh-CN"/>
              </w:rPr>
              <w:t>(0.020)</w:t>
            </w:r>
          </w:p>
        </w:tc>
        <w:tc>
          <w:tcPr>
            <w:tcW w:w="1086"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0.799</w:t>
            </w:r>
            <w:r>
              <w:rPr>
                <w:rFonts w:hint="eastAsia"/>
                <w:color w:val="auto"/>
                <w:vertAlign w:val="subscript"/>
                <w:lang w:val="en-US" w:eastAsia="zh-CN"/>
              </w:rPr>
              <w:t>(0.041)</w:t>
            </w:r>
          </w:p>
        </w:tc>
        <w:tc>
          <w:tcPr>
            <w:tcW w:w="1086"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0.756</w:t>
            </w:r>
            <w:r>
              <w:rPr>
                <w:rFonts w:hint="eastAsia"/>
                <w:color w:val="auto"/>
                <w:vertAlign w:val="subscript"/>
                <w:lang w:val="en-US" w:eastAsia="zh-CN"/>
              </w:rPr>
              <w:t>(0.003)</w:t>
            </w:r>
          </w:p>
        </w:tc>
        <w:tc>
          <w:tcPr>
            <w:tcW w:w="1086"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0.634</w:t>
            </w:r>
            <w:r>
              <w:rPr>
                <w:rFonts w:hint="eastAsia"/>
                <w:color w:val="auto"/>
                <w:vertAlign w:val="subscript"/>
                <w:lang w:val="en-US" w:eastAsia="zh-CN"/>
              </w:rPr>
              <w:t>(0.011)</w:t>
            </w:r>
          </w:p>
        </w:tc>
        <w:tc>
          <w:tcPr>
            <w:tcW w:w="1086"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0.605</w:t>
            </w:r>
            <w:r>
              <w:rPr>
                <w:rFonts w:hint="eastAsia"/>
                <w:color w:val="auto"/>
                <w:vertAlign w:val="subscript"/>
                <w:lang w:val="en-US" w:eastAsia="zh-CN"/>
              </w:rPr>
              <w:t>(0.009)</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KV-PLM</w:t>
            </w:r>
          </w:p>
        </w:tc>
        <w:tc>
          <w:tcPr>
            <w:tcW w:w="1086"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0.785</w:t>
            </w:r>
            <w:r>
              <w:rPr>
                <w:rFonts w:hint="eastAsia"/>
                <w:color w:val="auto"/>
                <w:vertAlign w:val="subscript"/>
                <w:lang w:val="en-US" w:eastAsia="zh-CN"/>
              </w:rPr>
              <w:t>(0.027)</w:t>
            </w:r>
          </w:p>
        </w:tc>
        <w:tc>
          <w:tcPr>
            <w:tcW w:w="10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0.731</w:t>
            </w:r>
            <w:r>
              <w:rPr>
                <w:rFonts w:hint="eastAsia"/>
                <w:color w:val="auto"/>
                <w:vertAlign w:val="subscript"/>
                <w:lang w:val="en-US" w:eastAsia="zh-CN"/>
              </w:rPr>
              <w:t>(0.054)</w:t>
            </w:r>
          </w:p>
        </w:tc>
        <w:tc>
          <w:tcPr>
            <w:tcW w:w="1086"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0.892</w:t>
            </w:r>
            <w:r>
              <w:rPr>
                <w:rFonts w:hint="eastAsia"/>
                <w:color w:val="auto"/>
                <w:vertAlign w:val="subscript"/>
                <w:lang w:val="en-US" w:eastAsia="zh-CN"/>
              </w:rPr>
              <w:t>(0.073)</w:t>
            </w:r>
          </w:p>
        </w:tc>
        <w:tc>
          <w:tcPr>
            <w:tcW w:w="1086"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0.725</w:t>
            </w:r>
            <w:r>
              <w:rPr>
                <w:rFonts w:hint="eastAsia"/>
                <w:color w:val="auto"/>
                <w:vertAlign w:val="subscript"/>
                <w:lang w:val="en-US" w:eastAsia="zh-CN"/>
              </w:rPr>
              <w:t>(0.102)</w:t>
            </w:r>
          </w:p>
        </w:tc>
        <w:tc>
          <w:tcPr>
            <w:tcW w:w="1086"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0.550</w:t>
            </w:r>
            <w:r>
              <w:rPr>
                <w:rFonts w:hint="eastAsia"/>
                <w:color w:val="auto"/>
                <w:vertAlign w:val="subscript"/>
                <w:lang w:val="en-US" w:eastAsia="zh-CN"/>
              </w:rPr>
              <w:t>(0.065)</w:t>
            </w:r>
          </w:p>
        </w:tc>
        <w:tc>
          <w:tcPr>
            <w:tcW w:w="1086"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0.598</w:t>
            </w:r>
            <w:r>
              <w:rPr>
                <w:rFonts w:hint="eastAsia"/>
                <w:color w:val="auto"/>
                <w:vertAlign w:val="subscript"/>
                <w:lang w:val="en-US" w:eastAsia="zh-CN"/>
              </w:rPr>
              <w:t>(0.056)</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MyMoel</w:t>
            </w:r>
          </w:p>
        </w:tc>
        <w:tc>
          <w:tcPr>
            <w:tcW w:w="1086"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r>
              <w:rPr>
                <w:rFonts w:hint="eastAsia"/>
                <w:vertAlign w:val="subscript"/>
                <w:lang w:val="en-US" w:eastAsia="zh-CN"/>
              </w:rPr>
              <w:t>(0.006)</w:t>
            </w:r>
          </w:p>
        </w:tc>
        <w:tc>
          <w:tcPr>
            <w:tcW w:w="10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r>
              <w:rPr>
                <w:rFonts w:hint="eastAsia"/>
                <w:vertAlign w:val="subscript"/>
                <w:lang w:val="en-US" w:eastAsia="zh-CN"/>
              </w:rPr>
              <w:t>(0.110)</w:t>
            </w:r>
          </w:p>
        </w:tc>
        <w:tc>
          <w:tcPr>
            <w:tcW w:w="1086"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0.939</w:t>
            </w:r>
            <w:r>
              <w:rPr>
                <w:rFonts w:hint="eastAsia"/>
                <w:vertAlign w:val="subscript"/>
                <w:lang w:val="en-US" w:eastAsia="zh-CN"/>
              </w:rPr>
              <w:t>(0.082)</w:t>
            </w:r>
          </w:p>
        </w:tc>
        <w:tc>
          <w:tcPr>
            <w:tcW w:w="1086"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0.841</w:t>
            </w:r>
            <w:r>
              <w:rPr>
                <w:rFonts w:hint="eastAsia"/>
                <w:vertAlign w:val="subscript"/>
                <w:lang w:val="en-US" w:eastAsia="zh-CN"/>
              </w:rPr>
              <w:t>(0.005)</w:t>
            </w:r>
          </w:p>
        </w:tc>
        <w:tc>
          <w:tcPr>
            <w:tcW w:w="1086"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r>
              <w:rPr>
                <w:rFonts w:hint="eastAsia"/>
                <w:vertAlign w:val="subscript"/>
                <w:lang w:val="en-US" w:eastAsia="zh-CN"/>
              </w:rPr>
              <w:t>(0.025)</w:t>
            </w:r>
          </w:p>
        </w:tc>
        <w:tc>
          <w:tcPr>
            <w:tcW w:w="1086"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0.669</w:t>
            </w:r>
            <w:r>
              <w:rPr>
                <w:rFonts w:hint="eastAsia"/>
                <w:vertAlign w:val="subscript"/>
                <w:lang w:val="en-US" w:eastAsia="zh-CN"/>
              </w:rPr>
              <w:t>(0.015)</w:t>
            </w:r>
          </w:p>
        </w:tc>
      </w:tr>
    </w:tbl>
    <w:p w14:paraId="0D6D23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bookmarkStart w:id="0" w:name="_GoBack"/>
      <w:bookmarkEnd w:id="0"/>
    </w:p>
    <w:p w14:paraId="0D43E1E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上图展示了我们的模型在分类任务和回归任务上的性能表现。实验结果表明，本文提出的模型（MyMoel）在 6 个 MoleculeNet 典型分类任务上均取得了最优的预测性能（SOTA），显著优于包括 CMPNN、AttentiveFP 以及 MoleculeSTM 在内的 13 种基准模型 。在与单一模态 GNN 模型的对比中，本文模型在 BACE 与 BBBP 数据集上的表现尤为突处，这不仅得益于 Graphormer 编码器通过空间编码与中心性编码捕获的长程原子依赖 ，更源于模型引入的 SMILES 序列与分子指纹从多视角补全了分子的全局拓扑信息 。相比于同样采用文本对齐的 MoleculeSTM 和 MoMu 等多模态模型，本文模型在 ClinTox 任务上实现了大幅领先（0.941 vs 0.925/0.799） ，这有力证明了通过大语言模型（LLM）进行的知识重写流水线能有效剔除原始 PubChem 文本中的冗余噪声 ，并将 12 项理化性质显式注入语义空间 ，从而引导模型更精准地理解分子结构与临床毒性间的因果关联。此外，在子任务规模庞大的 Tox21 与 ToxCast 数据集上，模型依然保持了极强的稳健性（0.852 与 0.712） ，这归功于本文设计的基于同方差不确定性的动态加权机制，该机制通过自适应平衡不同模态间的学习权重，有效抑制了高噪声模态对主表征空间的梯度干扰 ，确保了模型在复杂性质预测任务中的泛化上限。</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0.877</w:t>
            </w:r>
            <w:r>
              <w:rPr>
                <w:rFonts w:hint="eastAsia"/>
                <w:vertAlign w:val="subscript"/>
                <w:lang w:val="en-US" w:eastAsia="zh-CN"/>
              </w:rPr>
              <w:t>(0.12)</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2.073</w:t>
            </w:r>
            <w:r>
              <w:rPr>
                <w:rFonts w:hint="eastAsia"/>
                <w:vertAlign w:val="subscript"/>
                <w:lang w:val="en-US" w:eastAsia="zh-CN"/>
              </w:rPr>
              <w:t>(0.12)</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0.721</w:t>
            </w:r>
            <w:r>
              <w:rPr>
                <w:rFonts w:hint="eastAsia"/>
                <w:vertAlign w:val="subscript"/>
                <w:lang w:val="en-US" w:eastAsia="zh-CN"/>
              </w:rPr>
              <w:t>(0.12)</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0.921</w:t>
            </w:r>
            <w:r>
              <w:rPr>
                <w:rFonts w:hint="eastAsia" w:cs="Times New Roman"/>
                <w:kern w:val="2"/>
                <w:sz w:val="21"/>
                <w:szCs w:val="24"/>
                <w:vertAlign w:val="subscript"/>
                <w:lang w:val="en-US" w:eastAsia="zh-CN" w:bidi="ar-SA"/>
              </w:rPr>
              <w:t>(0.087)</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2.026</w:t>
            </w:r>
            <w:r>
              <w:rPr>
                <w:rFonts w:hint="eastAsia" w:cs="Times New Roman"/>
                <w:kern w:val="2"/>
                <w:sz w:val="21"/>
                <w:szCs w:val="24"/>
                <w:vertAlign w:val="subscript"/>
                <w:lang w:val="en-US" w:eastAsia="zh-CN" w:bidi="ar-SA"/>
              </w:rPr>
              <w:t>(0.127)</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0.646</w:t>
            </w:r>
            <w:r>
              <w:rPr>
                <w:rFonts w:hint="eastAsia" w:cs="Times New Roman"/>
                <w:kern w:val="2"/>
                <w:sz w:val="21"/>
                <w:szCs w:val="24"/>
                <w:vertAlign w:val="subscript"/>
                <w:lang w:val="en-US" w:eastAsia="zh-CN" w:bidi="ar-SA"/>
              </w:rPr>
              <w:t>(0.022)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1.029</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1.893</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0.681</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0.972</w:t>
            </w:r>
            <w:r>
              <w:rPr>
                <w:rFonts w:hint="eastAsia" w:cs="Times New Roman"/>
                <w:kern w:val="2"/>
                <w:sz w:val="21"/>
                <w:szCs w:val="24"/>
                <w:vertAlign w:val="subscript"/>
                <w:lang w:val="en-US" w:eastAsia="zh-CN" w:bidi="ar-SA"/>
              </w:rPr>
              <w:t>(0.097)</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2.170</w:t>
            </w:r>
            <w:r>
              <w:rPr>
                <w:rFonts w:hint="eastAsia" w:cs="Times New Roman"/>
                <w:kern w:val="2"/>
                <w:sz w:val="21"/>
                <w:szCs w:val="24"/>
                <w:vertAlign w:val="subscript"/>
                <w:lang w:val="en-US" w:eastAsia="zh-CN" w:bidi="ar-SA"/>
              </w:rPr>
              <w:t>(0.536)</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0.652</w:t>
            </w:r>
            <w:r>
              <w:rPr>
                <w:rFonts w:hint="eastAsia" w:cs="Times New Roman"/>
                <w:kern w:val="2"/>
                <w:sz w:val="21"/>
                <w:szCs w:val="24"/>
                <w:vertAlign w:val="subscript"/>
                <w:lang w:val="en-US" w:eastAsia="zh-CN" w:bidi="ar-SA"/>
              </w:rPr>
              <w:t>(0.051)</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0.845</w:t>
            </w:r>
            <w:r>
              <w:rPr>
                <w:rFonts w:hint="eastAsia"/>
                <w:vertAlign w:val="subscript"/>
                <w:lang w:val="en-US" w:eastAsia="zh-CN"/>
              </w:rPr>
              <w:t>(0.039)</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1.833</w:t>
            </w:r>
            <w:r>
              <w:rPr>
                <w:rFonts w:hint="eastAsia" w:cs="Times New Roman"/>
                <w:kern w:val="2"/>
                <w:sz w:val="21"/>
                <w:szCs w:val="24"/>
                <w:vertAlign w:val="subscript"/>
                <w:lang w:val="en-US" w:eastAsia="zh-CN" w:bidi="ar-SA"/>
              </w:rPr>
              <w:t>(0.581)</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0.658</w:t>
            </w:r>
            <w:r>
              <w:rPr>
                <w:rFonts w:hint="eastAsia" w:cs="Times New Roman"/>
                <w:kern w:val="2"/>
                <w:sz w:val="21"/>
                <w:szCs w:val="24"/>
                <w:vertAlign w:val="subscript"/>
                <w:lang w:val="en-US" w:eastAsia="zh-CN" w:bidi="ar-SA"/>
              </w:rPr>
              <w:t>(0.029)</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0.885</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1.619</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0.659</w:t>
            </w:r>
            <w:r>
              <w:rPr>
                <w:rFonts w:hint="eastAsia"/>
                <w:vertAlign w:val="subscript"/>
                <w:lang w:val="en-US" w:eastAsia="zh-CN"/>
              </w:rPr>
              <w:t>(0.12)</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1.074</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2.688</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r>
              <w:rPr>
                <w:rFonts w:hint="eastAsia"/>
                <w:vertAlign w:val="subscript"/>
                <w:lang w:val="en-US" w:eastAsia="zh-CN"/>
              </w:rPr>
              <w:t>(0.12)</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12"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2130" w:type="dxa"/>
            <w:tcBorders>
              <w:top w:val="nil"/>
              <w:left w:val="nil"/>
              <w:bottom w:val="single" w:color="auto" w:sz="12"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single" w:color="auto" w:sz="12"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c>
          <w:tcPr>
            <w:tcW w:w="2131" w:type="dxa"/>
            <w:tcBorders>
              <w:top w:val="nil"/>
              <w:left w:val="nil"/>
              <w:bottom w:val="single" w:color="auto" w:sz="12"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r>
              <w:rPr>
                <w:rFonts w:hint="eastAsia"/>
                <w:vertAlign w:val="subscript"/>
                <w:lang w:val="en-US" w:eastAsia="zh-CN"/>
              </w:rPr>
              <w:t>(0.12)</w:t>
            </w:r>
          </w:p>
        </w:tc>
      </w:tr>
    </w:tbl>
    <w:p w14:paraId="1EC06DB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61B45477">
      <w:pPr>
        <w:pStyle w:val="4"/>
        <w:bidi w:val="0"/>
        <w:ind w:left="210" w:leftChars="0" w:firstLineChars="0"/>
        <w:rPr>
          <w:rFonts w:hint="eastAsia"/>
          <w:lang w:val="en-US" w:eastAsia="zh-CN"/>
        </w:rPr>
      </w:pPr>
      <w:r>
        <w:rPr>
          <w:rFonts w:hint="eastAsia"/>
          <w:lang w:val="en-US" w:eastAsia="zh-CN"/>
        </w:rPr>
        <w:t>消融实验</w:t>
      </w:r>
    </w:p>
    <w:p w14:paraId="45A0D2D6">
      <w:pPr>
        <w:bidi w:val="0"/>
      </w:pPr>
      <w: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360" w:lineRule="auto"/>
        <w:textAlignment w:val="auto"/>
      </w:pPr>
      <w:r>
        <w:t>本文选取分子图作为基础模态，并在此基础上逐步引入其他模态，以分析不同模态信息的边际贡献。具体设置如下：</w:t>
      </w:r>
    </w:p>
    <w:p w14:paraId="17F002C4">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w:t>
      </w: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w:t>
      </w:r>
      <w:r>
        <w:t>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F_GF</w:t>
      </w:r>
      <w:r>
        <w:t>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360" w:lineRule="auto"/>
        <w:textAlignment w:val="auto"/>
      </w:pPr>
      <w:r>
        <w:rPr>
          <w:rFonts w:hint="eastAsia"/>
          <w:lang w:val="en-US" w:eastAsia="zh-CN"/>
        </w:rPr>
        <w:t>F_GFS</w:t>
      </w:r>
      <w:r>
        <w:t>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52A6D67">
      <w:pPr>
        <w:pageBreakBefore w:val="0"/>
        <w:kinsoku/>
        <w:wordWrap/>
        <w:overflowPunct/>
        <w:topLinePunct w:val="0"/>
        <w:autoSpaceDE/>
        <w:autoSpaceDN/>
        <w:bidi w:val="0"/>
        <w:adjustRightInd/>
        <w:spacing w:beforeAutospacing="0" w:afterAutospacing="0" w:line="360" w:lineRule="auto"/>
        <w:textAlignment w:val="auto"/>
        <w:rPr>
          <w:rFonts w:hint="default"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融合多模态信息的交叉注意力模型再所有数据集上去的了最优的性能，验证了各个模态以及组件之间的协同效益。我们从多个角度分析各个变体模型的性能，首先，XXX模型普遍优于concat的模型，在分类任务上XXX模型比没有注意力的平均roc要高出1.67%，在回归任务中平均的RMSE比没有注意力低4.23%。这是因为concat是将模态信息简单拼接堆积，本质上是默认了各个模态信息具有相同的重要性，然而由于分子性质的决定因素各异，采用固定的融合权重往往受到噪声模态的干扰。相比之下，XXX采用的交叉注意力机制能够根据具体的预测任务动态调节各模态特征的贡献度。例如，在 ClinTox 数据集上，从拼接方式的 0.925 提升至交叉注意力的 0.941，提升幅度显著。这说明交叉注意力模块能够识别出在临床毒性预测中，专家文本知识具有更高的信息密度，从而在特征交互过程中赋予其更高的注意力权重，有效提取了跨模态的互补语义。关于各任务在交叉注意力层中具体的模态权重倾向，将在 3.3.3 可视化分析 中进一步探讨。</w:t>
      </w:r>
    </w:p>
    <w:p w14:paraId="46C76CFA">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0"/>
                    <a:stretch>
                      <a:fillRect/>
                    </a:stretch>
                  </pic:blipFill>
                  <pic:spPr>
                    <a:xfrm>
                      <a:off x="0" y="0"/>
                      <a:ext cx="3987800" cy="1607820"/>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3135630" cy="1863725"/>
                    </a:xfrm>
                    <a:prstGeom prst="rect">
                      <a:avLst/>
                    </a:prstGeom>
                    <a:noFill/>
                    <a:ln>
                      <a:noFill/>
                    </a:ln>
                  </pic:spPr>
                </pic:pic>
              </a:graphicData>
            </a:graphic>
          </wp:inline>
        </w:drawing>
      </w:r>
    </w:p>
    <w:p w14:paraId="2EB402DF">
      <w:pPr>
        <w:pStyle w:val="4"/>
        <w:bidi w:val="0"/>
        <w:ind w:left="210" w:leftChars="0" w:firstLineChars="0"/>
        <w:rPr>
          <w:rFonts w:hint="default"/>
          <w:lang w:val="en-US" w:eastAsia="zh-CN"/>
        </w:rPr>
      </w:pPr>
      <w:r>
        <w:rPr>
          <w:rFonts w:hint="eastAsia"/>
          <w:lang w:val="en-US" w:eastAsia="zh-CN"/>
        </w:rPr>
        <w:t>可视化分析</w:t>
      </w:r>
    </w:p>
    <w:p w14:paraId="5C04042C">
      <w:pPr>
        <w:bidi w:val="0"/>
        <w:rPr>
          <w:rFonts w:hint="eastAsia"/>
          <w:lang w:val="en-US" w:eastAsia="zh-CN"/>
        </w:rPr>
      </w:pPr>
      <w:r>
        <w:rPr>
          <w:rFonts w:hint="eastAsia"/>
          <w:lang w:val="en-US" w:eastAsia="zh-CN"/>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根据权重图可以得出在物理性质任务中的结构模态起主导效应，具体的说在预测分子的物理化学性质时，模型表现出对拓扑结构的高度依赖。在 FreeSolv（溶剂化自由能）和 ESOL（水溶性）任务中，Graph 模态的权重分别高达 0.40 和 0.39，显著高于其他模态。这与化学直觉高度一致。分子的溶解能力和能量状态主要由其分子骨架的拓扑连接及原子间的空间排布决定。本文所使用的Graphormer图神经网络提取的显式结构特征在此类任务中提供了最核心的判别依据，起到了“语义锚点”的作用。值得注意的是，在 Lipo（亲脂性）任务中，Fingerprint获得了最高的权重 0.38，甚至超过了 Graph。这是因为亲脂性与分子中特定的疏水/亲水官能团数量呈强线性相关，而基于统计计数的分子指纹恰好擅长捕获此类特征。</w:t>
      </w:r>
    </w:p>
    <w:p w14:paraId="2331043D">
      <w:pPr>
        <w:bidi w:val="0"/>
        <w:rPr>
          <w:rFonts w:hint="eastAsia"/>
          <w:lang w:val="en-US" w:eastAsia="zh-CN"/>
        </w:rPr>
      </w:pPr>
      <w:r>
        <w:rPr>
          <w:rFonts w:hint="eastAsia"/>
          <w:lang w:val="en-US" w:eastAsia="zh-CN"/>
        </w:rPr>
        <w:t>另一方面权重图中也体现了知识增强在生物药理任务中的突破，与物理任务形成鲜明对比的是，在涉及复杂生物相互作用的任务中，模型自动学会了依赖专家知识。在 Sider（副作用预测）、ClinTox（临床毒性）和 Tox21 任务中，文本模态的权重出现了显著跃升，分别为 0.38、0.36 和 0.32。这是因为副作用和毒性往往难以仅从分子结构中直接推断，但通常在文献或专家描述中有明确记载（例如“该结构可能导致心脏毒性”）。此时，经过 LLM 重写并注入了 12 项理化性质的文本模态成为了关键的信息源。模型给予文本模态高权重，证明了本文提出的“知识增强”策略成功地将非结构化的药理知识转化为了可被模型利用的特征，弥补了纯结构视角的盲区。</w:t>
      </w:r>
    </w:p>
    <w:p w14:paraId="2E799103">
      <w:pPr>
        <w:bidi w:val="0"/>
        <w:rPr>
          <w:rFonts w:hint="eastAsia"/>
          <w:lang w:val="en-US" w:eastAsia="zh-CN"/>
        </w:rPr>
      </w:pPr>
      <w:r>
        <w:rPr>
          <w:rFonts w:hint="eastAsia"/>
          <w:lang w:val="en-US" w:eastAsia="zh-CN"/>
        </w:rPr>
        <w:t>最后权重图体现了序列模态的稳健补充作用，SMILES 模态在所有 9 个任务中的权重分布呈现出高度的稳定性，维持在 0.18 - 0.24 的区间内。作为分子的线性化表征，SMILES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C38684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2"/>
                    <a:stretch>
                      <a:fillRect/>
                    </a:stretch>
                  </pic:blipFill>
                  <pic:spPr>
                    <a:xfrm>
                      <a:off x="0" y="0"/>
                      <a:ext cx="5264785" cy="2315210"/>
                    </a:xfrm>
                    <a:prstGeom prst="rect">
                      <a:avLst/>
                    </a:prstGeom>
                  </pic:spPr>
                </pic:pic>
              </a:graphicData>
            </a:graphic>
          </wp:inline>
        </w:drawing>
      </w:r>
    </w:p>
    <w:p w14:paraId="275EA6C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b/>
          <w:bCs/>
          <w:color w:val="FF0000"/>
          <w:lang w:val="en-US" w:eastAsia="zh-CN"/>
        </w:rPr>
      </w:pPr>
      <w:r>
        <w:rPr>
          <w:rFonts w:hint="eastAsia"/>
          <w:b/>
          <w:bCs/>
          <w:color w:val="FF0000"/>
          <w:lang w:val="en-US" w:eastAsia="zh-CN"/>
        </w:rPr>
        <w:t>增加一个预训练和没有预训练的一个图</w:t>
      </w:r>
    </w:p>
    <w:p w14:paraId="0A4F278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b/>
          <w:bCs/>
          <w:color w:val="FF0000"/>
          <w:lang w:val="en-US" w:eastAsia="zh-CN"/>
        </w:rPr>
      </w:pPr>
      <w:r>
        <w:rPr>
          <w:rFonts w:hint="default"/>
          <w:b/>
          <w:bCs/>
          <w:color w:val="FF0000"/>
          <w:lang w:val="en-US" w:eastAsia="zh-CN"/>
        </w:rPr>
        <w:drawing>
          <wp:inline distT="0" distB="0" distL="114300" distR="114300">
            <wp:extent cx="2047240" cy="1638300"/>
            <wp:effectExtent l="0" t="0" r="10160" b="762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3"/>
                    <a:stretch>
                      <a:fillRect/>
                    </a:stretch>
                  </pic:blipFill>
                  <pic:spPr>
                    <a:xfrm>
                      <a:off x="0" y="0"/>
                      <a:ext cx="2047240" cy="1638300"/>
                    </a:xfrm>
                    <a:prstGeom prst="rect">
                      <a:avLst/>
                    </a:prstGeom>
                  </pic:spPr>
                </pic:pic>
              </a:graphicData>
            </a:graphic>
          </wp:inline>
        </w:drawing>
      </w:r>
    </w:p>
    <w:p w14:paraId="2C8E9145">
      <w:pPr>
        <w:pStyle w:val="4"/>
        <w:bidi w:val="0"/>
        <w:ind w:left="210" w:leftChars="0" w:firstLineChars="0"/>
        <w:rPr>
          <w:rFonts w:hint="default"/>
          <w:lang w:val="en-US" w:eastAsia="zh-CN"/>
        </w:rPr>
      </w:pPr>
      <w:r>
        <w:rPr>
          <w:rFonts w:hint="eastAsia"/>
          <w:lang w:val="en-US" w:eastAsia="zh-CN"/>
        </w:rPr>
        <w:t>参数敏感实验</w:t>
      </w:r>
    </w:p>
    <w:p w14:paraId="30332FF4">
      <w:pPr>
        <w:rPr>
          <w:rFonts w:hint="default"/>
          <w:lang w:val="en-US" w:eastAsia="zh-CN"/>
        </w:rPr>
      </w:pPr>
      <w:r>
        <w:rPr>
          <w:rFonts w:hint="default"/>
          <w:lang w:val="en-US" w:eastAsia="zh-CN"/>
        </w:rPr>
        <w:t xml:space="preserve">为了验证模型在不同超参数设置下的鲁棒性，并探究核心超参数对对比学习性能的影响规律，本节选取了对比损失函数中的温度系数 </w:t>
      </w:r>
      <m:oMathPara>
        <m:oMath>
          <m:r>
            <m:rPr/>
            <w:rPr>
              <w:rFonts w:hint="default" w:ascii="Cambria Math"/>
            </w:rPr>
            <m:t>τ</m:t>
          </m:r>
        </m:oMath>
      </m:oMathPara>
      <w:r>
        <w:rPr>
          <w:rFonts w:hint="default"/>
          <w:lang w:val="en-US" w:eastAsia="zh-CN"/>
        </w:rPr>
        <w:t xml:space="preserve"> (Temperature Coefficient) 进行敏感性实验。实验在 ClinTox 和 BBBP 两个代表性数据集上进行，其他训练参数保持不变。1. 温度系数 $\tau$ 的影响分析温度系数 </w:t>
      </w:r>
      <m:oMath>
        <m:r>
          <m:rPr/>
          <w:rPr>
            <w:rFonts w:hint="default" w:ascii="Cambria Math"/>
          </w:rPr>
          <m:t>τ</m:t>
        </m:r>
      </m:oMath>
      <w:r>
        <w:rPr>
          <w:rFonts w:hint="default"/>
          <w:lang w:val="en-US" w:eastAsia="zh-CN"/>
        </w:rPr>
        <w:t xml:space="preserve"> 在 NT-Xent 损失函数中起着调节负样本梯度的关键作用。图 3-X 展示了模型性能随 </w:t>
      </w:r>
      <m:oMathPara>
        <m:oMath>
          <m:r>
            <m:rPr/>
            <w:rPr>
              <w:rFonts w:hint="default" w:ascii="Cambria Math"/>
            </w:rPr>
            <m:t>τ</m:t>
          </m:r>
        </m:oMath>
      </m:oMathPara>
      <w:r>
        <w:rPr>
          <w:rFonts w:hint="default"/>
          <w:lang w:val="en-US" w:eastAsia="zh-CN"/>
        </w:rPr>
        <w:t xml:space="preserve">值（取值范围 $\{0.05, 0.1, 0.2, 0.5, 1.0\}$）的变化曲线。从图中可以观察到明显的“倒 U 型”趋势，具体分析如下：过小的 </w:t>
      </w:r>
      <m:oMathPara>
        <m:oMath>
          <m:r>
            <m:rPr/>
            <w:rPr>
              <w:rFonts w:hint="default" w:ascii="Cambria Math"/>
            </w:rPr>
            <m:t>τ</m:t>
          </m:r>
        </m:oMath>
      </m:oMathPara>
      <w:r>
        <w:rPr>
          <w:rFonts w:hint="default"/>
          <w:lang w:val="en-US" w:eastAsia="zh-CN"/>
        </w:rPr>
        <w:t xml:space="preserve"> (0.05)：当温度系数过小时，Softmax 分布变得极度尖锐，模型过度关注少量极其困难的负样本（Hard Negatives）。这虽然能提供强梯度的监督信号，但容易引入潜在的假阴性样本噪声，导致优化过程不稳定，模型性能出现显著下降（ClinTox AUROC 降至 0.89 左右）。过大的 </w:t>
      </w:r>
      <m:oMathPara>
        <m:oMath>
          <m:r>
            <m:rPr/>
            <w:rPr>
              <w:rFonts w:hint="default" w:ascii="Cambria Math"/>
            </w:rPr>
            <m:t>τ</m:t>
          </m:r>
        </m:oMath>
      </m:oMathPara>
      <w:r>
        <w:rPr>
          <w:rFonts w:hint="default"/>
          <w:lang w:val="en-US" w:eastAsia="zh-CN"/>
        </w:rPr>
        <w:t xml:space="preserve"> (0.5 - 1.0)：随着温度系数增大，分布趋于平滑，模型对不同负样本的区分能力减弱。当 </w:t>
      </w:r>
      <m:oMathPara>
        <m:oMath>
          <m:r>
            <m:rPr/>
            <w:rPr>
              <w:rFonts w:hint="default" w:ascii="Cambria Math"/>
            </w:rPr>
            <m:t>τ=1.0</m:t>
          </m:r>
        </m:oMath>
      </m:oMathPara>
      <w:r>
        <w:rPr>
          <w:rFonts w:hint="default"/>
          <w:lang w:val="en-US" w:eastAsia="zh-CN"/>
        </w:rPr>
        <w:t xml:space="preserve"> 时，模型实际上是在同等程度地惩罚所有非匹配样本，失去了挖掘难样本的能力，导致特征空间的判别性降低，性能随之衰减。最优区间 (0.1 - 0.2)：实验结果表明，当 </w:t>
      </w:r>
      <m:oMathPara>
        <m:oMath>
          <m:r>
            <m:rPr/>
            <w:rPr>
              <w:rFonts w:hint="default" w:ascii="Cambria Math"/>
            </w:rPr>
            <m:t>τ</m:t>
          </m:r>
        </m:oMath>
      </m:oMathPara>
      <w:r>
        <w:rPr>
          <w:rFonts w:hint="default"/>
          <w:lang w:val="en-US" w:eastAsia="zh-CN"/>
        </w:rPr>
        <w:t xml:space="preserve">设定在 0.1 至 0.2 之间时，模型取得了最佳的预测性能。在此区间内，模型在挖掘难样本与保持训练稳定性之间达到了平衡，能够学习到既具有区分度又具备泛化能力的分子表征。因此，本研究在所有后续实验中均将 </w:t>
      </w:r>
      <m:oMathPara>
        <m:oMath>
          <m:r>
            <m:rPr/>
            <w:rPr>
              <w:rFonts w:hint="default" w:ascii="Cambria Math"/>
            </w:rPr>
            <m:t>τ</m:t>
          </m:r>
        </m:oMath>
      </m:oMathPara>
      <w:r>
        <w:rPr>
          <w:rFonts w:hint="default"/>
          <w:lang w:val="en-US" w:eastAsia="zh-CN"/>
        </w:rPr>
        <w:t xml:space="preserve"> 默认设置为 0.1。</w:t>
      </w:r>
    </w:p>
    <w:p w14:paraId="20BC0539">
      <w:pPr>
        <w:rPr>
          <w:rFonts w:hint="default"/>
          <w:lang w:val="en-US" w:eastAsia="zh-CN"/>
        </w:rPr>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4"/>
                    <a:stretch>
                      <a:fillRect/>
                    </a:stretch>
                  </pic:blipFill>
                  <pic:spPr>
                    <a:xfrm>
                      <a:off x="0" y="0"/>
                      <a:ext cx="5269865" cy="3895725"/>
                    </a:xfrm>
                    <a:prstGeom prst="rect">
                      <a:avLst/>
                    </a:prstGeom>
                    <a:noFill/>
                    <a:ln>
                      <a:noFill/>
                    </a:ln>
                  </pic:spPr>
                </pic:pic>
              </a:graphicData>
            </a:graphic>
          </wp:inline>
        </w:drawing>
      </w:r>
    </w:p>
    <w:p w14:paraId="6CE8FE9F">
      <w:pPr>
        <w:pStyle w:val="3"/>
        <w:bidi w:val="0"/>
        <w:rPr>
          <w:rFonts w:hint="default"/>
          <w:lang w:val="en-US" w:eastAsia="zh-CN"/>
        </w:rPr>
      </w:pPr>
      <w:r>
        <w:rPr>
          <w:rFonts w:hint="eastAsia"/>
          <w:lang w:val="en-US" w:eastAsia="zh-CN"/>
        </w:rPr>
        <w:t>本章小结</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Euphorigenic"/>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B1A76219"/>
    <w:multiLevelType w:val="multilevel"/>
    <w:tmpl w:val="B1A76219"/>
    <w:lvl w:ilvl="0" w:tentative="0">
      <w:start w:val="1"/>
      <w:numFmt w:val="decimal"/>
      <w:pStyle w:val="2"/>
      <w:isLgl/>
      <w:suff w:val="space"/>
      <w:lvlText w:val="%1"/>
      <w:lvlJc w:val="left"/>
      <w:pPr>
        <w:tabs>
          <w:tab w:val="left" w:pos="420"/>
        </w:tabs>
        <w:ind w:left="425" w:hanging="425"/>
      </w:pPr>
      <w:rPr>
        <w:rFonts w:hint="default"/>
      </w:rPr>
    </w:lvl>
    <w:lvl w:ilvl="1" w:tentative="0">
      <w:start w:val="1"/>
      <w:numFmt w:val="decimal"/>
      <w:pStyle w:val="3"/>
      <w:isLgl/>
      <w:suff w:val="space"/>
      <w:lvlText w:val="%1.%2"/>
      <w:lvlJc w:val="left"/>
      <w:pPr>
        <w:tabs>
          <w:tab w:val="left" w:pos="420"/>
        </w:tabs>
        <w:ind w:left="567" w:hanging="567"/>
      </w:pPr>
      <w:rPr>
        <w:rFonts w:hint="default"/>
      </w:rPr>
    </w:lvl>
    <w:lvl w:ilvl="2" w:tentative="0">
      <w:start w:val="1"/>
      <w:numFmt w:val="decimal"/>
      <w:pStyle w:val="4"/>
      <w:isLgl/>
      <w:suff w:val="space"/>
      <w:lvlText w:val="%1.%2.%3"/>
      <w:lvlJc w:val="left"/>
      <w:pPr>
        <w:tabs>
          <w:tab w:val="left" w:pos="0"/>
        </w:tabs>
        <w:ind w:left="919" w:hanging="709"/>
      </w:pPr>
      <w:rPr>
        <w:rFonts w:hint="default"/>
      </w:rPr>
    </w:lvl>
    <w:lvl w:ilvl="3" w:tentative="0">
      <w:start w:val="1"/>
      <w:numFmt w:val="decimal"/>
      <w:pStyle w:val="5"/>
      <w:isLg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3">
    <w:nsid w:val="3139FD21"/>
    <w:multiLevelType w:val="multilevel"/>
    <w:tmpl w:val="3139FD21"/>
    <w:lvl w:ilvl="0" w:tentative="0">
      <w:start w:val="1"/>
      <w:numFmt w:val="decimal"/>
      <w:pStyle w:val="26"/>
      <w:suff w:val="space"/>
      <w:lvlText w:val="%1、"/>
      <w:lvlJc w:val="left"/>
      <w:pPr>
        <w:tabs>
          <w:tab w:val="left" w:pos="420"/>
        </w:tabs>
        <w:ind w:left="0" w:firstLine="0"/>
      </w:pPr>
      <w:rPr>
        <w:rFonts w:hint="default"/>
      </w:rPr>
    </w:lvl>
    <w:lvl w:ilvl="1" w:tentative="0">
      <w:start w:val="1"/>
      <w:numFmt w:val="decimal"/>
      <w:pStyle w:val="24"/>
      <w:isLgl/>
      <w:suff w:val="space"/>
      <w:lvlText w:val="%2.1"/>
      <w:lvlJc w:val="left"/>
      <w:pPr>
        <w:tabs>
          <w:tab w:val="left" w:pos="0"/>
        </w:tabs>
        <w:ind w:left="851" w:firstLine="0"/>
      </w:pPr>
      <w:rPr>
        <w:rFonts w:hint="default"/>
      </w:rPr>
    </w:lvl>
    <w:lvl w:ilvl="2" w:tentative="0">
      <w:start w:val="1"/>
      <w:numFmt w:val="decimal"/>
      <w:pStyle w:val="27"/>
      <w:isLgl/>
      <w:lvlText w:val="%2.%3.1"/>
      <w:lvlJc w:val="left"/>
      <w:pPr>
        <w:tabs>
          <w:tab w:val="left" w:pos="420"/>
        </w:tabs>
        <w:ind w:left="0" w:firstLine="0"/>
      </w:pPr>
      <w:rPr>
        <w:rFonts w:hint="eastAsia"/>
      </w:rPr>
    </w:lvl>
    <w:lvl w:ilvl="3" w:tentative="0">
      <w:start w:val="1"/>
      <w:numFmt w:val="decimal"/>
      <w:pStyle w:val="28"/>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1"/>
  </w:num>
  <w:num w:numId="2">
    <w:abstractNumId w:val="2"/>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D5FB4"/>
    <w:rsid w:val="01150B21"/>
    <w:rsid w:val="018502B5"/>
    <w:rsid w:val="01DB1C83"/>
    <w:rsid w:val="03AE3AF3"/>
    <w:rsid w:val="0433224A"/>
    <w:rsid w:val="05A849B2"/>
    <w:rsid w:val="064F49ED"/>
    <w:rsid w:val="06510766"/>
    <w:rsid w:val="06B62CBE"/>
    <w:rsid w:val="06E11AE9"/>
    <w:rsid w:val="071E0F8F"/>
    <w:rsid w:val="07754928"/>
    <w:rsid w:val="08155C5D"/>
    <w:rsid w:val="08805332"/>
    <w:rsid w:val="08CE2541"/>
    <w:rsid w:val="0935611C"/>
    <w:rsid w:val="0A0B19C3"/>
    <w:rsid w:val="0ABF0394"/>
    <w:rsid w:val="0B04049C"/>
    <w:rsid w:val="0B6B22C9"/>
    <w:rsid w:val="0BD64449"/>
    <w:rsid w:val="0BFF569C"/>
    <w:rsid w:val="0C965756"/>
    <w:rsid w:val="0CDC2ACA"/>
    <w:rsid w:val="0D9773A6"/>
    <w:rsid w:val="0E6A3D66"/>
    <w:rsid w:val="0ED168E7"/>
    <w:rsid w:val="0F503503"/>
    <w:rsid w:val="0F7C2CF7"/>
    <w:rsid w:val="10596B94"/>
    <w:rsid w:val="10D475A4"/>
    <w:rsid w:val="11380C28"/>
    <w:rsid w:val="118A0FD0"/>
    <w:rsid w:val="11CC3396"/>
    <w:rsid w:val="120548F1"/>
    <w:rsid w:val="1212349F"/>
    <w:rsid w:val="13313DF9"/>
    <w:rsid w:val="13741F37"/>
    <w:rsid w:val="13BE388E"/>
    <w:rsid w:val="144B713C"/>
    <w:rsid w:val="14667AD2"/>
    <w:rsid w:val="14681A9C"/>
    <w:rsid w:val="146944C2"/>
    <w:rsid w:val="14E37374"/>
    <w:rsid w:val="15CF1017"/>
    <w:rsid w:val="1666772B"/>
    <w:rsid w:val="16721235"/>
    <w:rsid w:val="16EE3830"/>
    <w:rsid w:val="17887D5F"/>
    <w:rsid w:val="1B593EEC"/>
    <w:rsid w:val="1BCA6B98"/>
    <w:rsid w:val="1BDB2F6A"/>
    <w:rsid w:val="1C884062"/>
    <w:rsid w:val="1D37025D"/>
    <w:rsid w:val="1D8B05A9"/>
    <w:rsid w:val="1F3F2EA1"/>
    <w:rsid w:val="1F5E18DF"/>
    <w:rsid w:val="1F7F074A"/>
    <w:rsid w:val="1FCF02AE"/>
    <w:rsid w:val="1FE673DA"/>
    <w:rsid w:val="20DB53A4"/>
    <w:rsid w:val="20F01385"/>
    <w:rsid w:val="21423675"/>
    <w:rsid w:val="214E0CB3"/>
    <w:rsid w:val="220A5F40"/>
    <w:rsid w:val="222A07C5"/>
    <w:rsid w:val="22F9340A"/>
    <w:rsid w:val="23E876FD"/>
    <w:rsid w:val="25641E0C"/>
    <w:rsid w:val="257A162F"/>
    <w:rsid w:val="25853B30"/>
    <w:rsid w:val="264D3A61"/>
    <w:rsid w:val="26FB67A0"/>
    <w:rsid w:val="27866B9F"/>
    <w:rsid w:val="27E71EA9"/>
    <w:rsid w:val="27F60D15"/>
    <w:rsid w:val="289E73E3"/>
    <w:rsid w:val="292A511A"/>
    <w:rsid w:val="29FA6504"/>
    <w:rsid w:val="2BCC4267"/>
    <w:rsid w:val="2C536B29"/>
    <w:rsid w:val="2C5F332D"/>
    <w:rsid w:val="2C7072E8"/>
    <w:rsid w:val="2C906D58"/>
    <w:rsid w:val="2CCD473A"/>
    <w:rsid w:val="2CEB4BC0"/>
    <w:rsid w:val="2CFE5A0D"/>
    <w:rsid w:val="2D577A9F"/>
    <w:rsid w:val="2D984BB1"/>
    <w:rsid w:val="2DF45CF7"/>
    <w:rsid w:val="2E0F77BA"/>
    <w:rsid w:val="2F917CA1"/>
    <w:rsid w:val="2FBA3380"/>
    <w:rsid w:val="2FBC06DB"/>
    <w:rsid w:val="2FD656B4"/>
    <w:rsid w:val="2FFE2E5D"/>
    <w:rsid w:val="30586A11"/>
    <w:rsid w:val="32220E91"/>
    <w:rsid w:val="333077D1"/>
    <w:rsid w:val="34B61F58"/>
    <w:rsid w:val="34CE2DFE"/>
    <w:rsid w:val="34DF14AF"/>
    <w:rsid w:val="3575596F"/>
    <w:rsid w:val="35EA1EB9"/>
    <w:rsid w:val="361433DA"/>
    <w:rsid w:val="36401AD9"/>
    <w:rsid w:val="36794FEB"/>
    <w:rsid w:val="36A75037"/>
    <w:rsid w:val="37841E99"/>
    <w:rsid w:val="381F1BC2"/>
    <w:rsid w:val="38F17A02"/>
    <w:rsid w:val="39025256"/>
    <w:rsid w:val="39551D3F"/>
    <w:rsid w:val="3963760F"/>
    <w:rsid w:val="39B30BBC"/>
    <w:rsid w:val="39FE4A9D"/>
    <w:rsid w:val="3B7566C9"/>
    <w:rsid w:val="3BA7755B"/>
    <w:rsid w:val="3BDD426E"/>
    <w:rsid w:val="3D143CBF"/>
    <w:rsid w:val="3D2B25F8"/>
    <w:rsid w:val="3D6119C4"/>
    <w:rsid w:val="3DA94408"/>
    <w:rsid w:val="3E047E0A"/>
    <w:rsid w:val="3E4800C5"/>
    <w:rsid w:val="3F0F0BE2"/>
    <w:rsid w:val="3F12422F"/>
    <w:rsid w:val="3F32042D"/>
    <w:rsid w:val="3FC65745"/>
    <w:rsid w:val="40BB2DD0"/>
    <w:rsid w:val="40E90FBF"/>
    <w:rsid w:val="41F12821"/>
    <w:rsid w:val="42694565"/>
    <w:rsid w:val="427B20EB"/>
    <w:rsid w:val="431F0E8B"/>
    <w:rsid w:val="436D237B"/>
    <w:rsid w:val="44044A8E"/>
    <w:rsid w:val="440C3157"/>
    <w:rsid w:val="44444E8A"/>
    <w:rsid w:val="44E80FE1"/>
    <w:rsid w:val="455A06DD"/>
    <w:rsid w:val="45837C34"/>
    <w:rsid w:val="45B352DC"/>
    <w:rsid w:val="45CB21F7"/>
    <w:rsid w:val="45CF4C28"/>
    <w:rsid w:val="482F17FF"/>
    <w:rsid w:val="48A77906"/>
    <w:rsid w:val="490E6F34"/>
    <w:rsid w:val="49217DF9"/>
    <w:rsid w:val="4941408E"/>
    <w:rsid w:val="494D47E1"/>
    <w:rsid w:val="4AB34B18"/>
    <w:rsid w:val="4B8204BE"/>
    <w:rsid w:val="4C4507B6"/>
    <w:rsid w:val="4D551EB6"/>
    <w:rsid w:val="4D8B14D9"/>
    <w:rsid w:val="4DB33B09"/>
    <w:rsid w:val="4EBB21ED"/>
    <w:rsid w:val="4F1813ED"/>
    <w:rsid w:val="4F576D80"/>
    <w:rsid w:val="4FA30A16"/>
    <w:rsid w:val="525C3CE7"/>
    <w:rsid w:val="528E3D51"/>
    <w:rsid w:val="53D55AFF"/>
    <w:rsid w:val="546B0211"/>
    <w:rsid w:val="55844E99"/>
    <w:rsid w:val="55B44A7B"/>
    <w:rsid w:val="560E70A6"/>
    <w:rsid w:val="572D5C52"/>
    <w:rsid w:val="583B7EFB"/>
    <w:rsid w:val="58B061F7"/>
    <w:rsid w:val="58C16652"/>
    <w:rsid w:val="59576FB6"/>
    <w:rsid w:val="5A3B2CC9"/>
    <w:rsid w:val="5B305D11"/>
    <w:rsid w:val="5B4F0B23"/>
    <w:rsid w:val="5B4F731A"/>
    <w:rsid w:val="5B993B5A"/>
    <w:rsid w:val="5BF907F8"/>
    <w:rsid w:val="5C983B6D"/>
    <w:rsid w:val="5D814602"/>
    <w:rsid w:val="5D9A3915"/>
    <w:rsid w:val="5EA7453C"/>
    <w:rsid w:val="5F573763"/>
    <w:rsid w:val="5FC01AAC"/>
    <w:rsid w:val="6045400C"/>
    <w:rsid w:val="60D1764E"/>
    <w:rsid w:val="61D513C0"/>
    <w:rsid w:val="621C33F7"/>
    <w:rsid w:val="621E4B15"/>
    <w:rsid w:val="634E31D8"/>
    <w:rsid w:val="637C5F97"/>
    <w:rsid w:val="639332E1"/>
    <w:rsid w:val="65711400"/>
    <w:rsid w:val="666902A6"/>
    <w:rsid w:val="68464DC5"/>
    <w:rsid w:val="68E36170"/>
    <w:rsid w:val="692A78CC"/>
    <w:rsid w:val="69502941"/>
    <w:rsid w:val="69D81A4D"/>
    <w:rsid w:val="69F97043"/>
    <w:rsid w:val="6A2373A8"/>
    <w:rsid w:val="6A627569"/>
    <w:rsid w:val="6AAF6C52"/>
    <w:rsid w:val="6CCA3A1C"/>
    <w:rsid w:val="6CE81FA7"/>
    <w:rsid w:val="6E577D47"/>
    <w:rsid w:val="6F170AB2"/>
    <w:rsid w:val="6F745D74"/>
    <w:rsid w:val="6F9562E9"/>
    <w:rsid w:val="6FD1766A"/>
    <w:rsid w:val="6FE27182"/>
    <w:rsid w:val="70756248"/>
    <w:rsid w:val="709B2013"/>
    <w:rsid w:val="70AF4C91"/>
    <w:rsid w:val="71267542"/>
    <w:rsid w:val="71706A0F"/>
    <w:rsid w:val="723D2D95"/>
    <w:rsid w:val="7248226E"/>
    <w:rsid w:val="72783DCD"/>
    <w:rsid w:val="72EC6569"/>
    <w:rsid w:val="752E2E69"/>
    <w:rsid w:val="75A803EA"/>
    <w:rsid w:val="76E2215D"/>
    <w:rsid w:val="771B020D"/>
    <w:rsid w:val="77435AB2"/>
    <w:rsid w:val="78407BB7"/>
    <w:rsid w:val="78533470"/>
    <w:rsid w:val="78BE62B2"/>
    <w:rsid w:val="79921C19"/>
    <w:rsid w:val="79A47B9E"/>
    <w:rsid w:val="7A023EF6"/>
    <w:rsid w:val="7A220727"/>
    <w:rsid w:val="7AFD1314"/>
    <w:rsid w:val="7B1F572E"/>
    <w:rsid w:val="7B95154C"/>
    <w:rsid w:val="7BAE5340"/>
    <w:rsid w:val="7BC23531"/>
    <w:rsid w:val="7CEF576A"/>
    <w:rsid w:val="7DD722F0"/>
    <w:rsid w:val="7E3E236F"/>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1"/>
    <w:autoRedefine/>
    <w:qFormat/>
    <w:uiPriority w:val="0"/>
    <w:pPr>
      <w:keepNext/>
      <w:keepLines/>
      <w:numPr>
        <w:ilvl w:val="0"/>
        <w:numId w:val="1"/>
      </w:numPr>
      <w:spacing w:line="360" w:lineRule="auto"/>
      <w:ind w:left="425" w:hanging="425"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2"/>
    <w:autoRedefine/>
    <w:unhideWhenUsed/>
    <w:qFormat/>
    <w:uiPriority w:val="0"/>
    <w:pPr>
      <w:numPr>
        <w:ilvl w:val="1"/>
        <w:numId w:val="1"/>
      </w:numPr>
      <w:spacing w:beforeAutospacing="1" w:afterAutospacing="1" w:line="360" w:lineRule="auto"/>
      <w:ind w:left="567" w:hanging="567" w:firstLineChars="0"/>
      <w:jc w:val="left"/>
      <w:outlineLvl w:val="1"/>
    </w:pPr>
    <w:rPr>
      <w:rFonts w:ascii="宋体" w:hAnsi="宋体" w:eastAsia="宋体" w:cs="宋体"/>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宋体" w:hAnsi="宋体" w:eastAsia="宋体" w:cs="宋体"/>
      <w:b/>
      <w:bCs/>
      <w:kern w:val="0"/>
      <w:sz w:val="24"/>
      <w:szCs w:val="27"/>
      <w:lang w:bidi="ar"/>
    </w:rPr>
  </w:style>
  <w:style w:type="paragraph" w:styleId="5">
    <w:name w:val="heading 4"/>
    <w:basedOn w:val="1"/>
    <w:next w:val="1"/>
    <w:autoRedefine/>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TML Code"/>
    <w:basedOn w:val="18"/>
    <w:uiPriority w:val="0"/>
    <w:rPr>
      <w:rFonts w:ascii="Courier New" w:hAnsi="Courier New"/>
      <w:sz w:val="20"/>
    </w:rPr>
  </w:style>
  <w:style w:type="character" w:customStyle="1" w:styleId="21">
    <w:name w:val="标题 1 字符"/>
    <w:link w:val="2"/>
    <w:qFormat/>
    <w:uiPriority w:val="9"/>
    <w:rPr>
      <w:rFonts w:ascii="Times New Roman" w:hAnsi="Times New Roman" w:eastAsia="宋体" w:cs="Times New Roman"/>
      <w:bCs/>
      <w:color w:val="1C1F23"/>
      <w:kern w:val="44"/>
      <w:sz w:val="36"/>
      <w:szCs w:val="24"/>
    </w:rPr>
  </w:style>
  <w:style w:type="character" w:customStyle="1" w:styleId="22">
    <w:name w:val="标题 2 字符"/>
    <w:link w:val="3"/>
    <w:autoRedefine/>
    <w:qFormat/>
    <w:uiPriority w:val="0"/>
    <w:rPr>
      <w:rFonts w:ascii="宋体" w:hAnsi="宋体" w:eastAsia="宋体" w:cs="宋体"/>
      <w:b/>
      <w:bCs/>
      <w:kern w:val="0"/>
      <w:sz w:val="28"/>
      <w:szCs w:val="36"/>
      <w:lang w:val="en-US" w:eastAsia="zh-CN" w:bidi="ar"/>
    </w:rPr>
  </w:style>
  <w:style w:type="paragraph" w:customStyle="1" w:styleId="23">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4">
    <w:name w:val="中期二级标题"/>
    <w:basedOn w:val="1"/>
    <w:link w:val="25"/>
    <w:qFormat/>
    <w:uiPriority w:val="0"/>
    <w:pPr>
      <w:numPr>
        <w:ilvl w:val="1"/>
        <w:numId w:val="3"/>
      </w:numPr>
      <w:ind w:left="851"/>
    </w:pPr>
    <w:rPr>
      <w:rFonts w:ascii="黑体" w:hAnsi="黑体" w:eastAsia="黑体"/>
      <w:sz w:val="32"/>
      <w:szCs w:val="32"/>
    </w:rPr>
  </w:style>
  <w:style w:type="character" w:customStyle="1" w:styleId="25">
    <w:name w:val="中期二级标题 字符"/>
    <w:link w:val="24"/>
    <w:qFormat/>
    <w:uiPriority w:val="0"/>
    <w:rPr>
      <w:rFonts w:ascii="黑体" w:hAnsi="黑体" w:eastAsia="黑体"/>
      <w:kern w:val="2"/>
      <w:sz w:val="32"/>
      <w:szCs w:val="32"/>
      <w:lang w:val="en-US" w:eastAsia="zh-CN" w:bidi="ar-SA"/>
    </w:rPr>
  </w:style>
  <w:style w:type="paragraph" w:customStyle="1" w:styleId="26">
    <w:name w:val="中期一级标题"/>
    <w:basedOn w:val="1"/>
    <w:qFormat/>
    <w:uiPriority w:val="0"/>
    <w:pPr>
      <w:numPr>
        <w:ilvl w:val="0"/>
        <w:numId w:val="3"/>
      </w:numPr>
      <w:ind w:firstLine="0" w:firstLineChars="0"/>
    </w:pPr>
  </w:style>
  <w:style w:type="paragraph" w:customStyle="1" w:styleId="27">
    <w:name w:val="中期三级标题"/>
    <w:basedOn w:val="1"/>
    <w:qFormat/>
    <w:uiPriority w:val="0"/>
    <w:pPr>
      <w:numPr>
        <w:ilvl w:val="2"/>
        <w:numId w:val="3"/>
      </w:numPr>
      <w:ind w:firstLine="0" w:firstLineChars="0"/>
    </w:pPr>
  </w:style>
  <w:style w:type="paragraph" w:customStyle="1" w:styleId="28">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5062</Words>
  <Characters>6024</Characters>
  <Lines>0</Lines>
  <Paragraphs>0</Paragraphs>
  <TotalTime>1295</TotalTime>
  <ScaleCrop>false</ScaleCrop>
  <LinksUpToDate>false</LinksUpToDate>
  <CharactersWithSpaces>6129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2026-02-08T14:22:18Z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