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9E14C6E">
      <w:pPr>
        <w:pStyle w:val="2"/>
        <w:numPr>
          <w:ilvl w:val="0"/>
          <w:numId w:val="0"/>
        </w:numPr>
      </w:pPr>
      <w:r>
        <w:rPr>
          <w:rFonts w:hint="eastAsia"/>
        </w:rPr>
        <w:t>摘要</w:t>
      </w:r>
    </w:p>
    <w:p w14:paraId="733DC9DC">
      <w:pPr>
        <w:pStyle w:val="2"/>
        <w:numPr>
          <w:ilvl w:val="0"/>
          <w:numId w:val="0"/>
        </w:numPr>
      </w:pPr>
      <w:r>
        <w:t>Abstract</w:t>
      </w:r>
    </w:p>
    <w:p w14:paraId="2475FC14">
      <w:pPr>
        <w:pStyle w:val="2"/>
        <w:ind w:left="425" w:hanging="425"/>
        <w:jc w:val="both"/>
      </w:pPr>
      <w:r>
        <w:rPr>
          <w:rFonts w:hint="eastAsia"/>
        </w:rPr>
        <w:t>引言</w:t>
      </w:r>
    </w:p>
    <w:p w14:paraId="5D54482E">
      <w:pPr>
        <w:pStyle w:val="3"/>
        <w:spacing w:beforeAutospacing="0" w:afterAutospacing="0"/>
      </w:pPr>
      <w:r>
        <w:rPr>
          <w:rFonts w:hint="eastAsia"/>
        </w:rPr>
        <w:t>研究背景及意义</w:t>
      </w:r>
    </w:p>
    <w:p w14:paraId="05620067">
      <w:pPr>
        <w:ind w:firstLine="480"/>
      </w:pPr>
      <w:r>
        <w:rPr>
          <w:rFonts w:hint="eastAsia"/>
        </w:rPr>
        <w:t>药物研发是一个复杂且漫长的过程，面临着诸多挑战。其中，高成本、长周期和低成功率是最为突出的问题。对于</w:t>
      </w:r>
      <w:r>
        <w:t>药物</w:t>
      </w:r>
      <w:r>
        <w:rPr>
          <w:rFonts w:hint="eastAsia"/>
        </w:rPr>
        <w:t>分子</w:t>
      </w:r>
      <w:r>
        <w:t>的发现与优化，实质上是围绕“分子—性质—功能”三元关系的高强度迭代：给定一个候选分子，需要在极其广阔的化学空间中快速、可靠地推断其理化、生物活性与安全性属性（如溶解度、渗透性、代谢稳定性、毒性、结合/抑制活性等），以决定是否继续合成、筛选与优化。传统药物化学依赖实验驱动的高通量筛选与定向合成，这些流程耗时、昂贵且试错率高。如何在“湿实验”发生前，利用计算方法快速预测分子性质、缩小搜索空间，已成为现代药物研发的关键抓手之一。Therapeutics Data Commons（TDC）将性质预测定义为小分子在体内的吸收、分布、代谢、排泄与毒性相关指标的机器学习建模任务，这些指标直接关系到药效与安全窗，是候选药物能否走到临床前/临床阶段的“硬门槛”。</w:t>
      </w:r>
    </w:p>
    <w:p w14:paraId="1BB63448">
      <w:pPr>
        <w:ind w:firstLine="480"/>
        <w:rPr>
          <w:b/>
        </w:rPr>
      </w:pPr>
      <w:r>
        <w:rPr>
          <w:rStyle w:val="20"/>
          <w:rFonts w:ascii="宋体" w:hAnsi="宋体"/>
          <w:b w:val="0"/>
          <w:bCs/>
        </w:rPr>
        <w:t>机器学习的兴起</w:t>
      </w:r>
      <w:r>
        <w:t>显著改变了分子性质预测的范式。早期QSAR/QSPR方法依赖人工构建的分子描述符与指纹；近年来，深度学习可以端到端地从序列（SMILES/SELFIES）、图结构（原子为点、键为边）乃至三维几何构象中自动学习表征。MoleculeNe</w:t>
      </w:r>
      <w:r>
        <w:rPr>
          <w:rFonts w:hint="eastAsia"/>
        </w:rPr>
        <w:t>t</w:t>
      </w:r>
      <w:r>
        <w:fldChar w:fldCharType="begin"/>
      </w:r>
      <w:r>
        <w:instrText xml:space="preserve"> </w:instrText>
      </w:r>
      <w:r>
        <w:rPr>
          <w:rFonts w:hint="eastAsia"/>
        </w:rPr>
        <w:instrText xml:space="preserve">REF _Ref209798639 \r \h</w:instrText>
      </w:r>
      <w:r>
        <w:instrText xml:space="preserve"> </w:instrText>
      </w:r>
      <w:r>
        <w:fldChar w:fldCharType="separate"/>
      </w:r>
      <w:r>
        <w:t>[1]</w:t>
      </w:r>
      <w:r>
        <w:fldChar w:fldCharType="end"/>
      </w:r>
      <w:r>
        <w:t>的提出，系统整合了多种公开数据集与评价指标，推动了可比性的算法评测，也明确了数据稀疏、类别不平衡、物理约束融入不足等难题。</w:t>
      </w:r>
    </w:p>
    <w:p w14:paraId="38005EDC">
      <w:pPr>
        <w:ind w:firstLine="480"/>
      </w:pPr>
      <w:r>
        <w:t>在模型形态上，图神经网络（GNN）</w:t>
      </w:r>
      <w:r>
        <w:fldChar w:fldCharType="begin"/>
      </w:r>
      <w:r>
        <w:instrText xml:space="preserve"> REF _Ref209798908 \r \h </w:instrText>
      </w:r>
      <w:r>
        <w:fldChar w:fldCharType="separate"/>
      </w:r>
      <w:r>
        <w:t>[3]</w:t>
      </w:r>
      <w:r>
        <w:fldChar w:fldCharType="end"/>
      </w:r>
      <w:r>
        <w:t>成为分子图学习的主力；其后，Graph</w:t>
      </w:r>
      <w:r>
        <w:rPr>
          <w:rFonts w:hint="eastAsia"/>
        </w:rPr>
        <w:t xml:space="preserve"> </w:t>
      </w:r>
      <w:r>
        <w:rPr>
          <w:rStyle w:val="20"/>
          <w:b w:val="0"/>
          <w:bCs/>
        </w:rPr>
        <w:t>Transformer</w:t>
      </w:r>
      <w:r>
        <w:rPr>
          <w:rStyle w:val="20"/>
          <w:b w:val="0"/>
          <w:bCs/>
        </w:rPr>
        <w:fldChar w:fldCharType="begin"/>
      </w:r>
      <w:r>
        <w:rPr>
          <w:rStyle w:val="20"/>
          <w:b w:val="0"/>
          <w:bCs/>
        </w:rPr>
        <w:instrText xml:space="preserve"> REF _Ref209798994 \r \h </w:instrText>
      </w:r>
      <w:r>
        <w:rPr>
          <w:rStyle w:val="20"/>
          <w:b w:val="0"/>
          <w:bCs/>
        </w:rPr>
        <w:fldChar w:fldCharType="separate"/>
      </w:r>
      <w:r>
        <w:rPr>
          <w:rStyle w:val="20"/>
          <w:b w:val="0"/>
          <w:bCs/>
        </w:rPr>
        <w:t>[4]</w:t>
      </w:r>
      <w:r>
        <w:rPr>
          <w:rStyle w:val="20"/>
          <w:b w:val="0"/>
          <w:bCs/>
        </w:rPr>
        <w:fldChar w:fldCharType="end"/>
      </w:r>
      <w:r>
        <w:t>与</w:t>
      </w:r>
      <w:r>
        <w:rPr>
          <w:rStyle w:val="20"/>
          <w:b w:val="0"/>
          <w:bCs/>
        </w:rPr>
        <w:t>等变网络</w:t>
      </w:r>
      <w:r>
        <w:t>（SE(3)-Equivariant Transformers）</w:t>
      </w:r>
      <w:r>
        <w:fldChar w:fldCharType="begin"/>
      </w:r>
      <w:r>
        <w:instrText xml:space="preserve"> REF _Ref209799120 \r \h </w:instrText>
      </w:r>
      <w:r>
        <w:fldChar w:fldCharType="separate"/>
      </w:r>
      <w:r>
        <w:t>[5]</w:t>
      </w:r>
      <w:r>
        <w:fldChar w:fldCharType="end"/>
      </w:r>
      <w:r>
        <w:t>进一步拉高了上限。例如Graphormer</w:t>
      </w:r>
      <w:r>
        <w:fldChar w:fldCharType="begin"/>
      </w:r>
      <w:r>
        <w:instrText xml:space="preserve"> REF _Ref209799135 \r \h </w:instrText>
      </w:r>
      <w:r>
        <w:fldChar w:fldCharType="separate"/>
      </w:r>
      <w:r>
        <w:t>[6]</w:t>
      </w:r>
      <w:r>
        <w:fldChar w:fldCharType="end"/>
      </w:r>
      <w:r>
        <w:t>在大规模分子性质任务上展现出强竞争力，并探索了面向3D建模的适配；而</w:t>
      </w:r>
      <w:r>
        <w:rPr>
          <w:rStyle w:val="20"/>
          <w:b w:val="0"/>
          <w:bCs/>
        </w:rPr>
        <w:t>Uni-Mol</w:t>
      </w:r>
      <w:r>
        <w:rPr>
          <w:rStyle w:val="20"/>
          <w:b w:val="0"/>
          <w:bCs/>
        </w:rPr>
        <w:fldChar w:fldCharType="begin"/>
      </w:r>
      <w:r>
        <w:rPr>
          <w:rStyle w:val="20"/>
          <w:b w:val="0"/>
          <w:bCs/>
        </w:rPr>
        <w:instrText xml:space="preserve"> REF _Ref209799332 \r \h </w:instrText>
      </w:r>
      <w:r>
        <w:rPr>
          <w:rStyle w:val="20"/>
          <w:b w:val="0"/>
          <w:bCs/>
        </w:rPr>
        <w:fldChar w:fldCharType="separate"/>
      </w:r>
      <w:r>
        <w:rPr>
          <w:rStyle w:val="20"/>
          <w:b w:val="0"/>
          <w:bCs/>
        </w:rPr>
        <w:t>[7]</w:t>
      </w:r>
      <w:r>
        <w:rPr>
          <w:rStyle w:val="20"/>
          <w:b w:val="0"/>
          <w:bCs/>
        </w:rPr>
        <w:fldChar w:fldCharType="end"/>
      </w:r>
      <w:r>
        <w:t>则以2.09亿三维分子构象与300万蛋白口袋数据进行预训练，显著扩展了下游任务适用性与表征能力，代表了“分子基础模型”的重要方向。2024年开始，面向分子图的基础模型（如MolE</w:t>
      </w:r>
      <w:r>
        <w:fldChar w:fldCharType="begin"/>
      </w:r>
      <w:r>
        <w:instrText xml:space="preserve"> REF _Ref209799418 \r \h </w:instrText>
      </w:r>
      <w:r>
        <w:fldChar w:fldCharType="separate"/>
      </w:r>
      <w:r>
        <w:t>[8]</w:t>
      </w:r>
      <w:r>
        <w:fldChar w:fldCharType="end"/>
      </w:r>
      <w:r>
        <w:t>）进一步强调可迁移性与通用性，凸显“预训练—微调”在化学空间的有效性</w:t>
      </w:r>
      <w:r>
        <w:rPr>
          <w:rFonts w:hint="eastAsia"/>
        </w:rPr>
        <w:t>。</w:t>
      </w:r>
    </w:p>
    <w:p w14:paraId="0143FA50">
      <w:pPr>
        <w:ind w:firstLine="480"/>
      </w:pPr>
      <w:r>
        <w:rPr>
          <w:rStyle w:val="20"/>
          <w:rFonts w:ascii="宋体" w:hAnsi="宋体" w:cs="宋体"/>
          <w:b w:val="0"/>
          <w:bCs/>
        </w:rPr>
        <w:t>单一模态的表达难以穷尽分子的多尺度、多物理、多语义特征</w:t>
      </w:r>
      <w:r>
        <w:rPr>
          <w:rFonts w:cs="宋体"/>
          <w:b/>
          <w:bCs/>
        </w:rPr>
        <w:t>，</w:t>
      </w:r>
      <w:r>
        <w:rPr>
          <w:rFonts w:cs="宋体"/>
        </w:rPr>
        <w:t>在跨数据集泛化、模态缺失鲁棒与可解释审计方面均存在短板</w:t>
      </w:r>
      <w:r>
        <w:rPr>
          <w:rFonts w:hint="eastAsia" w:cs="宋体"/>
        </w:rPr>
        <w:t>。</w:t>
      </w:r>
      <w:r>
        <w:br w:type="textWrapping"/>
      </w:r>
      <w:r>
        <w:t>1）</w:t>
      </w:r>
      <w:r>
        <w:rPr>
          <w:rStyle w:val="20"/>
          <w:b w:val="0"/>
          <w:bCs/>
        </w:rPr>
        <w:t>模态表达互补性</w:t>
      </w:r>
      <w:r>
        <w:t>：序列便于规模化预训练但丢失几何约束；2D图反映键连拓扑却难显式捕获立体构型；3D几何提供构象级信息但对数据获取、等变建模提出挑战。</w:t>
      </w:r>
      <w:r>
        <w:br w:type="textWrapping"/>
      </w:r>
      <w:r>
        <w:t>2）</w:t>
      </w:r>
      <w:r>
        <w:rPr>
          <w:rStyle w:val="20"/>
          <w:b w:val="0"/>
          <w:bCs/>
        </w:rPr>
        <w:t>任务域迁移与模态缺失</w:t>
      </w:r>
      <w:r>
        <w:t>：下游场景中常缺乏某些辅助模态（如文本描述、谱图、蛋白口袋），导致“训练—推理模态不一致”。</w:t>
      </w:r>
      <w:r>
        <w:br w:type="textWrapping"/>
      </w:r>
      <w:r>
        <w:t>3）</w:t>
      </w:r>
      <w:r>
        <w:rPr>
          <w:rStyle w:val="20"/>
          <w:b w:val="0"/>
          <w:bCs/>
        </w:rPr>
        <w:t>数据质量与评测体系</w:t>
      </w:r>
      <w:r>
        <w:t>：不同实验条件/平台带来的标签噪声与域偏移，给模型泛化带来挑战；即便MoleculeNet带来了统一起点，仍有研究指出当前基准在构造、划分与现实贴合度上存在改进空间，需要更贴近真实药研流程的评测方案与拆分策略。</w:t>
      </w:r>
    </w:p>
    <w:p w14:paraId="27E6811E">
      <w:pPr>
        <w:ind w:firstLine="480"/>
      </w:pPr>
      <w:r>
        <w:t>为缓解上述问题，近</w:t>
      </w:r>
      <w:r>
        <w:rPr>
          <w:rFonts w:hint="eastAsia"/>
        </w:rPr>
        <w:t>些年来，有些</w:t>
      </w:r>
      <w:r>
        <w:t>研究沿两条主线推进：</w:t>
      </w:r>
    </w:p>
    <w:p w14:paraId="50F41C43">
      <w:pPr>
        <w:ind w:firstLine="480"/>
      </w:pPr>
      <w:r>
        <w:t>多模态融合：将序列、2D图与3D几何</w:t>
      </w:r>
      <w:r>
        <w:rPr>
          <w:rFonts w:hint="eastAsia"/>
        </w:rPr>
        <w:t>、</w:t>
      </w:r>
      <w:r>
        <w:t>甚至谱学、性质文本、知识图谱进行联合表示学习，以获取更全面的分子刻画。SGGRL</w:t>
      </w:r>
      <w:r>
        <w:fldChar w:fldCharType="begin"/>
      </w:r>
      <w:r>
        <w:instrText xml:space="preserve"> REF _Ref209799621 \r \h </w:instrText>
      </w:r>
      <w:r>
        <w:fldChar w:fldCharType="separate"/>
      </w:r>
      <w:r>
        <w:t>[9]</w:t>
      </w:r>
      <w:r>
        <w:fldChar w:fldCharType="end"/>
      </w:r>
      <w:r>
        <w:t>即在融合层中对多模态表示进行统一，并通过对比学习实现“同分子跨模态一致、异分子可分”的目标；而</w:t>
      </w:r>
      <w:r>
        <w:rPr>
          <w:rFonts w:hint="eastAsia"/>
        </w:rPr>
        <w:t>MolFPG</w:t>
      </w:r>
      <w:r>
        <w:fldChar w:fldCharType="begin"/>
      </w:r>
      <w:r>
        <w:instrText xml:space="preserve"> </w:instrText>
      </w:r>
      <w:r>
        <w:rPr>
          <w:rFonts w:hint="eastAsia"/>
        </w:rPr>
        <w:instrText xml:space="preserve">REF _Ref209951133 \r \h</w:instrText>
      </w:r>
      <w:r>
        <w:instrText xml:space="preserve"> </w:instrText>
      </w:r>
      <w:r>
        <w:fldChar w:fldCharType="separate"/>
      </w:r>
      <w:r>
        <w:t>[10]</w:t>
      </w:r>
      <w:r>
        <w:fldChar w:fldCharType="end"/>
      </w:r>
      <w:r>
        <w:t>进一步将指纹、图、三维构象结合，引入自适应注意力与对抗式对比学习来提升鲁棒性与可解释性。</w:t>
      </w:r>
    </w:p>
    <w:p w14:paraId="3FED1CCE">
      <w:pPr>
        <w:ind w:firstLine="480"/>
      </w:pPr>
      <w:r>
        <w:t>知识增强与文本信号：MolPrompt</w:t>
      </w:r>
      <w:r>
        <w:fldChar w:fldCharType="begin"/>
      </w:r>
      <w:r>
        <w:instrText xml:space="preserve"> REF _Ref209951224 \r \h </w:instrText>
      </w:r>
      <w:r>
        <w:fldChar w:fldCharType="separate"/>
      </w:r>
      <w:r>
        <w:t>[11]</w:t>
      </w:r>
      <w:r>
        <w:fldChar w:fldCharType="end"/>
      </w:r>
      <w:r>
        <w:t>用图编码器（Graphormer）与文本编码器（BERT</w:t>
      </w:r>
      <w:r>
        <w:fldChar w:fldCharType="begin"/>
      </w:r>
      <w:r>
        <w:instrText xml:space="preserve"> REF _Ref209951395 \r \h </w:instrText>
      </w:r>
      <w:r>
        <w:fldChar w:fldCharType="separate"/>
      </w:r>
      <w:r>
        <w:t>[12]</w:t>
      </w:r>
      <w:r>
        <w:fldChar w:fldCharType="end"/>
      </w:r>
      <w:r>
        <w:t>）双塔对比，关键在于把理化描述符转写为“知识提示”并注入图侧，引导结构—知识的对齐，使模型更好地理解“结构—性质”的规律并提升可迁移性</w:t>
      </w:r>
      <w:r>
        <w:rPr>
          <w:rFonts w:hint="eastAsia"/>
        </w:rPr>
        <w:t>。</w:t>
      </w:r>
      <w:r>
        <w:t>与此同时，</w:t>
      </w:r>
      <w:r>
        <w:rPr>
          <w:rStyle w:val="20"/>
          <w:b w:val="0"/>
          <w:bCs/>
        </w:rPr>
        <w:t>GNN范式</w:t>
      </w:r>
      <w:r>
        <w:t>仍在快速演化，例如面向“最短链路传讯”的chain-aware GNN</w:t>
      </w:r>
      <w:r>
        <w:fldChar w:fldCharType="begin"/>
      </w:r>
      <w:r>
        <w:instrText xml:space="preserve"> REF _Ref209951506 \r \h </w:instrText>
      </w:r>
      <w:r>
        <w:fldChar w:fldCharType="separate"/>
      </w:r>
      <w:r>
        <w:t>[13]</w:t>
      </w:r>
      <w:r>
        <w:fldChar w:fldCharType="end"/>
      </w:r>
      <w:r>
        <w:t>、可解释性与参数效率并重的KA-GNN</w:t>
      </w:r>
      <w:r>
        <w:fldChar w:fldCharType="begin"/>
      </w:r>
      <w:r>
        <w:instrText xml:space="preserve"> REF _Ref209951522 \r \h </w:instrText>
      </w:r>
      <w:r>
        <w:fldChar w:fldCharType="separate"/>
      </w:r>
      <w:r>
        <w:t>[14]</w:t>
      </w:r>
      <w:r>
        <w:fldChar w:fldCharType="end"/>
      </w:r>
      <w:r>
        <w:t>等，体现出在几何学习、长程依赖与可解释方面的持续改良。</w:t>
      </w:r>
    </w:p>
    <w:p w14:paraId="0676E08F">
      <w:pPr>
        <w:ind w:firstLine="480"/>
      </w:pPr>
      <w:r>
        <w:t>综上，分子性质预测正从“单一模态与任务定制模型”加速迈向“多模态、知识增强与基础模型”的阶段：既追求准确率/鲁棒性提升，也强调可解释性、迁移性与现实可用性。</w:t>
      </w:r>
    </w:p>
    <w:p w14:paraId="199179A3">
      <w:pPr>
        <w:ind w:firstLine="0" w:firstLineChars="0"/>
      </w:pPr>
      <w:r>
        <w:t>多模态预训练与跨模态对齐，有望把“序列法则—拓扑约束—三维物理”与“理化知识—文本先验”纳入统一表征空间，缩短“结构—性质”的语义鸿沟，为“化学语言学—图几何—物理先验”的综合建模提供路径。Uni-Mol</w:t>
      </w:r>
      <w:r>
        <w:fldChar w:fldCharType="begin"/>
      </w:r>
      <w:r>
        <w:instrText xml:space="preserve"> REF _Ref209951676 \r \h </w:instrText>
      </w:r>
      <w:r>
        <w:fldChar w:fldCharType="separate"/>
      </w:r>
      <w:r>
        <w:t>[15]</w:t>
      </w:r>
      <w:r>
        <w:fldChar w:fldCharType="end"/>
      </w:r>
      <w:r>
        <w:t>、MolE</w:t>
      </w:r>
      <w:r>
        <w:fldChar w:fldCharType="begin"/>
      </w:r>
      <w:r>
        <w:instrText xml:space="preserve"> REF _Ref209951740 \r \h </w:instrText>
      </w:r>
      <w:r>
        <w:fldChar w:fldCharType="separate"/>
      </w:r>
      <w:r>
        <w:t>[16]</w:t>
      </w:r>
      <w:r>
        <w:fldChar w:fldCharType="end"/>
      </w:r>
      <w:r>
        <w:t>等工作表明，一旦预训练语料与任务谱系足够广，模型对陌生化学子空间具备更强的可迁移性，这对于探索“暗化学空间”尤为关键。</w:t>
      </w:r>
      <w:r>
        <w:rPr>
          <w:rFonts w:hint="eastAsia"/>
        </w:rPr>
        <w:t>并且</w:t>
      </w:r>
      <w:r>
        <w:t>仅依赖统计相关性的黑箱模型难以经受药学验证。通过引入3D构象、等变约束、能量/相互作用先验与药理知识文本提示，模型可在一定程度上朝“结构—相互作用—性质”的</w:t>
      </w:r>
      <w:r>
        <w:rPr>
          <w:rStyle w:val="20"/>
          <w:b w:val="0"/>
          <w:bCs/>
        </w:rPr>
        <w:t>机制一致性</w:t>
      </w:r>
      <w:r>
        <w:t>逼近，提升外推能力与解释力。Graphormer适配3D建模、等变Transformer</w:t>
      </w:r>
      <w:r>
        <w:fldChar w:fldCharType="begin"/>
      </w:r>
      <w:r>
        <w:instrText xml:space="preserve"> REF _Ref209951814 \r \h </w:instrText>
      </w:r>
      <w:r>
        <w:fldChar w:fldCharType="separate"/>
      </w:r>
      <w:r>
        <w:t>[17]</w:t>
      </w:r>
      <w:r>
        <w:fldChar w:fldCharType="end"/>
      </w:r>
      <w:r>
        <w:t>实践以及知识提示注入，某种程度上都体现了“物理/知识一致性”的趋势。</w:t>
      </w:r>
      <w:r>
        <w:rPr>
          <w:rFonts w:hint="eastAsia"/>
        </w:rPr>
        <w:t>在基准数据集上，</w:t>
      </w:r>
      <w:r>
        <w:t>MoleculeNet奠定了评测基础，但也暴露了与真实流程的差距。围绕更合理的数据拆分（基于Murcko scaffold、时序拆分等）、更贴近研发生命线的指标组合（多任务、多目标权衡）、更严谨的统计检验，学界与业界正形成共识。对基准的持续打磨不仅防止“过拟合基准”，也将指引模型走向真正可用。</w:t>
      </w:r>
    </w:p>
    <w:p w14:paraId="7CF411B7">
      <w:pPr>
        <w:pStyle w:val="3"/>
        <w:spacing w:beforeAutospacing="0" w:afterAutospacing="0"/>
        <w:ind w:left="567" w:hanging="567"/>
      </w:pPr>
      <w:r>
        <w:rPr>
          <w:rFonts w:hint="eastAsia"/>
        </w:rPr>
        <w:t>国内外研究现状</w:t>
      </w:r>
    </w:p>
    <w:p w14:paraId="3A589FD4">
      <w:pPr>
        <w:ind w:firstLine="480"/>
      </w:pPr>
      <w:r>
        <w:rPr>
          <w:rFonts w:hint="eastAsia"/>
        </w:rPr>
        <w:t>这厮国内外现状这厮国内外现状这厮国内外现状这厮国内外现状这厮国内外现状这厮国内外现状。</w:t>
      </w:r>
    </w:p>
    <w:p w14:paraId="74F855B7">
      <w:pPr>
        <w:pStyle w:val="3"/>
        <w:spacing w:beforeAutospacing="0" w:afterAutospacing="0"/>
        <w:ind w:left="567" w:hanging="567"/>
      </w:pPr>
      <w:r>
        <w:rPr>
          <w:rFonts w:hint="eastAsia"/>
        </w:rPr>
        <w:t>主要研究内容</w:t>
      </w:r>
    </w:p>
    <w:p w14:paraId="75FD352E">
      <w:pPr>
        <w:ind w:firstLine="480"/>
      </w:pPr>
      <w:r>
        <w:rPr>
          <w:rFonts w:hint="eastAsia"/>
        </w:rPr>
        <w:t>这厮国内外现状这厮国内外现状这厮国内外现状这厮国内外现状这厮国内外现状这厮国内外现状。</w:t>
      </w:r>
    </w:p>
    <w:p w14:paraId="0DEE0E8A">
      <w:pPr>
        <w:pStyle w:val="3"/>
        <w:spacing w:beforeAutospacing="0" w:afterAutospacing="0"/>
        <w:ind w:left="567" w:hanging="567"/>
      </w:pPr>
      <w:r>
        <w:rPr>
          <w:rFonts w:hint="eastAsia"/>
        </w:rPr>
        <w:t>本文组织架构</w:t>
      </w:r>
    </w:p>
    <w:p w14:paraId="00B07C1C">
      <w:pPr>
        <w:ind w:firstLine="480"/>
      </w:pPr>
      <w:r>
        <w:rPr>
          <w:rFonts w:hint="eastAsia"/>
        </w:rPr>
        <w:t>这厮国内外现状这厮国内外现状这厮国内外现状这厮国内外现状这厮国内外现状这厮国内外现状。</w:t>
      </w:r>
    </w:p>
    <w:p w14:paraId="0D95E596">
      <w:pPr>
        <w:pStyle w:val="2"/>
        <w:ind w:left="425" w:hanging="425"/>
      </w:pPr>
      <w:r>
        <w:rPr>
          <w:rFonts w:hint="eastAsia"/>
        </w:rPr>
        <w:t>相关理论基础</w:t>
      </w:r>
    </w:p>
    <w:p w14:paraId="4A9573CD">
      <w:pPr>
        <w:pStyle w:val="3"/>
        <w:spacing w:beforeAutospacing="0" w:afterAutospacing="0"/>
        <w:ind w:left="567" w:hanging="567"/>
      </w:pPr>
      <w:r>
        <w:rPr>
          <w:rFonts w:hint="eastAsia"/>
        </w:rPr>
        <w:t>数据表征方法</w:t>
      </w:r>
    </w:p>
    <w:p w14:paraId="62884950">
      <w:pPr>
        <w:pStyle w:val="4"/>
        <w:rPr>
          <w:rFonts w:hint="default"/>
        </w:rPr>
      </w:pPr>
      <w:r>
        <w:t>SMILES</w:t>
      </w:r>
    </w:p>
    <w:p w14:paraId="21716F4F">
      <w:pPr>
        <w:ind w:firstLine="480"/>
      </w:pPr>
      <w:r>
        <w:rPr>
          <w:rFonts w:hint="eastAsia"/>
        </w:rPr>
        <w:t>简化分子线性输入规范(Simplified Molecular Input Line Entry System,SMILES)是将分子的二维或三维结构信息降维为一维字符串序列的最常用方法之一。SMILES通过对分子图进行深度优先遍历(Depth-First Search,DFS)生成线性字符串。其编码遵循严格的化学语法规则：节点(原子)由标准元素符号(如H、C、S)表示；边(化学键)由特定字符(如“=”表示双键，“#”表示三键)标定；分支结构通过括号“()”进行嵌套声明；环状结构则通过在开环和闭环原子处标记相同数字来实现断键重连。使用SMILES生成的序列具有天然紧凑性，且高度契合自然语言处理(NLP)领域的序列模型。通过特定分词算法，可将SMILES字符串映射至高维向量空间，进而利用神经网络算法对其进行特征提取。</w:t>
      </w:r>
    </w:p>
    <w:p w14:paraId="17C7FD19">
      <w:pPr>
        <w:pStyle w:val="4"/>
        <w:rPr>
          <w:rFonts w:hint="default"/>
        </w:rPr>
      </w:pPr>
      <w:r>
        <w:t>二维拓扑</w:t>
      </w:r>
    </w:p>
    <w:p w14:paraId="6E4561ED">
      <w:pPr>
        <w:ind w:firstLine="480"/>
      </w:pPr>
      <w:r>
        <w:rPr>
          <w:rFonts w:hint="eastAsia"/>
        </w:rPr>
        <w:t>分子在客观物理空间中表现为原子通过共价键连接而成的多体系统，这种结构可以自然地抽象为非欧几里得空间中的无向属性图（Undirected Attributed Graph）$G = (V, E)$。在图表征中，$V$ 表示节点（原子）集合，$E$ 表示边（化学键）集合。为了在图神经网络（GNN）中进行消息传递，需要为节点和边构建初始特征矩阵：节点特征矩阵 $X_v \in \mathbb{R}^{|V| \times d_v}$：其中 $|V|$ 为原子总数，$d_v$ 为原子特征维度。常见的原子特征包括原子序数、电负性、杂化轨道类型（如 $sp, sp^2, sp^3$）、隐式氢原子数量、形式电荷及是否具有手性等。边特征矩阵 $X_e \in \mathbb{R}^{|E| \times d_e}$：其中 $|E|$ 为化学键总数，$d_e$ 为边特征维度。常见的边特征包括化学键类型（单键、双键、三键、芳香键）、是否处于共轭体系以及是否属于环结构等。二维拓扑图表征完整保留了分子的骨架连接性（Connectivity）与图同构不变性（Graph Isomorphism Invariance），是捕捉局部化学环境与远端原子拓扑依赖的最佳数据结构。</w:t>
      </w:r>
    </w:p>
    <w:p w14:paraId="76CAA3A0">
      <w:pPr>
        <w:pStyle w:val="4"/>
        <w:rPr>
          <w:rFonts w:hint="default"/>
        </w:rPr>
      </w:pPr>
      <w:r>
        <w:t>分子指纹</w:t>
      </w:r>
    </w:p>
    <w:p w14:paraId="56F42BEE">
      <w:pPr>
        <w:ind w:firstLine="480"/>
      </w:pPr>
      <w:r>
        <w:rPr>
          <w:rFonts w:hint="eastAsia"/>
        </w:rPr>
        <w:t>分子指纹（Molecular Fingerprints）是一种将分子的局部子结构、拓扑路径或特定官能团编码为固定长度特征向量的表征方法。其本质通常是一个固定长度的二进制位数组，其中每一位代表特定的分子特征。基于“结构相似性原理”，指纹的相似性通常预示着分子间具有相似的理化性质或生物活性。分子指纹将结构各异、大小不一的分子转化为维度统一的数值向量，从而使其能够作为标准化输入，高效地应用于各类机器学习模型。</w:t>
      </w:r>
    </w:p>
    <w:p w14:paraId="70463E92">
      <w:pPr>
        <w:pStyle w:val="4"/>
        <w:rPr>
          <w:rFonts w:hint="default"/>
        </w:rPr>
      </w:pPr>
      <w:r>
        <w:t>文本语义</w:t>
      </w:r>
    </w:p>
    <w:p w14:paraId="51DB6392">
      <w:pPr>
        <w:ind w:firstLine="480"/>
      </w:pPr>
      <w:r>
        <w:rPr>
          <w:rFonts w:hint="eastAsia"/>
        </w:rPr>
        <w:t>纯粹的序列或拓扑图表征往往局限于微观的化学结构层次，难以直接映射到宏观的药代动力学特性与生物学靶点机制。自然语言与理化知识表征通过引入外部专家经验与客观计算指标，为模型提供高阶语义信息。</w:t>
      </w:r>
    </w:p>
    <w:p w14:paraId="6887ADAE">
      <w:pPr>
        <w:ind w:firstLine="480"/>
      </w:pPr>
      <w:r>
        <w:rPr>
          <w:rFonts w:hint="eastAsia"/>
        </w:rPr>
        <w:t>该表征主要分为两部分：</w:t>
      </w:r>
    </w:p>
    <w:p w14:paraId="381EDDA7">
      <w:pPr>
        <w:ind w:firstLine="480"/>
      </w:pPr>
      <w:r>
        <w:rPr>
          <w:rFonts w:hint="eastAsia"/>
        </w:rPr>
        <w:t>定量理化属性：利用化学信息学工具（如 RDKit）依据分子的 2D 结构计算客观存在的物理化学指标。核心参数包括脂水分配系数（LogP）、拓扑极性表面积（TPSA）、精确分子量（Exact MW）以及可旋转键数量等。这些连续的数值变量对分子的透膜性与溶解度具有决定性的指示作用。</w:t>
      </w:r>
    </w:p>
    <w:p w14:paraId="132A29A9">
      <w:pPr>
        <w:ind w:firstLine="480"/>
      </w:pPr>
      <w:r>
        <w:rPr>
          <w:rFonts w:hint="eastAsia"/>
        </w:rPr>
        <w:t>定性语义文本：利用结构化的医学数据库记录或大语言模型生成的逻辑推理文本，将分子的靶点结合倾向、潜在毒性机制及官能团作用以自然语言的形式进行编码。通过预训练语言模型的语义投影，该表征能够有效弥合“微观图结构”与“宏观生物活性”之间的语义鸿沟。</w:t>
      </w:r>
      <w:bookmarkStart w:id="0" w:name="_GoBack"/>
      <w:bookmarkEnd w:id="0"/>
    </w:p>
    <w:p w14:paraId="538CF1A4">
      <w:pPr>
        <w:ind w:firstLine="480"/>
      </w:pPr>
      <w:r>
        <w:rPr>
          <w:rFonts w:hint="eastAsia"/>
        </w:rPr>
        <w:t>图xxx各模态表征图</w:t>
      </w:r>
    </w:p>
    <w:p w14:paraId="611EF1B9">
      <w:pPr>
        <w:ind w:left="0" w:leftChars="0" w:firstLine="0" w:firstLineChars="0"/>
        <w:rPr>
          <w:rFonts w:hint="eastAsia" w:eastAsia="宋体"/>
          <w:lang w:eastAsia="zh-CN"/>
        </w:rPr>
      </w:pPr>
      <w:r>
        <w:rPr>
          <w:rFonts w:hint="eastAsia" w:eastAsia="宋体"/>
          <w:lang w:eastAsia="zh-CN"/>
        </w:rPr>
        <w:drawing>
          <wp:inline distT="0" distB="0" distL="114300" distR="114300">
            <wp:extent cx="5266690" cy="2694940"/>
            <wp:effectExtent l="0" t="0" r="6350" b="2540"/>
            <wp:docPr id="1" name="图片 1" descr="分子表征图.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分子表征图.drawio"/>
                    <pic:cNvPicPr>
                      <a:picLocks noChangeAspect="1"/>
                    </pic:cNvPicPr>
                  </pic:nvPicPr>
                  <pic:blipFill>
                    <a:blip r:embed="rId6"/>
                    <a:stretch>
                      <a:fillRect/>
                    </a:stretch>
                  </pic:blipFill>
                  <pic:spPr>
                    <a:xfrm>
                      <a:off x="0" y="0"/>
                      <a:ext cx="5266690" cy="2694940"/>
                    </a:xfrm>
                    <a:prstGeom prst="rect">
                      <a:avLst/>
                    </a:prstGeom>
                  </pic:spPr>
                </pic:pic>
              </a:graphicData>
            </a:graphic>
          </wp:inline>
        </w:drawing>
      </w:r>
    </w:p>
    <w:p w14:paraId="7B2C3B8B">
      <w:pPr>
        <w:pStyle w:val="3"/>
        <w:spacing w:beforeAutospacing="0" w:afterAutospacing="0"/>
        <w:ind w:left="567" w:hanging="567"/>
      </w:pPr>
      <w:r>
        <w:rPr>
          <w:rFonts w:hint="eastAsia"/>
        </w:rPr>
        <w:t>图神经网络</w:t>
      </w:r>
    </w:p>
    <w:p w14:paraId="6AF52E91">
      <w:pPr>
        <w:ind w:firstLine="480"/>
      </w:pPr>
      <w:r>
        <w:rPr>
          <w:rFonts w:hint="eastAsia"/>
        </w:rPr>
        <w:t>分子结构本质上是由原子与共价键构成的非欧几里得空间数据，传统的卷积神经网络（CNN）与循环神经网络（RNN）无法直接处理此类不规则的拓扑连接。图神经网络（Graph Neural Networks, GNN）通过在节点（原子）及其拓扑邻域之间执行特征聚合与非线性变换，成为了当前分子图表示学习的标准范式。本节将系统梳理图卷积、图注意力机制、消息传递框架以及图 Transformer 的核心理论。</w:t>
      </w:r>
    </w:p>
    <w:p w14:paraId="5B08603E">
      <w:pPr>
        <w:pStyle w:val="4"/>
        <w:rPr>
          <w:rFonts w:hint="default"/>
        </w:rPr>
      </w:pPr>
      <w:r>
        <w:t>图卷积网络</w:t>
      </w:r>
    </w:p>
    <w:p w14:paraId="6A7D6F07">
      <w:pPr>
        <w:ind w:firstLine="480"/>
        <w:rPr>
          <w:rFonts w:hint="eastAsia"/>
        </w:rPr>
      </w:pPr>
      <w:r>
        <w:rPr>
          <w:rFonts w:hint="eastAsia"/>
        </w:rPr>
        <w:t>图卷积网络（GCN）旨在将经典卷积操作从欧几里得空间推广至图域。基于谱图理论的一阶切比雪夫多项式近似，GCN 的前向传播过程主要依赖于对节点局部邻域的对称归一化聚合。设</w:t>
      </w:r>
      <m:oMathPara>
        <m:oMath>
          <m:sSup>
            <m:sSupPr>
              <m:ctrlPr>
                <w:rPr>
                  <w:rFonts w:hint="default" w:ascii="Cambria Math"/>
                </w:rPr>
              </m:ctrlPr>
            </m:sSupPr>
            <m:e>
              <m:r>
                <m:rPr/>
                <w:rPr>
                  <w:rFonts w:hint="default" w:ascii="Cambria Math"/>
                </w:rPr>
                <m:t>H</m:t>
              </m:r>
            </m:e>
            <m:sup>
              <m:r>
                <m:rPr/>
                <w:rPr>
                  <w:rFonts w:hint="default" w:ascii="Cambria Math"/>
                </w:rPr>
                <m:t>(l)</m:t>
              </m:r>
            </m:sup>
          </m:sSup>
          <m:r>
            <m:rPr/>
            <w:rPr>
              <w:rFonts w:hint="default" w:ascii="Cambria Math"/>
            </w:rPr>
            <m:t>∈</m:t>
          </m:r>
          <m:sSup>
            <m:sSupPr>
              <m:ctrlPr>
                <w:rPr>
                  <w:rFonts w:hint="default" w:ascii="Cambria Math"/>
                </w:rPr>
              </m:ctrlPr>
            </m:sSupPr>
            <m:e>
              <m:r>
                <m:rPr>
                  <m:scr m:val="double-struck"/>
                </m:rPr>
                <w:rPr>
                  <w:rFonts w:hint="default" w:ascii="Cambria Math"/>
                </w:rPr>
                <m:t>ℝ</m:t>
              </m:r>
            </m:e>
            <m:sup>
              <m:r>
                <m:rPr/>
                <w:rPr>
                  <w:rFonts w:hint="default" w:ascii="Cambria Math"/>
                </w:rPr>
                <m:t>|V|</m:t>
              </m:r>
              <m:r>
                <m:rPr>
                  <m:sty m:val="p"/>
                </m:rPr>
                <w:rPr>
                  <w:rFonts w:hint="default" w:ascii="Cambria Math"/>
                </w:rPr>
                <m:t>×</m:t>
              </m:r>
              <m:r>
                <m:rPr/>
                <w:rPr>
                  <w:rFonts w:hint="default" w:ascii="Cambria Math"/>
                </w:rPr>
                <m:t>d</m:t>
              </m:r>
            </m:sup>
          </m:sSup>
        </m:oMath>
      </m:oMathPara>
      <w:r>
        <w:rPr>
          <w:rFonts w:hint="eastAsia"/>
        </w:rPr>
        <w:t>为第</w:t>
      </w:r>
      <m:oMathPara>
        <m:oMath>
          <m:r>
            <m:rPr/>
            <w:rPr>
              <w:rFonts w:hint="default" w:ascii="Cambria Math"/>
            </w:rPr>
            <m:t>l</m:t>
          </m:r>
        </m:oMath>
      </m:oMathPara>
      <w:r>
        <w:rPr>
          <w:rFonts w:hint="eastAsia"/>
        </w:rPr>
        <w:t>层的节点特征矩阵，其特征更新公式定义为：</w:t>
      </w:r>
    </w:p>
    <w:p w14:paraId="1F408869">
      <w:pPr>
        <w:ind w:firstLine="480"/>
        <w:rPr>
          <w:rFonts w:hint="eastAsia"/>
        </w:rPr>
      </w:pPr>
      <m:oMathPara>
        <m:oMath>
          <m:sSup>
            <m:sSupPr>
              <m:ctrlPr>
                <w:rPr>
                  <w:rFonts w:hint="default" w:ascii="Cambria Math"/>
                </w:rPr>
              </m:ctrlPr>
            </m:sSupPr>
            <m:e>
              <m:r>
                <m:rPr/>
                <w:rPr>
                  <w:rFonts w:hint="default" w:ascii="Cambria Math"/>
                </w:rPr>
                <m:t>H</m:t>
              </m:r>
            </m:e>
            <m:sup>
              <m:r>
                <m:rPr/>
                <w:rPr>
                  <w:rFonts w:hint="default" w:ascii="Cambria Math"/>
                </w:rPr>
                <m:t>(l+1)</m:t>
              </m:r>
            </m:sup>
          </m:sSup>
          <m:r>
            <m:rPr/>
            <w:rPr>
              <w:rFonts w:hint="default" w:ascii="Cambria Math"/>
            </w:rPr>
            <m:t>=σ(</m:t>
          </m:r>
          <m:sSup>
            <m:sSupPr>
              <m:ctrlPr>
                <w:rPr>
                  <w:rFonts w:hint="default" w:ascii="Cambria Math"/>
                </w:rPr>
              </m:ctrlPr>
            </m:sSupPr>
            <m:e>
              <m:acc>
                <m:accPr>
                  <m:chr m:val="̃"/>
                  <m:ctrlPr>
                    <w:rPr>
                      <w:rFonts w:hint="default" w:ascii="Cambria Math"/>
                    </w:rPr>
                  </m:ctrlPr>
                </m:accPr>
                <m:e>
                  <m:r>
                    <m:rPr/>
                    <w:rPr>
                      <w:rFonts w:hint="default" w:ascii="Cambria Math"/>
                    </w:rPr>
                    <m:t>D</m:t>
                  </m:r>
                </m:e>
              </m:acc>
              <m:ctrlPr>
                <w:rPr>
                  <w:rFonts w:hint="default" w:ascii="Cambria Math"/>
                </w:rPr>
              </m:ctrlPr>
            </m:e>
            <m:sup>
              <m:r>
                <m:rPr/>
                <w:rPr>
                  <w:rFonts w:hint="default" w:ascii="Cambria Math"/>
                </w:rPr>
                <m:t>−</m:t>
              </m:r>
              <m:f>
                <m:fPr>
                  <m:ctrlPr>
                    <w:rPr>
                      <w:rFonts w:hint="default" w:ascii="Cambria Math" w:hAnsi="Cambria Math"/>
                      <w:i/>
                    </w:rPr>
                  </m:ctrlPr>
                </m:fPr>
                <m:num>
                  <m:r>
                    <m:rPr/>
                    <w:rPr>
                      <w:rFonts w:hint="default" w:ascii="Cambria Math"/>
                    </w:rPr>
                    <m:t>1</m:t>
                  </m:r>
                </m:num>
                <m:den>
                  <m:r>
                    <m:rPr/>
                    <w:rPr>
                      <w:rFonts w:hint="default" w:ascii="Cambria Math"/>
                    </w:rPr>
                    <m:t>2</m:t>
                  </m:r>
                </m:den>
              </m:f>
              <m:ctrlPr>
                <w:rPr>
                  <w:rFonts w:hint="default" w:ascii="Cambria Math" w:hAnsi="Cambria Math"/>
                  <w:i/>
                </w:rPr>
              </m:ctrlPr>
            </m:sup>
          </m:sSup>
          <m:acc>
            <m:accPr>
              <m:chr m:val="̃"/>
              <m:ctrlPr>
                <w:rPr>
                  <w:rFonts w:hint="default" w:ascii="Cambria Math"/>
                </w:rPr>
              </m:ctrlPr>
            </m:accPr>
            <m:e>
              <m:r>
                <m:rPr/>
                <w:rPr>
                  <w:rFonts w:hint="default" w:ascii="Cambria Math"/>
                </w:rPr>
                <m:t>A</m:t>
              </m:r>
              <m:ctrlPr>
                <w:rPr>
                  <w:rFonts w:hint="default" w:ascii="Cambria Math" w:hAnsi="Cambria Math"/>
                  <w:i/>
                </w:rPr>
              </m:ctrlPr>
            </m:e>
          </m:acc>
          <m:sSup>
            <m:sSupPr>
              <m:ctrlPr>
                <w:rPr>
                  <w:rFonts w:hint="default" w:ascii="Cambria Math"/>
                </w:rPr>
              </m:ctrlPr>
            </m:sSupPr>
            <m:e>
              <m:acc>
                <m:accPr>
                  <m:chr m:val="̃"/>
                  <m:ctrlPr>
                    <w:rPr>
                      <w:rFonts w:hint="default" w:ascii="Cambria Math"/>
                    </w:rPr>
                  </m:ctrlPr>
                </m:accPr>
                <m:e>
                  <m:r>
                    <m:rPr/>
                    <w:rPr>
                      <w:rFonts w:hint="default" w:ascii="Cambria Math"/>
                    </w:rPr>
                    <m:t>D</m:t>
                  </m:r>
                </m:e>
              </m:acc>
              <m:ctrlPr>
                <w:rPr>
                  <w:rFonts w:hint="default" w:ascii="Cambria Math"/>
                </w:rPr>
              </m:ctrlPr>
            </m:e>
            <m:sup>
              <m:r>
                <m:rPr/>
                <w:rPr>
                  <w:rFonts w:hint="default" w:ascii="Cambria Math"/>
                </w:rPr>
                <m:t>−</m:t>
              </m:r>
              <m:f>
                <m:fPr>
                  <m:ctrlPr>
                    <w:rPr>
                      <w:rFonts w:hint="default" w:ascii="Cambria Math" w:hAnsi="Cambria Math"/>
                      <w:i/>
                    </w:rPr>
                  </m:ctrlPr>
                </m:fPr>
                <m:num>
                  <m:r>
                    <m:rPr/>
                    <w:rPr>
                      <w:rFonts w:hint="default" w:ascii="Cambria Math"/>
                    </w:rPr>
                    <m:t>1</m:t>
                  </m:r>
                </m:num>
                <m:den>
                  <m:r>
                    <m:rPr/>
                    <w:rPr>
                      <w:rFonts w:hint="default" w:ascii="Cambria Math"/>
                    </w:rPr>
                    <m:t>2</m:t>
                  </m:r>
                </m:den>
              </m:f>
              <m:ctrlPr>
                <w:rPr>
                  <w:rFonts w:hint="default" w:ascii="Cambria Math" w:hAnsi="Cambria Math"/>
                  <w:i/>
                </w:rPr>
              </m:ctrlPr>
            </m:sup>
          </m:sSup>
          <m:sSup>
            <m:sSupPr>
              <m:ctrlPr>
                <w:rPr>
                  <w:rFonts w:hint="default" w:ascii="Cambria Math"/>
                </w:rPr>
              </m:ctrlPr>
            </m:sSupPr>
            <m:e>
              <m:r>
                <m:rPr/>
                <w:rPr>
                  <w:rFonts w:hint="default" w:ascii="Cambria Math"/>
                </w:rPr>
                <m:t>H</m:t>
              </m:r>
              <m:ctrlPr>
                <w:rPr>
                  <w:rFonts w:hint="default" w:ascii="Cambria Math" w:hAnsi="Cambria Math"/>
                  <w:i/>
                </w:rPr>
              </m:ctrlPr>
            </m:e>
            <m:sup>
              <m:r>
                <m:rPr/>
                <w:rPr>
                  <w:rFonts w:hint="default" w:ascii="Cambria Math"/>
                </w:rPr>
                <m:t>(l)</m:t>
              </m:r>
              <m:ctrlPr>
                <w:rPr>
                  <w:rFonts w:hint="default" w:ascii="Cambria Math" w:hAnsi="Cambria Math"/>
                  <w:i/>
                </w:rPr>
              </m:ctrlPr>
            </m:sup>
          </m:sSup>
          <m:sSup>
            <m:sSupPr>
              <m:ctrlPr>
                <w:rPr>
                  <w:rFonts w:hint="default" w:ascii="Cambria Math"/>
                </w:rPr>
              </m:ctrlPr>
            </m:sSupPr>
            <m:e>
              <m:r>
                <m:rPr/>
                <w:rPr>
                  <w:rFonts w:hint="default" w:ascii="Cambria Math"/>
                </w:rPr>
                <m:t>W</m:t>
              </m:r>
              <m:ctrlPr>
                <w:rPr>
                  <w:rFonts w:hint="default" w:ascii="Cambria Math" w:hAnsi="Cambria Math"/>
                  <w:i/>
                </w:rPr>
              </m:ctrlPr>
            </m:e>
            <m:sup>
              <m:r>
                <m:rPr/>
                <w:rPr>
                  <w:rFonts w:hint="default" w:ascii="Cambria Math"/>
                </w:rPr>
                <m:t>(l)</m:t>
              </m:r>
              <m:ctrlPr>
                <w:rPr>
                  <w:rFonts w:hint="default" w:ascii="Cambria Math" w:hAnsi="Cambria Math"/>
                  <w:i/>
                </w:rPr>
              </m:ctrlPr>
            </m:sup>
          </m:sSup>
          <m:r>
            <m:rPr/>
            <w:rPr>
              <w:rFonts w:hint="default" w:ascii="Cambria Math"/>
            </w:rPr>
            <m:t>)</m:t>
          </m:r>
        </m:oMath>
      </m:oMathPara>
    </w:p>
    <w:p w14:paraId="6B611631">
      <w:pPr>
        <w:ind w:firstLine="480"/>
      </w:pPr>
      <w:r>
        <w:rPr>
          <w:rFonts w:hint="eastAsia"/>
        </w:rPr>
        <w:t>其中</w:t>
      </w:r>
      <m:oMathPara>
        <m:oMath>
          <m:r>
            <m:rPr>
              <m:sty m:val="p"/>
            </m:rPr>
            <w:rPr>
              <w:rFonts w:hint="default" w:ascii="Cambria Math"/>
            </w:rPr>
            <m:t>，</m:t>
          </m:r>
          <m:acc>
            <m:accPr>
              <m:chr m:val="̃"/>
              <m:ctrlPr>
                <w:rPr>
                  <w:rFonts w:hint="default" w:ascii="Cambria Math"/>
                </w:rPr>
              </m:ctrlPr>
            </m:accPr>
            <m:e>
              <m:r>
                <m:rPr/>
                <w:rPr>
                  <w:rFonts w:hint="default" w:ascii="Cambria Math"/>
                </w:rPr>
                <m:t>A</m:t>
              </m:r>
            </m:e>
          </m:acc>
          <m:r>
            <m:rPr/>
            <w:rPr>
              <w:rFonts w:hint="default" w:ascii="Cambria Math"/>
            </w:rPr>
            <m:t>=A+I</m:t>
          </m:r>
        </m:oMath>
      </m:oMathPara>
      <w:r>
        <w:rPr>
          <w:rFonts w:hint="eastAsia"/>
        </w:rPr>
        <w:t>为添加了自环的邻接矩阵，以保留节点自身信息；</w:t>
      </w:r>
      <m:oMathPara>
        <m:oMath>
          <m:acc>
            <m:accPr>
              <m:chr m:val="̃"/>
              <m:ctrlPr>
                <w:rPr>
                  <w:rFonts w:hint="default" w:ascii="Cambria Math"/>
                </w:rPr>
              </m:ctrlPr>
            </m:accPr>
            <m:e>
              <m:r>
                <m:rPr/>
                <w:rPr>
                  <w:rFonts w:hint="default" w:ascii="Cambria Math"/>
                </w:rPr>
                <m:t>D</m:t>
              </m:r>
            </m:e>
          </m:acc>
          <m:r>
            <m:rPr>
              <m:sty m:val="p"/>
            </m:rPr>
            <w:rPr>
              <w:rFonts w:hint="default" w:ascii="Cambria Math"/>
            </w:rPr>
            <m:t>为</m:t>
          </m:r>
          <m:acc>
            <m:accPr>
              <m:chr m:val="̃"/>
              <m:ctrlPr>
                <w:rPr>
                  <w:rFonts w:hint="default" w:ascii="Cambria Math"/>
                </w:rPr>
              </m:ctrlPr>
            </m:accPr>
            <m:e>
              <m:r>
                <m:rPr/>
                <w:rPr>
                  <w:rFonts w:hint="default" w:ascii="Cambria Math"/>
                </w:rPr>
                <m:t>A</m:t>
              </m:r>
            </m:e>
          </m:acc>
        </m:oMath>
      </m:oMathPara>
      <w:r>
        <w:rPr>
          <w:rFonts w:hint="eastAsia"/>
        </w:rPr>
        <w:t>的度矩阵；</w:t>
      </w:r>
      <m:oMathPara>
        <m:oMath>
          <m:sSup>
            <m:sSupPr>
              <m:ctrlPr>
                <w:rPr>
                  <w:rFonts w:hint="default" w:ascii="Cambria Math"/>
                </w:rPr>
              </m:ctrlPr>
            </m:sSupPr>
            <m:e>
              <m:r>
                <m:rPr/>
                <w:rPr>
                  <w:rFonts w:hint="default" w:ascii="Cambria Math"/>
                </w:rPr>
                <m:t>W</m:t>
              </m:r>
            </m:e>
            <m:sup>
              <m:r>
                <m:rPr/>
                <w:rPr>
                  <w:rFonts w:hint="default" w:ascii="Cambria Math"/>
                </w:rPr>
                <m:t>(l)</m:t>
              </m:r>
            </m:sup>
          </m:sSup>
        </m:oMath>
      </m:oMathPara>
      <w:r>
        <w:rPr>
          <w:rFonts w:hint="eastAsia"/>
        </w:rPr>
        <w:t>为当前层的可学习权重矩阵；</w:t>
      </w:r>
      <m:oMathPara>
        <m:oMath>
          <m:r>
            <m:rPr/>
            <w:rPr>
              <w:rFonts w:hint="default" w:ascii="Cambria Math"/>
            </w:rPr>
            <m:t>σ(⋅)</m:t>
          </m:r>
        </m:oMath>
      </m:oMathPara>
      <w:r>
        <w:rPr>
          <w:rFonts w:hint="eastAsia"/>
        </w:rPr>
        <w:t>为非线性激活函数。矩阵乘法</w:t>
      </w:r>
      <m:oMathPara>
        <m:oMath>
          <m:sSup>
            <m:sSupPr>
              <m:ctrlPr>
                <w:rPr>
                  <w:rFonts w:hint="default" w:ascii="Cambria Math"/>
                </w:rPr>
              </m:ctrlPr>
            </m:sSupPr>
            <m:e>
              <m:acc>
                <m:accPr>
                  <m:chr m:val="̃"/>
                  <m:ctrlPr>
                    <w:rPr>
                      <w:rFonts w:hint="default" w:ascii="Cambria Math"/>
                    </w:rPr>
                  </m:ctrlPr>
                </m:accPr>
                <m:e>
                  <m:r>
                    <m:rPr/>
                    <w:rPr>
                      <w:rFonts w:hint="default" w:ascii="Cambria Math"/>
                    </w:rPr>
                    <m:t>D</m:t>
                  </m:r>
                </m:e>
              </m:acc>
              <m:ctrlPr>
                <w:rPr>
                  <w:rFonts w:hint="default" w:ascii="Cambria Math"/>
                </w:rPr>
              </m:ctrlPr>
            </m:e>
            <m:sup>
              <m:r>
                <m:rPr/>
                <w:rPr>
                  <w:rFonts w:hint="default" w:ascii="Cambria Math"/>
                </w:rPr>
                <m:t>−</m:t>
              </m:r>
              <m:f>
                <m:fPr>
                  <m:ctrlPr>
                    <w:rPr>
                      <w:rFonts w:hint="default" w:ascii="Cambria Math" w:hAnsi="Cambria Math"/>
                      <w:i/>
                    </w:rPr>
                  </m:ctrlPr>
                </m:fPr>
                <m:num>
                  <m:r>
                    <m:rPr/>
                    <w:rPr>
                      <w:rFonts w:hint="default" w:ascii="Cambria Math"/>
                    </w:rPr>
                    <m:t>1</m:t>
                  </m:r>
                </m:num>
                <m:den>
                  <m:r>
                    <m:rPr/>
                    <w:rPr>
                      <w:rFonts w:hint="default" w:ascii="Cambria Math"/>
                    </w:rPr>
                    <m:t>2</m:t>
                  </m:r>
                </m:den>
              </m:f>
              <m:ctrlPr>
                <w:rPr>
                  <w:rFonts w:hint="default" w:ascii="Cambria Math" w:hAnsi="Cambria Math"/>
                  <w:i/>
                </w:rPr>
              </m:ctrlPr>
            </m:sup>
          </m:sSup>
          <m:acc>
            <m:accPr>
              <m:chr m:val="̃"/>
              <m:ctrlPr>
                <w:rPr>
                  <w:rFonts w:hint="default" w:ascii="Cambria Math"/>
                </w:rPr>
              </m:ctrlPr>
            </m:accPr>
            <m:e>
              <m:r>
                <m:rPr/>
                <w:rPr>
                  <w:rFonts w:hint="default" w:ascii="Cambria Math"/>
                </w:rPr>
                <m:t>A</m:t>
              </m:r>
              <m:ctrlPr>
                <w:rPr>
                  <w:rFonts w:hint="default" w:ascii="Cambria Math" w:hAnsi="Cambria Math"/>
                  <w:i/>
                </w:rPr>
              </m:ctrlPr>
            </m:e>
          </m:acc>
          <m:sSup>
            <m:sSupPr>
              <m:ctrlPr>
                <w:rPr>
                  <w:rFonts w:hint="default" w:ascii="Cambria Math"/>
                </w:rPr>
              </m:ctrlPr>
            </m:sSupPr>
            <m:e>
              <m:acc>
                <m:accPr>
                  <m:chr m:val="̃"/>
                  <m:ctrlPr>
                    <w:rPr>
                      <w:rFonts w:hint="default" w:ascii="Cambria Math"/>
                    </w:rPr>
                  </m:ctrlPr>
                </m:accPr>
                <m:e>
                  <m:r>
                    <m:rPr/>
                    <w:rPr>
                      <w:rFonts w:hint="default" w:ascii="Cambria Math"/>
                    </w:rPr>
                    <m:t>D</m:t>
                  </m:r>
                </m:e>
              </m:acc>
              <m:ctrlPr>
                <w:rPr>
                  <w:rFonts w:hint="default" w:ascii="Cambria Math"/>
                </w:rPr>
              </m:ctrlPr>
            </m:e>
            <m:sup>
              <m:r>
                <m:rPr/>
                <w:rPr>
                  <w:rFonts w:hint="default" w:ascii="Cambria Math"/>
                </w:rPr>
                <m:t>−</m:t>
              </m:r>
              <m:f>
                <m:fPr>
                  <m:ctrlPr>
                    <w:rPr>
                      <w:rFonts w:hint="default" w:ascii="Cambria Math" w:hAnsi="Cambria Math"/>
                      <w:i/>
                    </w:rPr>
                  </m:ctrlPr>
                </m:fPr>
                <m:num>
                  <m:r>
                    <m:rPr/>
                    <w:rPr>
                      <w:rFonts w:hint="default" w:ascii="Cambria Math"/>
                    </w:rPr>
                    <m:t>1</m:t>
                  </m:r>
                </m:num>
                <m:den>
                  <m:r>
                    <m:rPr/>
                    <w:rPr>
                      <w:rFonts w:hint="default" w:ascii="Cambria Math"/>
                    </w:rPr>
                    <m:t>2</m:t>
                  </m:r>
                </m:den>
              </m:f>
              <m:ctrlPr>
                <w:rPr>
                  <w:rFonts w:hint="default" w:ascii="Cambria Math" w:hAnsi="Cambria Math"/>
                  <w:i/>
                </w:rPr>
              </m:ctrlPr>
            </m:sup>
          </m:sSup>
        </m:oMath>
      </m:oMathPara>
      <w:r>
        <w:rPr>
          <w:rFonts w:hint="eastAsia"/>
        </w:rPr>
        <w:t>实现了基于节点度的归一化，确保了特征在聚合过程中数值规模的稳定性。</w:t>
      </w:r>
    </w:p>
    <w:p w14:paraId="069D56AE">
      <w:pPr>
        <w:pStyle w:val="4"/>
        <w:rPr>
          <w:rFonts w:hint="default"/>
        </w:rPr>
      </w:pPr>
      <w:r>
        <w:t>图注意力机制</w:t>
      </w:r>
    </w:p>
    <w:p w14:paraId="5D1314DF">
      <w:pPr>
        <w:ind w:firstLine="480"/>
      </w:pPr>
      <w:r>
        <w:rPr>
          <w:rFonts w:hint="eastAsia"/>
        </w:rPr>
        <w:t>GCN 在聚合邻居信息时，边权重完全由图的拓扑结构静态决定。为了克服这一局限，图注意力网络（GAT）在节点间信息交互中引入了动态的注意力机制。对于中心节点</w:t>
      </w:r>
      <m:oMathPara>
        <m:oMath>
          <m:r>
            <m:rPr/>
            <w:rPr>
              <w:rFonts w:hint="default" w:ascii="Cambria Math"/>
            </w:rPr>
            <m:t>i</m:t>
          </m:r>
        </m:oMath>
      </m:oMathPara>
      <w:r>
        <w:rPr>
          <w:rFonts w:hint="eastAsia"/>
        </w:rPr>
        <w:t>及其邻居节点</w:t>
      </w:r>
      <m:oMathPara>
        <m:oMath>
          <m:r>
            <m:rPr/>
            <w:rPr>
              <w:rFonts w:hint="default" w:ascii="Cambria Math"/>
            </w:rPr>
            <m:t>j</m:t>
          </m:r>
        </m:oMath>
      </m:oMathPara>
      <w:r>
        <w:rPr>
          <w:rFonts w:hint="eastAsia"/>
        </w:rPr>
        <w:t>，GAT 首先计算两者特征拼接后的注意力系数：</w:t>
      </w:r>
      <m:oMathPara>
        <m:oMath>
          <m:sSub>
            <m:sSubPr>
              <m:ctrlPr>
                <w:rPr>
                  <w:rFonts w:hint="default" w:ascii="Cambria Math"/>
                </w:rPr>
              </m:ctrlPr>
            </m:sSubPr>
            <m:e>
              <m:r>
                <m:rPr/>
                <w:rPr>
                  <w:rFonts w:hint="default" w:ascii="Cambria Math"/>
                </w:rPr>
                <m:t>e</m:t>
              </m:r>
            </m:e>
            <m:sub>
              <m:r>
                <m:rPr/>
                <w:rPr>
                  <w:rFonts w:hint="default" w:ascii="Cambria Math"/>
                </w:rPr>
                <m:t>ij</m:t>
              </m:r>
            </m:sub>
          </m:sSub>
          <m:r>
            <m:rPr/>
            <w:rPr>
              <w:rFonts w:hint="default" w:ascii="Cambria Math"/>
            </w:rPr>
            <m:t>=LeakyReLU(</m:t>
          </m:r>
          <m:sSup>
            <m:sSupPr>
              <m:ctrlPr>
                <w:rPr>
                  <w:rFonts w:hint="default" w:ascii="Cambria Math"/>
                </w:rPr>
              </m:ctrlPr>
            </m:sSupPr>
            <m:e>
              <m:acc>
                <m:accPr>
                  <m:chr m:val="⃗"/>
                  <m:ctrlPr>
                    <w:rPr>
                      <w:rFonts w:hint="default" w:ascii="Cambria Math"/>
                    </w:rPr>
                  </m:ctrlPr>
                </m:accPr>
                <m:e>
                  <m:r>
                    <m:rPr/>
                    <w:rPr>
                      <w:rFonts w:hint="default" w:ascii="Cambria Math"/>
                    </w:rPr>
                    <m:t>a</m:t>
                  </m:r>
                </m:e>
              </m:acc>
              <m:ctrlPr>
                <w:rPr>
                  <w:rFonts w:hint="default" w:ascii="Cambria Math"/>
                </w:rPr>
              </m:ctrlPr>
            </m:e>
            <m:sup>
              <m:r>
                <m:rPr/>
                <w:rPr>
                  <w:rFonts w:hint="default" w:ascii="Cambria Math"/>
                </w:rPr>
                <m:t>T</m:t>
              </m:r>
              <m:ctrlPr>
                <w:rPr>
                  <w:rFonts w:hint="default" w:ascii="Cambria Math"/>
                </w:rPr>
              </m:ctrlPr>
            </m:sup>
          </m:sSup>
          <m:r>
            <m:rPr/>
            <w:rPr>
              <w:rFonts w:hint="default" w:ascii="Cambria Math"/>
            </w:rPr>
            <m:t>[W</m:t>
          </m:r>
          <m:sSub>
            <m:sSubPr>
              <m:ctrlPr>
                <w:rPr>
                  <w:rFonts w:hint="default" w:ascii="Cambria Math"/>
                </w:rPr>
              </m:ctrlPr>
            </m:sSubPr>
            <m:e>
              <m:acc>
                <m:accPr>
                  <m:chr m:val="⃗"/>
                  <m:ctrlPr>
                    <w:rPr>
                      <w:rFonts w:hint="default" w:ascii="Cambria Math"/>
                    </w:rPr>
                  </m:ctrlPr>
                </m:accPr>
                <m:e>
                  <m:r>
                    <m:rPr/>
                    <w:rPr>
                      <w:rFonts w:hint="default" w:ascii="Cambria Math"/>
                    </w:rPr>
                    <m:t>h</m:t>
                  </m:r>
                </m:e>
              </m:acc>
              <m:ctrlPr>
                <w:rPr>
                  <w:rFonts w:hint="default" w:ascii="Cambria Math"/>
                </w:rPr>
              </m:ctrlPr>
            </m:e>
            <m:sub>
              <m:r>
                <m:rPr/>
                <w:rPr>
                  <w:rFonts w:hint="default" w:ascii="Cambria Math"/>
                </w:rPr>
                <m:t>i</m:t>
              </m:r>
              <m:ctrlPr>
                <w:rPr>
                  <w:rFonts w:hint="default" w:ascii="Cambria Math"/>
                </w:rPr>
              </m:ctrlPr>
            </m:sub>
          </m:sSub>
          <m:r>
            <m:rPr/>
            <w:rPr>
              <w:rFonts w:hint="default" w:ascii="Cambria Math"/>
            </w:rPr>
            <m:t>||W</m:t>
          </m:r>
          <m:sSub>
            <m:sSubPr>
              <m:ctrlPr>
                <w:rPr>
                  <w:rFonts w:hint="default" w:ascii="Cambria Math"/>
                </w:rPr>
              </m:ctrlPr>
            </m:sSubPr>
            <m:e>
              <m:acc>
                <m:accPr>
                  <m:chr m:val="⃗"/>
                  <m:ctrlPr>
                    <w:rPr>
                      <w:rFonts w:hint="default" w:ascii="Cambria Math"/>
                    </w:rPr>
                  </m:ctrlPr>
                </m:accPr>
                <m:e>
                  <m:r>
                    <m:rPr/>
                    <w:rPr>
                      <w:rFonts w:hint="default" w:ascii="Cambria Math"/>
                    </w:rPr>
                    <m:t>h</m:t>
                  </m:r>
                </m:e>
              </m:acc>
              <m:ctrlPr>
                <w:rPr>
                  <w:rFonts w:hint="default" w:ascii="Cambria Math"/>
                </w:rPr>
              </m:ctrlPr>
            </m:e>
            <m:sub>
              <m:r>
                <m:rPr/>
                <w:rPr>
                  <w:rFonts w:hint="default" w:ascii="Cambria Math"/>
                </w:rPr>
                <m:t>j</m:t>
              </m:r>
              <m:ctrlPr>
                <w:rPr>
                  <w:rFonts w:hint="default" w:ascii="Cambria Math"/>
                </w:rPr>
              </m:ctrlPr>
            </m:sub>
          </m:sSub>
          <m:r>
            <m:rPr/>
            <w:rPr>
              <w:rFonts w:hint="default" w:ascii="Cambria Math"/>
            </w:rPr>
            <m:t>])</m:t>
          </m:r>
        </m:oMath>
      </m:oMathPara>
      <w:r>
        <w:rPr>
          <w:rFonts w:hint="eastAsia"/>
        </w:rPr>
        <w:t>随后利用 Softmax 函数对其邻域内的注意力系数进行归一化处理得到 $\alpha_{ij}$。最终，节点 $i$ 的特征更新通过对邻居特征进行加权求和实现：</w:t>
      </w:r>
      <m:oMathPara>
        <m:oMath>
          <m:sSubSup>
            <m:sSubSupPr>
              <m:ctrlPr>
                <w:rPr>
                  <w:rFonts w:hint="default" w:ascii="Cambria Math"/>
                </w:rPr>
              </m:ctrlPr>
            </m:sSubSupPr>
            <m:e>
              <m:acc>
                <m:accPr>
                  <m:chr m:val="⃗"/>
                  <m:ctrlPr>
                    <w:rPr>
                      <w:rFonts w:hint="default" w:ascii="Cambria Math"/>
                    </w:rPr>
                  </m:ctrlPr>
                </m:accPr>
                <m:e>
                  <m:r>
                    <m:rPr/>
                    <w:rPr>
                      <w:rFonts w:hint="default" w:ascii="Cambria Math"/>
                    </w:rPr>
                    <m:t>h</m:t>
                  </m:r>
                </m:e>
              </m:acc>
              <m:ctrlPr>
                <w:rPr>
                  <w:rFonts w:hint="default" w:ascii="Cambria Math"/>
                </w:rPr>
              </m:ctrlPr>
            </m:e>
            <m:sub>
              <m:r>
                <m:rPr/>
                <w:rPr>
                  <w:rFonts w:hint="default" w:ascii="Cambria Math"/>
                </w:rPr>
                <m:t>i</m:t>
              </m:r>
              <m:ctrlPr>
                <w:rPr>
                  <w:rFonts w:hint="default" w:ascii="Cambria Math"/>
                </w:rPr>
              </m:ctrlPr>
            </m:sub>
            <m:sup>
              <m:r>
                <m:rPr/>
                <w:rPr>
                  <w:rFonts w:hint="default" w:ascii="Cambria Math"/>
                </w:rPr>
                <m:t>(l+1)</m:t>
              </m:r>
              <m:ctrlPr>
                <w:rPr>
                  <w:rFonts w:hint="default" w:ascii="Cambria Math"/>
                </w:rPr>
              </m:ctrlPr>
            </m:sup>
          </m:sSubSup>
          <m:r>
            <m:rPr/>
            <w:rPr>
              <w:rFonts w:hint="default" w:ascii="Cambria Math"/>
            </w:rPr>
            <m:t>=σ</m:t>
          </m:r>
          <m:d>
            <m:dPr>
              <m:ctrlPr>
                <w:rPr>
                  <w:rFonts w:hint="default" w:ascii="Cambria Math" w:hAnsi="Cambria Math"/>
                  <w:i/>
                </w:rPr>
              </m:ctrlPr>
            </m:dPr>
            <m:e>
              <m:nary>
                <m:naryPr>
                  <m:chr m:val="∑"/>
                  <m:limLoc m:val="undOvr"/>
                  <m:supHide m:val="1"/>
                  <m:ctrlPr>
                    <w:rPr>
                      <w:rFonts w:hint="default" w:ascii="Cambria Math" w:hAnsi="Cambria Math"/>
                      <w:i/>
                    </w:rPr>
                  </m:ctrlPr>
                </m:naryPr>
                <m:sub>
                  <m:r>
                    <m:rPr/>
                    <w:rPr>
                      <w:rFonts w:hint="default" w:ascii="Cambria Math"/>
                    </w:rPr>
                    <m:t>j∈</m:t>
                  </m:r>
                  <m:r>
                    <m:rPr>
                      <m:scr m:val="script"/>
                    </m:rPr>
                    <w:rPr>
                      <w:rFonts w:hint="default" w:ascii="Cambria Math"/>
                    </w:rPr>
                    <m:t>N</m:t>
                  </m:r>
                  <m:r>
                    <m:rPr/>
                    <w:rPr>
                      <w:rFonts w:hint="default" w:ascii="Cambria Math"/>
                    </w:rPr>
                    <m:t>(i)</m:t>
                  </m:r>
                </m:sub>
                <m:sup/>
                <m:e>
                  <m:sSub>
                    <m:sSubPr>
                      <m:ctrlPr>
                        <w:rPr>
                          <w:rFonts w:hint="default" w:ascii="Cambria Math"/>
                        </w:rPr>
                      </m:ctrlPr>
                    </m:sSubPr>
                    <m:e>
                      <m:r>
                        <m:rPr/>
                        <w:rPr>
                          <w:rFonts w:hint="default" w:ascii="Cambria Math"/>
                        </w:rPr>
                        <m:t>α</m:t>
                      </m:r>
                    </m:e>
                    <m:sub>
                      <m:r>
                        <m:rPr/>
                        <w:rPr>
                          <w:rFonts w:hint="default" w:ascii="Cambria Math"/>
                        </w:rPr>
                        <m:t>ij</m:t>
                      </m:r>
                    </m:sub>
                  </m:sSub>
                  <m:ctrlPr>
                    <w:rPr>
                      <w:rFonts w:hint="default" w:ascii="Cambria Math"/>
                    </w:rPr>
                  </m:ctrlPr>
                </m:e>
              </m:nary>
              <m:r>
                <m:rPr/>
                <w:rPr>
                  <w:rFonts w:hint="default" w:ascii="Cambria Math"/>
                </w:rPr>
                <m:t>W</m:t>
              </m:r>
              <m:sSubSup>
                <m:sSubSupPr>
                  <m:ctrlPr>
                    <w:rPr>
                      <w:rFonts w:hint="default" w:ascii="Cambria Math"/>
                    </w:rPr>
                  </m:ctrlPr>
                </m:sSubSupPr>
                <m:e>
                  <m:acc>
                    <m:accPr>
                      <m:chr m:val="⃗"/>
                      <m:ctrlPr>
                        <w:rPr>
                          <w:rFonts w:hint="default" w:ascii="Cambria Math"/>
                        </w:rPr>
                      </m:ctrlPr>
                    </m:accPr>
                    <m:e>
                      <m:r>
                        <m:rPr/>
                        <w:rPr>
                          <w:rFonts w:hint="default" w:ascii="Cambria Math"/>
                        </w:rPr>
                        <m:t>h</m:t>
                      </m:r>
                    </m:e>
                  </m:acc>
                  <m:ctrlPr>
                    <w:rPr>
                      <w:rFonts w:hint="default" w:ascii="Cambria Math"/>
                    </w:rPr>
                  </m:ctrlPr>
                </m:e>
                <m:sub>
                  <m:r>
                    <m:rPr/>
                    <w:rPr>
                      <w:rFonts w:hint="default" w:ascii="Cambria Math"/>
                    </w:rPr>
                    <m:t>j</m:t>
                  </m:r>
                  <m:ctrlPr>
                    <w:rPr>
                      <w:rFonts w:hint="default" w:ascii="Cambria Math"/>
                    </w:rPr>
                  </m:ctrlPr>
                </m:sub>
                <m:sup>
                  <m:r>
                    <m:rPr/>
                    <w:rPr>
                      <w:rFonts w:hint="default" w:ascii="Cambria Math"/>
                    </w:rPr>
                    <m:t>(l)</m:t>
                  </m:r>
                  <m:ctrlPr>
                    <w:rPr>
                      <w:rFonts w:hint="default" w:ascii="Cambria Math"/>
                    </w:rPr>
                  </m:ctrlPr>
                </m:sup>
              </m:sSubSup>
              <m:ctrlPr>
                <w:rPr>
                  <w:rFonts w:hint="default" w:ascii="Cambria Math"/>
                </w:rPr>
              </m:ctrlPr>
            </m:e>
          </m:d>
        </m:oMath>
      </m:oMathPara>
      <w:r>
        <w:rPr>
          <w:rFonts w:hint="eastAsia"/>
        </w:rPr>
        <w:t>该机制使模型能够根据化学环境动态学习不同邻居节点对中心原子的贡献权重，极大地提升了模型识别关键药效团特征的敏锐度。</w:t>
      </w:r>
    </w:p>
    <w:p w14:paraId="401489AD">
      <w:pPr>
        <w:pStyle w:val="4"/>
        <w:rPr>
          <w:rFonts w:hint="default"/>
        </w:rPr>
      </w:pPr>
      <w:r>
        <w:t>图Transformer架构</w:t>
      </w:r>
    </w:p>
    <w:p w14:paraId="6EF28371">
      <w:pPr>
        <w:ind w:firstLine="480"/>
      </w:pPr>
      <w:r>
        <w:rPr>
          <w:rFonts w:hint="eastAsia"/>
        </w:rPr>
        <w:t>为突破传统 GNN 固有的局部感受野限制，图 Transformer 架构被引入以实现节点间的全局自注意力建模。由于标准 Transformer 处理的是无序序列，必须引入显式的结构编码（Structural Encodings）以适配分子的非欧几何特性。以 Graphormer 为代表的架构依赖三种位置编码机制实现拓扑注入：首先，通过中心性编码（Centrality Encoding）利用原子的度数偏置量化其拓扑重要性；其次，引入空间编码（Spatial Encoding），利用节点间的最短路径距离为注意力计算矩阵提供标量偏置，显式刻画物理隔离；最后，设计边缘编码（Edge Encoding），提取节点对最短路径上的边特征加权均值以修正自注意力权重。通过结构编码的协同，图 Transformer 成功将局部化学键属性与全局拓扑距离映射至高维自注意力空间。</w:t>
      </w:r>
    </w:p>
    <w:p w14:paraId="68A97ED5">
      <w:pPr>
        <w:pStyle w:val="4"/>
        <w:rPr>
          <w:rFonts w:hint="default"/>
        </w:rPr>
      </w:pPr>
      <w:r>
        <w:t>消息传递机制</w:t>
      </w:r>
    </w:p>
    <w:p w14:paraId="6688E04C">
      <w:pPr>
        <w:ind w:firstLine="480"/>
        <w:rPr>
          <w:rFonts w:hint="eastAsia"/>
        </w:rPr>
      </w:pPr>
      <w:r>
        <w:rPr>
          <w:rFonts w:hint="eastAsia"/>
        </w:rPr>
        <w:t>消息传递神经网络（Message Passing Neural Network, MPNN）是空间域图神经网络的通用数学框架。该框架将图神经网络的前向传播抽象为消息传递（Message Passing）与节点状态更新（Update）两个核心阶段。在第</w:t>
      </w:r>
      <m:oMathPara>
        <m:oMath>
          <m:r>
            <m:rPr/>
            <w:rPr>
              <w:rFonts w:hint="default" w:ascii="Cambria Math"/>
            </w:rPr>
            <m:t>t</m:t>
          </m:r>
        </m:oMath>
      </m:oMathPara>
      <w:r>
        <w:rPr>
          <w:rFonts w:hint="eastAsia"/>
        </w:rPr>
        <w:t>次迭代中，节点</w:t>
      </w:r>
      <m:oMathPara>
        <m:oMath>
          <m:r>
            <m:rPr/>
            <w:rPr>
              <w:rFonts w:hint="default" w:ascii="Cambria Math"/>
            </w:rPr>
            <m:t>v</m:t>
          </m:r>
        </m:oMath>
      </m:oMathPara>
      <w:r>
        <w:rPr>
          <w:rFonts w:hint="eastAsia"/>
        </w:rPr>
        <w:t>依据其邻域</w:t>
      </w:r>
      <m:oMathPara>
        <m:oMath>
          <m:r>
            <m:rPr>
              <m:scr m:val="script"/>
            </m:rPr>
            <w:rPr>
              <w:rFonts w:hint="default" w:ascii="Cambria Math"/>
            </w:rPr>
            <m:t>N</m:t>
          </m:r>
          <m:r>
            <m:rPr/>
            <w:rPr>
              <w:rFonts w:hint="default" w:ascii="Cambria Math"/>
            </w:rPr>
            <m:t>(v)</m:t>
          </m:r>
        </m:oMath>
      </m:oMathPara>
      <w:r>
        <w:rPr>
          <w:rFonts w:hint="eastAsia"/>
        </w:rPr>
        <w:t>内邻居节点</w:t>
      </w:r>
      <m:oMathPara>
        <m:oMath>
          <m:r>
            <m:rPr/>
            <w:rPr>
              <w:rFonts w:hint="default" w:ascii="Cambria Math"/>
            </w:rPr>
            <m:t>w</m:t>
          </m:r>
        </m:oMath>
      </m:oMathPara>
      <w:r>
        <w:rPr>
          <w:rFonts w:hint="eastAsia"/>
        </w:rPr>
        <w:t>的隐藏状态</w:t>
      </w:r>
      <m:oMathPara>
        <m:oMath>
          <m:sSubSup>
            <m:sSubSupPr>
              <m:ctrlPr>
                <w:rPr>
                  <w:rFonts w:hint="default" w:ascii="Cambria Math"/>
                </w:rPr>
              </m:ctrlPr>
            </m:sSubSupPr>
            <m:e>
              <m:r>
                <m:rPr/>
                <w:rPr>
                  <w:rFonts w:hint="default" w:ascii="Cambria Math"/>
                </w:rPr>
                <m:t>h</m:t>
              </m:r>
            </m:e>
            <m:sub>
              <m:r>
                <m:rPr/>
                <w:rPr>
                  <w:rFonts w:hint="default" w:ascii="Cambria Math"/>
                </w:rPr>
                <m:t>w</m:t>
              </m:r>
            </m:sub>
            <m:sup>
              <m:r>
                <m:rPr/>
                <w:rPr>
                  <w:rFonts w:hint="default" w:ascii="Cambria Math"/>
                </w:rPr>
                <m:t>(t)</m:t>
              </m:r>
            </m:sup>
          </m:sSubSup>
        </m:oMath>
      </m:oMathPara>
      <w:r>
        <w:rPr>
          <w:rFonts w:hint="eastAsia"/>
        </w:rPr>
        <w:t>以及对应的边特征</w:t>
      </w:r>
      <m:oMath>
        <m:sSub>
          <m:sSubPr>
            <m:ctrlPr>
              <w:rPr>
                <w:rFonts w:hint="default" w:ascii="Cambria Math"/>
              </w:rPr>
            </m:ctrlPr>
          </m:sSubPr>
          <m:e>
            <m:r>
              <m:rPr/>
              <w:rPr>
                <w:rFonts w:hint="default" w:ascii="Cambria Math"/>
              </w:rPr>
              <m:t>e</m:t>
            </m:r>
          </m:e>
          <m:sub>
            <m:r>
              <m:rPr/>
              <w:rPr>
                <w:rFonts w:hint="default" w:ascii="Cambria Math"/>
              </w:rPr>
              <m:t>vw</m:t>
            </m:r>
          </m:sub>
        </m:sSub>
      </m:oMath>
      <w:r>
        <w:rPr>
          <w:rFonts w:hint="eastAsia"/>
        </w:rPr>
        <w:t>，通过消息函数 $M_t(\cdot)$ 计算传入的消息向量，即</w:t>
      </w:r>
    </w:p>
    <w:p w14:paraId="476EACC0">
      <w:pPr>
        <w:ind w:firstLine="480"/>
        <m:rPr/>
        <w:rPr>
          <w:rFonts w:hint="default"/>
          <w:i w:val="0"/>
        </w:rPr>
      </w:pPr>
      <m:oMathPara>
        <m:oMath>
          <m:sSubSup>
            <m:sSubSupPr>
              <m:ctrlPr>
                <w:rPr>
                  <w:rFonts w:hint="default" w:ascii="Cambria Math"/>
                </w:rPr>
              </m:ctrlPr>
            </m:sSubSupPr>
            <m:e>
              <m:r>
                <m:rPr/>
                <w:rPr>
                  <w:rFonts w:hint="default" w:ascii="Cambria Math"/>
                </w:rPr>
                <m:t>m</m:t>
              </m:r>
            </m:e>
            <m:sub>
              <m:r>
                <m:rPr/>
                <w:rPr>
                  <w:rFonts w:hint="default" w:ascii="Cambria Math"/>
                </w:rPr>
                <m:t>v</m:t>
              </m:r>
            </m:sub>
            <m:sup>
              <m:r>
                <m:rPr/>
                <w:rPr>
                  <w:rFonts w:hint="default" w:ascii="Cambria Math"/>
                </w:rPr>
                <m:t>(t+1)</m:t>
              </m:r>
            </m:sup>
          </m:sSubSup>
          <m:r>
            <m:rPr/>
            <w:rPr>
              <w:rFonts w:hint="default" w:ascii="Cambria Math"/>
            </w:rPr>
            <m:t>=</m:t>
          </m:r>
          <m:nary>
            <m:naryPr>
              <m:chr m:val="∑"/>
              <m:limLoc m:val="undOvr"/>
              <m:supHide m:val="1"/>
              <m:ctrlPr>
                <w:rPr>
                  <w:rFonts w:hint="default" w:ascii="Cambria Math" w:hAnsi="Cambria Math"/>
                  <w:i/>
                </w:rPr>
              </m:ctrlPr>
            </m:naryPr>
            <m:sub>
              <m:r>
                <m:rPr/>
                <w:rPr>
                  <w:rFonts w:hint="default" w:ascii="Cambria Math"/>
                </w:rPr>
                <m:t>w∈</m:t>
              </m:r>
              <m:r>
                <m:rPr>
                  <m:scr m:val="script"/>
                </m:rPr>
                <w:rPr>
                  <w:rFonts w:hint="default" w:ascii="Cambria Math"/>
                </w:rPr>
                <m:t>N</m:t>
              </m:r>
              <m:r>
                <m:rPr/>
                <w:rPr>
                  <w:rFonts w:hint="default" w:ascii="Cambria Math"/>
                </w:rPr>
                <m:t>(v)</m:t>
              </m:r>
            </m:sub>
            <m:sup/>
            <m:e>
              <m:sSub>
                <m:sSubPr>
                  <m:ctrlPr>
                    <w:rPr>
                      <w:rFonts w:hint="default" w:ascii="Cambria Math"/>
                    </w:rPr>
                  </m:ctrlPr>
                </m:sSubPr>
                <m:e>
                  <m:r>
                    <m:rPr/>
                    <w:rPr>
                      <w:rFonts w:hint="default" w:ascii="Cambria Math"/>
                    </w:rPr>
                    <m:t>M</m:t>
                  </m:r>
                </m:e>
                <m:sub>
                  <m:r>
                    <m:rPr/>
                    <w:rPr>
                      <w:rFonts w:hint="default" w:ascii="Cambria Math"/>
                    </w:rPr>
                    <m:t>t</m:t>
                  </m:r>
                </m:sub>
              </m:sSub>
              <m:ctrlPr>
                <w:rPr>
                  <w:rFonts w:hint="default" w:ascii="Cambria Math"/>
                </w:rPr>
              </m:ctrlPr>
            </m:e>
          </m:nary>
          <m:r>
            <m:rPr/>
            <w:rPr>
              <w:rFonts w:hint="default" w:ascii="Cambria Math"/>
            </w:rPr>
            <m:t>(</m:t>
          </m:r>
          <m:sSubSup>
            <m:sSubSupPr>
              <m:ctrlPr>
                <w:rPr>
                  <w:rFonts w:hint="default" w:ascii="Cambria Math"/>
                </w:rPr>
              </m:ctrlPr>
            </m:sSubSupPr>
            <m:e>
              <m:r>
                <m:rPr/>
                <w:rPr>
                  <w:rFonts w:hint="default" w:ascii="Cambria Math"/>
                </w:rPr>
                <m:t>h</m:t>
              </m:r>
              <m:ctrlPr>
                <w:rPr>
                  <w:rFonts w:hint="default" w:ascii="Cambria Math"/>
                </w:rPr>
              </m:ctrlPr>
            </m:e>
            <m:sub>
              <m:r>
                <m:rPr/>
                <w:rPr>
                  <w:rFonts w:hint="default" w:ascii="Cambria Math"/>
                </w:rPr>
                <m:t>v</m:t>
              </m:r>
              <m:ctrlPr>
                <w:rPr>
                  <w:rFonts w:hint="default" w:ascii="Cambria Math"/>
                </w:rPr>
              </m:ctrlPr>
            </m:sub>
            <m:sup>
              <m:r>
                <m:rPr/>
                <w:rPr>
                  <w:rFonts w:hint="default" w:ascii="Cambria Math"/>
                </w:rPr>
                <m:t>(t)</m:t>
              </m:r>
              <m:ctrlPr>
                <w:rPr>
                  <w:rFonts w:hint="default" w:ascii="Cambria Math"/>
                </w:rPr>
              </m:ctrlPr>
            </m:sup>
          </m:sSubSup>
          <m:r>
            <m:rPr/>
            <w:rPr>
              <w:rFonts w:hint="default" w:ascii="Cambria Math"/>
            </w:rPr>
            <m:t>,</m:t>
          </m:r>
          <m:sSubSup>
            <m:sSubSupPr>
              <m:ctrlPr>
                <w:rPr>
                  <w:rFonts w:hint="default" w:ascii="Cambria Math"/>
                </w:rPr>
              </m:ctrlPr>
            </m:sSubSupPr>
            <m:e>
              <m:r>
                <m:rPr/>
                <w:rPr>
                  <w:rFonts w:hint="default" w:ascii="Cambria Math"/>
                </w:rPr>
                <m:t>h</m:t>
              </m:r>
              <m:ctrlPr>
                <w:rPr>
                  <w:rFonts w:hint="default" w:ascii="Cambria Math"/>
                </w:rPr>
              </m:ctrlPr>
            </m:e>
            <m:sub>
              <m:r>
                <m:rPr/>
                <w:rPr>
                  <w:rFonts w:hint="default" w:ascii="Cambria Math"/>
                </w:rPr>
                <m:t>w</m:t>
              </m:r>
              <m:ctrlPr>
                <w:rPr>
                  <w:rFonts w:hint="default" w:ascii="Cambria Math"/>
                </w:rPr>
              </m:ctrlPr>
            </m:sub>
            <m:sup>
              <m:r>
                <m:rPr/>
                <w:rPr>
                  <w:rFonts w:hint="default" w:ascii="Cambria Math"/>
                </w:rPr>
                <m:t>(t)</m:t>
              </m:r>
              <m:ctrlPr>
                <w:rPr>
                  <w:rFonts w:hint="default" w:ascii="Cambria Math"/>
                </w:rPr>
              </m:ctrlPr>
            </m:sup>
          </m:sSubSup>
          <m:r>
            <m:rPr/>
            <w:rPr>
              <w:rFonts w:hint="default" w:ascii="Cambria Math"/>
            </w:rPr>
            <m:t>,</m:t>
          </m:r>
          <m:sSub>
            <m:sSubPr>
              <m:ctrlPr>
                <w:rPr>
                  <w:rFonts w:hint="default" w:ascii="Cambria Math"/>
                </w:rPr>
              </m:ctrlPr>
            </m:sSubPr>
            <m:e>
              <m:r>
                <m:rPr/>
                <w:rPr>
                  <w:rFonts w:hint="default" w:ascii="Cambria Math"/>
                </w:rPr>
                <m:t>e</m:t>
              </m:r>
              <m:ctrlPr>
                <w:rPr>
                  <w:rFonts w:hint="default" w:ascii="Cambria Math"/>
                </w:rPr>
              </m:ctrlPr>
            </m:e>
            <m:sub>
              <m:r>
                <m:rPr/>
                <w:rPr>
                  <w:rFonts w:hint="default" w:ascii="Cambria Math"/>
                </w:rPr>
                <m:t>vw</m:t>
              </m:r>
              <m:ctrlPr>
                <w:rPr>
                  <w:rFonts w:hint="default" w:ascii="Cambria Math"/>
                </w:rPr>
              </m:ctrlPr>
            </m:sub>
          </m:sSub>
          <m:r>
            <m:rPr/>
            <w:rPr>
              <w:rFonts w:hint="default" w:ascii="Cambria Math"/>
            </w:rPr>
            <m:t>)</m:t>
          </m:r>
        </m:oMath>
      </m:oMathPara>
    </w:p>
    <w:p w14:paraId="4973AA17">
      <w:pPr>
        <w:ind w:firstLine="480"/>
      </w:pPr>
      <w:r>
        <w:rPr>
          <w:rFonts w:hint="eastAsia"/>
        </w:rPr>
        <w:t>随后，节点</w:t>
      </w:r>
      <m:oMathPara>
        <m:oMath>
          <m:r>
            <m:rPr/>
            <w:rPr>
              <w:rFonts w:hint="default" w:ascii="Cambria Math"/>
            </w:rPr>
            <m:t>v</m:t>
          </m:r>
        </m:oMath>
      </m:oMathPara>
      <w:r>
        <w:rPr>
          <w:rFonts w:hint="eastAsia"/>
        </w:rPr>
        <w:t>利用更新函数</w:t>
      </w:r>
      <m:oMathPara>
        <m:oMath>
          <m:sSub>
            <m:sSubPr>
              <m:ctrlPr>
                <w:rPr>
                  <w:rFonts w:hint="default" w:ascii="Cambria Math"/>
                </w:rPr>
              </m:ctrlPr>
            </m:sSubPr>
            <m:e>
              <m:r>
                <m:rPr/>
                <w:rPr>
                  <w:rFonts w:hint="default" w:ascii="Cambria Math"/>
                </w:rPr>
                <m:t>U</m:t>
              </m:r>
            </m:e>
            <m:sub>
              <m:r>
                <m:rPr/>
                <w:rPr>
                  <w:rFonts w:hint="default" w:ascii="Cambria Math"/>
                </w:rPr>
                <m:t>t</m:t>
              </m:r>
            </m:sub>
          </m:sSub>
          <m:r>
            <m:rPr/>
            <w:rPr>
              <w:rFonts w:hint="default" w:ascii="Cambria Math"/>
            </w:rPr>
            <m:t>(⋅)</m:t>
          </m:r>
        </m:oMath>
      </m:oMathPara>
      <w:r>
        <w:rPr>
          <w:rFonts w:hint="eastAsia"/>
        </w:rPr>
        <w:t>结合自身状态与传入消息，完成特征的迭代更新：</w:t>
      </w:r>
      <m:oMathPara>
        <m:oMath>
          <m:sSubSup>
            <m:sSubSupPr>
              <m:ctrlPr>
                <w:rPr>
                  <w:rFonts w:hint="default" w:ascii="Cambria Math"/>
                </w:rPr>
              </m:ctrlPr>
            </m:sSubSupPr>
            <m:e>
              <m:r>
                <m:rPr/>
                <w:rPr>
                  <w:rFonts w:hint="default" w:ascii="Cambria Math"/>
                </w:rPr>
                <m:t>h</m:t>
              </m:r>
            </m:e>
            <m:sub>
              <m:r>
                <m:rPr/>
                <w:rPr>
                  <w:rFonts w:hint="default" w:ascii="Cambria Math"/>
                </w:rPr>
                <m:t>v</m:t>
              </m:r>
            </m:sub>
            <m:sup>
              <m:r>
                <m:rPr/>
                <w:rPr>
                  <w:rFonts w:hint="default" w:ascii="Cambria Math"/>
                </w:rPr>
                <m:t>(t+1)</m:t>
              </m:r>
            </m:sup>
          </m:sSubSup>
          <m:r>
            <m:rPr/>
            <w:rPr>
              <w:rFonts w:hint="default" w:ascii="Cambria Math"/>
            </w:rPr>
            <m:t>=</m:t>
          </m:r>
          <m:sSub>
            <m:sSubPr>
              <m:ctrlPr>
                <w:rPr>
                  <w:rFonts w:hint="default" w:ascii="Cambria Math"/>
                </w:rPr>
              </m:ctrlPr>
            </m:sSubPr>
            <m:e>
              <m:r>
                <m:rPr/>
                <w:rPr>
                  <w:rFonts w:hint="default" w:ascii="Cambria Math"/>
                </w:rPr>
                <m:t>U</m:t>
              </m:r>
            </m:e>
            <m:sub>
              <m:r>
                <m:rPr/>
                <w:rPr>
                  <w:rFonts w:hint="default" w:ascii="Cambria Math"/>
                </w:rPr>
                <m:t>t</m:t>
              </m:r>
            </m:sub>
          </m:sSub>
          <m:r>
            <m:rPr/>
            <w:rPr>
              <w:rFonts w:hint="default" w:ascii="Cambria Math"/>
            </w:rPr>
            <m:t>(</m:t>
          </m:r>
          <m:sSubSup>
            <m:sSubSupPr>
              <m:ctrlPr>
                <w:rPr>
                  <w:rFonts w:hint="default" w:ascii="Cambria Math"/>
                </w:rPr>
              </m:ctrlPr>
            </m:sSubSupPr>
            <m:e>
              <m:r>
                <m:rPr/>
                <w:rPr>
                  <w:rFonts w:hint="default" w:ascii="Cambria Math"/>
                </w:rPr>
                <m:t>h</m:t>
              </m:r>
            </m:e>
            <m:sub>
              <m:r>
                <m:rPr/>
                <w:rPr>
                  <w:rFonts w:hint="default" w:ascii="Cambria Math"/>
                </w:rPr>
                <m:t>v</m:t>
              </m:r>
            </m:sub>
            <m:sup>
              <m:r>
                <m:rPr/>
                <w:rPr>
                  <w:rFonts w:hint="default" w:ascii="Cambria Math"/>
                </w:rPr>
                <m:t>(t)</m:t>
              </m:r>
            </m:sup>
          </m:sSubSup>
          <m:r>
            <m:rPr/>
            <w:rPr>
              <w:rFonts w:hint="default" w:ascii="Cambria Math"/>
            </w:rPr>
            <m:t>,</m:t>
          </m:r>
          <m:sSubSup>
            <m:sSubSupPr>
              <m:ctrlPr>
                <w:rPr>
                  <w:rFonts w:hint="default" w:ascii="Cambria Math"/>
                </w:rPr>
              </m:ctrlPr>
            </m:sSubSupPr>
            <m:e>
              <m:r>
                <m:rPr/>
                <w:rPr>
                  <w:rFonts w:hint="default" w:ascii="Cambria Math"/>
                </w:rPr>
                <m:t>m</m:t>
              </m:r>
            </m:e>
            <m:sub>
              <m:r>
                <m:rPr/>
                <w:rPr>
                  <w:rFonts w:hint="default" w:ascii="Cambria Math"/>
                </w:rPr>
                <m:t>v</m:t>
              </m:r>
            </m:sub>
            <m:sup>
              <m:r>
                <m:rPr/>
                <w:rPr>
                  <w:rFonts w:hint="default" w:ascii="Cambria Math"/>
                </w:rPr>
                <m:t>(t+1)</m:t>
              </m:r>
            </m:sup>
          </m:sSubSup>
          <m:r>
            <m:rPr/>
            <w:rPr>
              <w:rFonts w:hint="default" w:ascii="Cambria Math"/>
            </w:rPr>
            <m:t>)</m:t>
          </m:r>
        </m:oMath>
      </m:oMathPara>
      <w:r>
        <w:rPr>
          <w:rFonts w:hint="eastAsia"/>
        </w:rPr>
        <w:t>。然而，在处理复杂分子图时，传统的无向图 MPNN 存在显著的理论局限。信息在相邻节点间极易产生冗余震荡，导致“信息回流”问题，严重阻碍了长程拓扑依赖的捕捉。同时，该框架往往将化学键仅视为静态辅助属性，忽略了其作为构效关系核心实体在特征演化中的动态交互作用。这构成了引入有向消息传递与通信式交互机制的理论动机。</w:t>
      </w:r>
    </w:p>
    <w:p w14:paraId="7550FFBB">
      <w:pPr>
        <w:pStyle w:val="3"/>
        <w:spacing w:beforeAutospacing="0" w:afterAutospacing="0"/>
        <w:ind w:left="567" w:hanging="567"/>
      </w:pPr>
      <w:r>
        <w:rPr>
          <w:rFonts w:hint="eastAsia"/>
        </w:rPr>
        <w:t>大语言模型与提示词工程</w:t>
      </w:r>
    </w:p>
    <w:p w14:paraId="3F6F9ECC">
      <w:pPr>
        <w:ind w:firstLine="480"/>
      </w:pPr>
      <w:r>
        <w:t>在分子性质预测任务中，纯粹的结构表征往往局限于微观拓扑，难以直接映射到宏观的复杂药代动力学特性。大语言模型（Large Language Models, LLMs）通过在海量语料上进行无监督预训练，内部隐式地压缩了丰富的跨学科知识。本节将系统阐述大语言模型的底层架构、参数高效微调机制以及激发模型推理能力的思维链技术。</w:t>
      </w:r>
    </w:p>
    <w:p w14:paraId="2260C006">
      <w:pPr>
        <w:pStyle w:val="4"/>
        <w:rPr>
          <w:rFonts w:hint="default"/>
        </w:rPr>
      </w:pPr>
      <w:r>
        <w:t>Transformer架构</w:t>
      </w:r>
    </w:p>
    <w:p w14:paraId="6A159380">
      <w:pPr>
        <w:ind w:firstLine="480"/>
      </w:pPr>
      <w:r>
        <w:t>Vaswani等人在2017年的论文《Attention Is All You Need》中首次提出了Transformer架构。该架构的核心是通过自注意力机制（Self-Attention）来建立输入序列内部的全局依赖关系。相比于传统循环神经网络（RNN）的递归计算与卷积神经网络（CNN）的局部感受野范式，Transformer在处理序列数据时的性能得到了极大的提升。Transformer由编码器（Encoder）和解码器（Decoder）两部分组成，每一部分均由多层结构堆叠而成，而每一层又包含多个子模块，其中最核心的模块便是多头注意力机制（Multi-Head Attention）。</w:t>
      </w:r>
    </w:p>
    <w:p w14:paraId="6402F013">
      <w:pPr>
        <w:ind w:firstLine="480"/>
      </w:pPr>
      <w:r>
        <w:t>Transformer架构采用了缩放点积注意力机制（Scaled Dot-Product Attention）。在给定序列特征矩阵 </w:t>
      </w:r>
      <m:oMath>
        <m:r>
          <m:rPr/>
          <w:rPr>
            <w:rFonts w:ascii="Cambria Math" w:hAnsi="Cambria Math"/>
          </w:rPr>
          <m:t>X</m:t>
        </m:r>
      </m:oMath>
      <w:r>
        <w:t>的情况下，模型通过初始化三个可学习的参数矩阵 </w:t>
      </w:r>
      <m:oMath>
        <m:sSub>
          <m:sSubPr>
            <m:ctrlPr>
              <w:rPr>
                <w:rFonts w:ascii="Cambria Math" w:hAnsi="Cambria Math"/>
              </w:rPr>
            </m:ctrlPr>
          </m:sSubPr>
          <m:e>
            <m:r>
              <m:rPr/>
              <w:rPr>
                <w:rFonts w:ascii="Cambria Math" w:hAnsi="Cambria Math"/>
              </w:rPr>
              <m:t>W</m:t>
            </m:r>
            <m:ctrlPr>
              <w:rPr>
                <w:rFonts w:ascii="Cambria Math" w:hAnsi="Cambria Math"/>
              </w:rPr>
            </m:ctrlPr>
          </m:e>
          <m:sub>
            <m:r>
              <m:rPr/>
              <w:rPr>
                <w:rFonts w:ascii="Cambria Math" w:hAnsi="Cambria Math"/>
              </w:rPr>
              <m:t>Q</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W</m:t>
            </m:r>
            <m:ctrlPr>
              <w:rPr>
                <w:rFonts w:ascii="Cambria Math" w:hAnsi="Cambria Math"/>
              </w:rPr>
            </m:ctrlPr>
          </m:e>
          <m:sub>
            <m:r>
              <m:rPr/>
              <w:rPr>
                <w:rFonts w:ascii="Cambria Math" w:hAnsi="Cambria Math"/>
              </w:rPr>
              <m:t>K</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W</m:t>
            </m:r>
            <m:ctrlPr>
              <w:rPr>
                <w:rFonts w:ascii="Cambria Math" w:hAnsi="Cambria Math"/>
              </w:rPr>
            </m:ctrlPr>
          </m:e>
          <m:sub>
            <m:r>
              <m:rPr/>
              <w:rPr>
                <w:rFonts w:ascii="Cambria Math" w:hAnsi="Cambria Math"/>
              </w:rPr>
              <m:t>V</m:t>
            </m:r>
            <m:ctrlPr>
              <w:rPr>
                <w:rFonts w:ascii="Cambria Math" w:hAnsi="Cambria Math"/>
              </w:rPr>
            </m:ctrlPr>
          </m:sub>
        </m:sSub>
      </m:oMath>
      <w:r>
        <w:rPr>
          <w:rFonts w:hint="eastAsia"/>
        </w:rPr>
        <w:t>，</w:t>
      </w:r>
      <w:r>
        <w:t xml:space="preserve">将其分别投影为查询矩阵（Query）、键矩阵（Key）和值矩阵（Value）。通过这三个矩阵，可得注意力权重的计算公式： </w:t>
      </w:r>
    </w:p>
    <w:p w14:paraId="15750DBF">
      <w:pPr>
        <w:ind w:firstLine="480"/>
      </w:pPr>
      <m:oMathPara>
        <m:oMath>
          <m:r>
            <m:rPr/>
            <w:rPr>
              <w:rFonts w:ascii="Cambria Math" w:hAnsi="Cambria Math"/>
            </w:rPr>
            <m:t>Attention</m:t>
          </m:r>
          <m:d>
            <m:dPr>
              <m:ctrlPr>
                <w:rPr>
                  <w:rFonts w:ascii="Cambria Math" w:hAnsi="Cambria Math"/>
                  <w:i/>
                </w:rPr>
              </m:ctrlPr>
            </m:dPr>
            <m:e>
              <m:r>
                <m:rPr/>
                <w:rPr>
                  <w:rFonts w:ascii="Cambria Math" w:hAnsi="Cambria Math"/>
                </w:rPr>
                <m:t>Q,K,V</m:t>
              </m:r>
              <m:ctrlPr>
                <w:rPr>
                  <w:rFonts w:ascii="Cambria Math" w:hAnsi="Cambria Math"/>
                  <w:i/>
                </w:rPr>
              </m:ctrlPr>
            </m:e>
          </m:d>
          <m:r>
            <m:rPr/>
            <w:rPr>
              <w:rFonts w:ascii="Cambria Math" w:hAnsi="Cambria Math"/>
            </w:rPr>
            <m:t>=softmax</m:t>
          </m:r>
          <m:d>
            <m:dPr>
              <m:ctrlPr>
                <w:rPr>
                  <w:rFonts w:ascii="Cambria Math" w:hAnsi="Cambria Math"/>
                  <w:i/>
                </w:rPr>
              </m:ctrlPr>
            </m:dPr>
            <m:e>
              <m:f>
                <m:fPr>
                  <m:ctrlPr>
                    <w:rPr>
                      <w:rFonts w:ascii="Cambria Math" w:hAnsi="Cambria Math"/>
                      <w:i/>
                    </w:rPr>
                  </m:ctrlPr>
                </m:fPr>
                <m:num>
                  <m:r>
                    <m:rPr/>
                    <w:rPr>
                      <w:rFonts w:ascii="Cambria Math" w:hAnsi="Cambria Math"/>
                    </w:rPr>
                    <m:t>Q</m:t>
                  </m:r>
                  <m:sSup>
                    <m:sSupPr>
                      <m:ctrlPr>
                        <w:rPr>
                          <w:rFonts w:ascii="Cambria Math" w:hAnsi="Cambria Math"/>
                          <w:i/>
                        </w:rPr>
                      </m:ctrlPr>
                    </m:sSupPr>
                    <m:e>
                      <m:r>
                        <m:rPr/>
                        <w:rPr>
                          <w:rFonts w:ascii="Cambria Math" w:hAnsi="Cambria Math"/>
                        </w:rPr>
                        <m:t>K</m:t>
                      </m:r>
                      <m:ctrlPr>
                        <w:rPr>
                          <w:rFonts w:ascii="Cambria Math" w:hAnsi="Cambria Math"/>
                          <w:i/>
                        </w:rPr>
                      </m:ctrlPr>
                    </m:e>
                    <m:sup>
                      <m:r>
                        <m:rPr/>
                        <w:rPr>
                          <w:rFonts w:ascii="Cambria Math" w:hAnsi="Cambria Math"/>
                        </w:rPr>
                        <m:t>T</m:t>
                      </m:r>
                      <m:ctrlPr>
                        <w:rPr>
                          <w:rFonts w:ascii="Cambria Math" w:hAnsi="Cambria Math"/>
                          <w:i/>
                        </w:rPr>
                      </m:ctrlPr>
                    </m:sup>
                  </m:sSup>
                  <m:ctrlPr>
                    <w:rPr>
                      <w:rFonts w:ascii="Cambria Math" w:hAnsi="Cambria Math"/>
                      <w:i/>
                    </w:rPr>
                  </m:ctrlPr>
                </m:num>
                <m:den>
                  <m:rad>
                    <m:radPr>
                      <m:degHide m:val="1"/>
                      <m:ctrlPr>
                        <w:rPr>
                          <w:rFonts w:ascii="Cambria Math" w:hAnsi="Cambria Math"/>
                          <w:i/>
                        </w:rPr>
                      </m:ctrlPr>
                    </m:radPr>
                    <m:deg>
                      <m:ctrlPr>
                        <w:rPr>
                          <w:rFonts w:ascii="Cambria Math" w:hAnsi="Cambria Math"/>
                          <w:i/>
                        </w:rPr>
                      </m:ctrlPr>
                    </m:deg>
                    <m:e>
                      <m:sSub>
                        <m:sSubPr>
                          <m:ctrlPr>
                            <w:rPr>
                              <w:rFonts w:ascii="Cambria Math" w:hAnsi="Cambria Math"/>
                              <w:i/>
                            </w:rPr>
                          </m:ctrlPr>
                        </m:sSubPr>
                        <m:e>
                          <m:r>
                            <m:rPr/>
                            <w:rPr>
                              <w:rFonts w:ascii="Cambria Math" w:hAnsi="Cambria Math"/>
                            </w:rPr>
                            <m:t>d</m:t>
                          </m:r>
                          <m:ctrlPr>
                            <w:rPr>
                              <w:rFonts w:ascii="Cambria Math" w:hAnsi="Cambria Math"/>
                              <w:i/>
                            </w:rPr>
                          </m:ctrlPr>
                        </m:e>
                        <m:sub>
                          <m:r>
                            <m:rPr/>
                            <w:rPr>
                              <w:rFonts w:ascii="Cambria Math" w:hAnsi="Cambria Math"/>
                            </w:rPr>
                            <m:t>k</m:t>
                          </m:r>
                          <m:ctrlPr>
                            <w:rPr>
                              <w:rFonts w:ascii="Cambria Math" w:hAnsi="Cambria Math"/>
                              <w:i/>
                            </w:rPr>
                          </m:ctrlPr>
                        </m:sub>
                      </m:sSub>
                      <m:ctrlPr>
                        <w:rPr>
                          <w:rFonts w:ascii="Cambria Math" w:hAnsi="Cambria Math"/>
                          <w:i/>
                        </w:rPr>
                      </m:ctrlPr>
                    </m:e>
                  </m:rad>
                  <m:ctrlPr>
                    <w:rPr>
                      <w:rFonts w:ascii="Cambria Math" w:hAnsi="Cambria Math"/>
                      <w:i/>
                    </w:rPr>
                  </m:ctrlPr>
                </m:den>
              </m:f>
              <m:ctrlPr>
                <w:rPr>
                  <w:rFonts w:ascii="Cambria Math" w:hAnsi="Cambria Math"/>
                  <w:i/>
                </w:rPr>
              </m:ctrlPr>
            </m:e>
          </m:d>
          <m:r>
            <m:rPr/>
            <w:rPr>
              <w:rFonts w:ascii="Cambria Math" w:hAnsi="Cambria Math"/>
            </w:rPr>
            <m:t>V</m:t>
          </m:r>
        </m:oMath>
      </m:oMathPara>
    </w:p>
    <w:p w14:paraId="42C88493">
      <w:pPr>
        <w:ind w:firstLine="480"/>
      </w:pPr>
      <w:r>
        <w:t>在该公式中，矩阵乘法 </w:t>
      </w:r>
      <m:oMath>
        <m:r>
          <m:rPr/>
          <w:rPr>
            <w:rFonts w:ascii="Cambria Math" w:hAnsi="Cambria Math"/>
          </w:rPr>
          <m:t>Q</m:t>
        </m:r>
        <m:sSup>
          <m:sSupPr>
            <m:ctrlPr>
              <w:rPr>
                <w:rFonts w:ascii="Cambria Math" w:hAnsi="Cambria Math"/>
              </w:rPr>
            </m:ctrlPr>
          </m:sSupPr>
          <m:e>
            <m:r>
              <m:rPr/>
              <w:rPr>
                <w:rFonts w:ascii="Cambria Math" w:hAnsi="Cambria Math"/>
              </w:rPr>
              <m:t>K</m:t>
            </m:r>
            <m:ctrlPr>
              <w:rPr>
                <w:rFonts w:ascii="Cambria Math" w:hAnsi="Cambria Math"/>
              </w:rPr>
            </m:ctrlPr>
          </m:e>
          <m:sup>
            <m:r>
              <m:rPr/>
              <w:rPr>
                <w:rFonts w:ascii="Cambria Math" w:hAnsi="Cambria Math"/>
              </w:rPr>
              <m:t>T</m:t>
            </m:r>
            <m:ctrlPr>
              <w:rPr>
                <w:rFonts w:ascii="Cambria Math" w:hAnsi="Cambria Math"/>
              </w:rPr>
            </m:ctrlPr>
          </m:sup>
        </m:sSup>
      </m:oMath>
      <w:r>
        <w:t> 计算了序列中任意两个特征元素之间的内积相似度；除以缩放因子 </w:t>
      </w:r>
      <m:oMath>
        <m:rad>
          <m:radPr>
            <m:degHide m:val="1"/>
            <m:ctrlPr>
              <w:rPr>
                <w:rFonts w:ascii="Cambria Math" w:hAnsi="Cambria Math"/>
              </w:rPr>
            </m:ctrlPr>
          </m:radPr>
          <m:deg>
            <m:ctrlPr>
              <w:rPr>
                <w:rFonts w:ascii="Cambria Math" w:hAnsi="Cambria Math"/>
              </w:rPr>
            </m:ctrlPr>
          </m:deg>
          <m:e>
            <m:sSub>
              <m:sSubPr>
                <m:ctrlPr>
                  <w:rPr>
                    <w:rFonts w:ascii="Cambria Math" w:hAnsi="Cambria Math"/>
                  </w:rPr>
                </m:ctrlPr>
              </m:sSubPr>
              <m:e>
                <m:r>
                  <m:rPr/>
                  <w:rPr>
                    <w:rFonts w:ascii="Cambria Math" w:hAnsi="Cambria Math"/>
                  </w:rPr>
                  <m:t>d</m:t>
                </m:r>
                <m:ctrlPr>
                  <w:rPr>
                    <w:rFonts w:ascii="Cambria Math" w:hAnsi="Cambria Math"/>
                  </w:rPr>
                </m:ctrlPr>
              </m:e>
              <m:sub>
                <m:r>
                  <m:rPr/>
                  <w:rPr>
                    <w:rFonts w:ascii="Cambria Math" w:hAnsi="Cambria Math"/>
                  </w:rPr>
                  <m:t>k</m:t>
                </m:r>
                <m:ctrlPr>
                  <w:rPr>
                    <w:rFonts w:ascii="Cambria Math" w:hAnsi="Cambria Math"/>
                  </w:rPr>
                </m:ctrlPr>
              </m:sub>
            </m:sSub>
            <m:ctrlPr>
              <w:rPr>
                <w:rFonts w:ascii="Cambria Math" w:hAnsi="Cambria Math"/>
              </w:rPr>
            </m:ctrlPr>
          </m:e>
        </m:rad>
      </m:oMath>
      <w:r>
        <w:t>是为了防止特征维度较高时内积数值过大，</w:t>
      </w:r>
      <w:r>
        <w:rPr>
          <w:rFonts w:hint="eastAsia"/>
        </w:rPr>
        <w:t>导致梯度爆炸或梯度消失</w:t>
      </w:r>
      <w:r>
        <w:t>；最终的 Softmax 操作将相似度矩阵转化为归一化的概率分布，并与值矩阵 </w:t>
      </w:r>
      <m:oMath>
        <m:r>
          <m:rPr/>
          <w:rPr>
            <w:rFonts w:ascii="Cambria Math" w:hAnsi="Cambria Math"/>
          </w:rPr>
          <m:t>V</m:t>
        </m:r>
      </m:oMath>
      <w:r>
        <w:t>进行加权求和，以此实现全局信息的动态提取。</w:t>
      </w:r>
    </w:p>
    <w:p w14:paraId="5794CE5E">
      <w:pPr>
        <w:ind w:firstLine="480"/>
      </w:pPr>
      <w:r>
        <w:t>为了使模型能够从多个不同的特征子空间中捕捉信息，Vaswani等人将Transformer中的自注意力机制扩展为多头注意力机制。模型将 </w:t>
      </w:r>
      <m:oMath>
        <m:r>
          <m:rPr/>
          <w:rPr>
            <w:rFonts w:ascii="Cambria Math" w:hAnsi="Cambria Math"/>
          </w:rPr>
          <m:t>Q,K,V</m:t>
        </m:r>
      </m:oMath>
      <w:r>
        <w:t>并行投影至 </w:t>
      </w:r>
      <m:oMath>
        <m:r>
          <m:rPr/>
          <w:rPr>
            <w:rFonts w:ascii="Cambria Math" w:hAnsi="Cambria Math"/>
          </w:rPr>
          <m:t>h</m:t>
        </m:r>
      </m:oMath>
      <w:r>
        <w:t>个低维特征空间（即 </w:t>
      </w:r>
      <m:oMath>
        <m:r>
          <m:rPr/>
          <w:rPr>
            <w:rFonts w:ascii="Cambria Math" w:hAnsi="Cambria Math"/>
          </w:rPr>
          <m:t>h</m:t>
        </m:r>
      </m:oMath>
      <w:r>
        <w:t>个“头”），分别进行缩放点积注意力计算，随后将各个头的输出拼接，并经过一次线性变换还原维度：</w:t>
      </w:r>
    </w:p>
    <w:p w14:paraId="15CB01B2">
      <w:pPr>
        <w:ind w:firstLine="480"/>
        <w:rPr>
          <w:rFonts w:hint="eastAsia"/>
        </w:rPr>
      </w:pPr>
      <m:oMathPara>
        <m:oMath>
          <m:r>
            <m:rPr/>
            <w:rPr>
              <w:rFonts w:ascii="Cambria Math" w:hAnsi="Cambria Math"/>
            </w:rPr>
            <m:t>MultiHead</m:t>
          </m:r>
          <m:d>
            <m:dPr>
              <m:ctrlPr>
                <w:rPr>
                  <w:rFonts w:ascii="Cambria Math" w:hAnsi="Cambria Math"/>
                  <w:i/>
                </w:rPr>
              </m:ctrlPr>
            </m:dPr>
            <m:e>
              <m:r>
                <m:rPr/>
                <w:rPr>
                  <w:rFonts w:ascii="Cambria Math" w:hAnsi="Cambria Math"/>
                </w:rPr>
                <m:t>Q,K,V</m:t>
              </m:r>
              <m:ctrlPr>
                <w:rPr>
                  <w:rFonts w:ascii="Cambria Math" w:hAnsi="Cambria Math"/>
                  <w:i/>
                </w:rPr>
              </m:ctrlPr>
            </m:e>
          </m:d>
          <m:r>
            <m:rPr/>
            <w:rPr>
              <w:rFonts w:ascii="Cambria Math" w:hAnsi="Cambria Math"/>
            </w:rPr>
            <m:t>=Concat</m:t>
          </m:r>
          <m:d>
            <m:dPr>
              <m:ctrlPr>
                <w:rPr>
                  <w:rFonts w:ascii="Cambria Math" w:hAnsi="Cambria Math"/>
                  <w:i/>
                </w:rPr>
              </m:ctrlPr>
            </m:dPr>
            <m:e>
              <m:r>
                <m:rPr/>
                <w:rPr>
                  <w:rFonts w:ascii="Cambria Math" w:hAnsi="Cambria Math"/>
                </w:rPr>
                <m:t>hea</m:t>
              </m:r>
              <m:sSub>
                <m:sSubPr>
                  <m:ctrlPr>
                    <w:rPr>
                      <w:rFonts w:ascii="Cambria Math" w:hAnsi="Cambria Math"/>
                      <w:i/>
                    </w:rPr>
                  </m:ctrlPr>
                </m:sSubPr>
                <m:e>
                  <m:r>
                    <m:rPr/>
                    <w:rPr>
                      <w:rFonts w:ascii="Cambria Math" w:hAnsi="Cambria Math"/>
                    </w:rPr>
                    <m:t>d</m:t>
                  </m:r>
                  <m:ctrlPr>
                    <w:rPr>
                      <w:rFonts w:ascii="Cambria Math" w:hAnsi="Cambria Math"/>
                      <w:i/>
                    </w:rPr>
                  </m:ctrlPr>
                </m:e>
                <m:sub>
                  <m:r>
                    <m:rPr/>
                    <w:rPr>
                      <w:rFonts w:ascii="Cambria Math" w:hAnsi="Cambria Math"/>
                    </w:rPr>
                    <m:t>1</m:t>
                  </m:r>
                  <m:ctrlPr>
                    <w:rPr>
                      <w:rFonts w:ascii="Cambria Math" w:hAnsi="Cambria Math"/>
                      <w:i/>
                    </w:rPr>
                  </m:ctrlPr>
                </m:sub>
              </m:sSub>
              <m:r>
                <m:rPr/>
                <w:rPr>
                  <w:rFonts w:ascii="Cambria Math" w:hAnsi="Cambria Math"/>
                </w:rPr>
                <m:t>,…,hea</m:t>
              </m:r>
              <m:sSub>
                <m:sSubPr>
                  <m:ctrlPr>
                    <w:rPr>
                      <w:rFonts w:ascii="Cambria Math" w:hAnsi="Cambria Math"/>
                      <w:i/>
                    </w:rPr>
                  </m:ctrlPr>
                </m:sSubPr>
                <m:e>
                  <m:r>
                    <m:rPr/>
                    <w:rPr>
                      <w:rFonts w:ascii="Cambria Math" w:hAnsi="Cambria Math"/>
                    </w:rPr>
                    <m:t>d</m:t>
                  </m:r>
                  <m:ctrlPr>
                    <w:rPr>
                      <w:rFonts w:ascii="Cambria Math" w:hAnsi="Cambria Math"/>
                      <w:i/>
                    </w:rPr>
                  </m:ctrlPr>
                </m:e>
                <m:sub>
                  <m:r>
                    <m:rPr/>
                    <w:rPr>
                      <w:rFonts w:ascii="Cambria Math" w:hAnsi="Cambria Math"/>
                    </w:rPr>
                    <m:t>h</m:t>
                  </m:r>
                  <m:ctrlPr>
                    <w:rPr>
                      <w:rFonts w:ascii="Cambria Math" w:hAnsi="Cambria Math"/>
                      <w:i/>
                    </w:rPr>
                  </m:ctrlPr>
                </m:sub>
              </m:sSub>
              <m:ctrlPr>
                <w:rPr>
                  <w:rFonts w:ascii="Cambria Math" w:hAnsi="Cambria Math"/>
                  <w:i/>
                </w:rPr>
              </m:ctrlPr>
            </m:e>
          </m:d>
          <m:sSup>
            <m:sSupPr>
              <m:ctrlPr>
                <w:rPr>
                  <w:rFonts w:ascii="Cambria Math" w:hAnsi="Cambria Math"/>
                  <w:i/>
                </w:rPr>
              </m:ctrlPr>
            </m:sSupPr>
            <m:e>
              <m:r>
                <m:rPr/>
                <w:rPr>
                  <w:rFonts w:ascii="Cambria Math" w:hAnsi="Cambria Math"/>
                </w:rPr>
                <m:t>W</m:t>
              </m:r>
              <m:ctrlPr>
                <w:rPr>
                  <w:rFonts w:ascii="Cambria Math" w:hAnsi="Cambria Math"/>
                  <w:i/>
                </w:rPr>
              </m:ctrlPr>
            </m:e>
            <m:sup>
              <m:r>
                <m:rPr/>
                <w:rPr>
                  <w:rFonts w:ascii="Cambria Math" w:hAnsi="Cambria Math"/>
                </w:rPr>
                <m:t>O</m:t>
              </m:r>
              <m:ctrlPr>
                <w:rPr>
                  <w:rFonts w:ascii="Cambria Math" w:hAnsi="Cambria Math"/>
                  <w:i/>
                </w:rPr>
              </m:ctrlPr>
            </m:sup>
          </m:sSup>
        </m:oMath>
      </m:oMathPara>
    </w:p>
    <w:p w14:paraId="72CA19BC">
      <w:pPr>
        <w:ind w:firstLine="480"/>
      </w:pPr>
      <w:r>
        <w:t>其中</w:t>
      </w:r>
      <m:oMath>
        <m:sSub>
          <m:sSubPr>
            <m:ctrlPr>
              <w:rPr>
                <w:rFonts w:ascii="Cambria Math" w:hAnsi="Cambria Math"/>
              </w:rPr>
            </m:ctrlPr>
          </m:sSubPr>
          <m:e>
            <m:r>
              <m:rPr>
                <m:nor/>
                <m:sty m:val="p"/>
              </m:rPr>
              <m:t>head</m:t>
            </m:r>
            <m:ctrlPr>
              <w:rPr>
                <w:rFonts w:ascii="Cambria Math" w:hAnsi="Cambria Math"/>
              </w:rPr>
            </m:ctrlPr>
          </m:e>
          <m:sub>
            <m:r>
              <m:rPr/>
              <w:rPr>
                <w:rFonts w:ascii="Cambria Math" w:hAnsi="Cambria Math"/>
              </w:rPr>
              <m:t>i</m:t>
            </m:r>
            <m:ctrlPr>
              <w:rPr>
                <w:rFonts w:ascii="Cambria Math" w:hAnsi="Cambria Math"/>
              </w:rPr>
            </m:ctrlPr>
          </m:sub>
        </m:sSub>
        <m:r>
          <m:rPr/>
          <w:rPr>
            <w:rFonts w:ascii="Cambria Math" w:hAnsi="Cambria Math"/>
          </w:rPr>
          <m:t>=</m:t>
        </m:r>
        <m:r>
          <m:rPr>
            <m:nor/>
            <m:sty m:val="p"/>
          </m:rPr>
          <m:t>Attention</m:t>
        </m:r>
        <m:r>
          <m:rPr/>
          <w:rPr>
            <w:rFonts w:ascii="Cambria Math" w:hAnsi="Cambria Math"/>
          </w:rPr>
          <m:t>(Q</m:t>
        </m:r>
        <m:sSubSup>
          <m:sSubSupPr>
            <m:ctrlPr>
              <w:rPr>
                <w:rFonts w:ascii="Cambria Math" w:hAnsi="Cambria Math"/>
              </w:rPr>
            </m:ctrlPr>
          </m:sSubSupPr>
          <m:e>
            <m:r>
              <m:rPr/>
              <w:rPr>
                <w:rFonts w:ascii="Cambria Math" w:hAnsi="Cambria Math"/>
              </w:rPr>
              <m:t>W</m:t>
            </m:r>
            <m:ctrlPr>
              <w:rPr>
                <w:rFonts w:ascii="Cambria Math" w:hAnsi="Cambria Math"/>
              </w:rPr>
            </m:ctrlPr>
          </m:e>
          <m:sub>
            <m:r>
              <m:rPr/>
              <w:rPr>
                <w:rFonts w:ascii="Cambria Math" w:hAnsi="Cambria Math"/>
              </w:rPr>
              <m:t>Q</m:t>
            </m:r>
            <m:ctrlPr>
              <w:rPr>
                <w:rFonts w:ascii="Cambria Math" w:hAnsi="Cambria Math"/>
              </w:rPr>
            </m:ctrlPr>
          </m:sub>
          <m:sup>
            <m:d>
              <m:dPr>
                <m:ctrlPr>
                  <w:rPr>
                    <w:rFonts w:ascii="Cambria Math" w:hAnsi="Cambria Math"/>
                  </w:rPr>
                </m:ctrlPr>
              </m:dPr>
              <m:e>
                <m:r>
                  <m:rPr/>
                  <w:rPr>
                    <w:rFonts w:ascii="Cambria Math" w:hAnsi="Cambria Math"/>
                  </w:rPr>
                  <m:t>i</m:t>
                </m:r>
                <m:ctrlPr>
                  <w:rPr>
                    <w:rFonts w:ascii="Cambria Math" w:hAnsi="Cambria Math"/>
                  </w:rPr>
                </m:ctrlPr>
              </m:e>
            </m:d>
            <m:ctrlPr>
              <w:rPr>
                <w:rFonts w:ascii="Cambria Math" w:hAnsi="Cambria Math"/>
              </w:rPr>
            </m:ctrlPr>
          </m:sup>
        </m:sSubSup>
        <m:r>
          <m:rPr/>
          <w:rPr>
            <w:rFonts w:ascii="Cambria Math" w:hAnsi="Cambria Math"/>
          </w:rPr>
          <m:t>,K</m:t>
        </m:r>
        <m:sSubSup>
          <m:sSubSupPr>
            <m:ctrlPr>
              <w:rPr>
                <w:rFonts w:ascii="Cambria Math" w:hAnsi="Cambria Math"/>
              </w:rPr>
            </m:ctrlPr>
          </m:sSubSupPr>
          <m:e>
            <m:r>
              <m:rPr/>
              <w:rPr>
                <w:rFonts w:ascii="Cambria Math" w:hAnsi="Cambria Math"/>
              </w:rPr>
              <m:t>W</m:t>
            </m:r>
            <m:ctrlPr>
              <w:rPr>
                <w:rFonts w:ascii="Cambria Math" w:hAnsi="Cambria Math"/>
              </w:rPr>
            </m:ctrlPr>
          </m:e>
          <m:sub>
            <m:r>
              <m:rPr/>
              <w:rPr>
                <w:rFonts w:ascii="Cambria Math" w:hAnsi="Cambria Math"/>
              </w:rPr>
              <m:t>K</m:t>
            </m:r>
            <m:ctrlPr>
              <w:rPr>
                <w:rFonts w:ascii="Cambria Math" w:hAnsi="Cambria Math"/>
              </w:rPr>
            </m:ctrlPr>
          </m:sub>
          <m:sup>
            <m:d>
              <m:dPr>
                <m:ctrlPr>
                  <w:rPr>
                    <w:rFonts w:ascii="Cambria Math" w:hAnsi="Cambria Math"/>
                  </w:rPr>
                </m:ctrlPr>
              </m:dPr>
              <m:e>
                <m:r>
                  <m:rPr/>
                  <w:rPr>
                    <w:rFonts w:ascii="Cambria Math" w:hAnsi="Cambria Math"/>
                  </w:rPr>
                  <m:t>i</m:t>
                </m:r>
                <m:ctrlPr>
                  <w:rPr>
                    <w:rFonts w:ascii="Cambria Math" w:hAnsi="Cambria Math"/>
                  </w:rPr>
                </m:ctrlPr>
              </m:e>
            </m:d>
            <m:ctrlPr>
              <w:rPr>
                <w:rFonts w:ascii="Cambria Math" w:hAnsi="Cambria Math"/>
              </w:rPr>
            </m:ctrlPr>
          </m:sup>
        </m:sSubSup>
        <m:r>
          <m:rPr/>
          <w:rPr>
            <w:rFonts w:ascii="Cambria Math" w:hAnsi="Cambria Math"/>
          </w:rPr>
          <m:t>,V</m:t>
        </m:r>
        <m:sSubSup>
          <m:sSubSupPr>
            <m:ctrlPr>
              <w:rPr>
                <w:rFonts w:ascii="Cambria Math" w:hAnsi="Cambria Math"/>
              </w:rPr>
            </m:ctrlPr>
          </m:sSubSupPr>
          <m:e>
            <m:r>
              <m:rPr/>
              <w:rPr>
                <w:rFonts w:ascii="Cambria Math" w:hAnsi="Cambria Math"/>
              </w:rPr>
              <m:t>W</m:t>
            </m:r>
            <m:ctrlPr>
              <w:rPr>
                <w:rFonts w:ascii="Cambria Math" w:hAnsi="Cambria Math"/>
              </w:rPr>
            </m:ctrlPr>
          </m:e>
          <m:sub>
            <m:r>
              <m:rPr/>
              <w:rPr>
                <w:rFonts w:ascii="Cambria Math" w:hAnsi="Cambria Math"/>
              </w:rPr>
              <m:t>V</m:t>
            </m:r>
            <m:ctrlPr>
              <w:rPr>
                <w:rFonts w:ascii="Cambria Math" w:hAnsi="Cambria Math"/>
              </w:rPr>
            </m:ctrlPr>
          </m:sub>
          <m:sup>
            <m:d>
              <m:dPr>
                <m:ctrlPr>
                  <w:rPr>
                    <w:rFonts w:ascii="Cambria Math" w:hAnsi="Cambria Math"/>
                  </w:rPr>
                </m:ctrlPr>
              </m:dPr>
              <m:e>
                <m:r>
                  <m:rPr/>
                  <w:rPr>
                    <w:rFonts w:ascii="Cambria Math" w:hAnsi="Cambria Math"/>
                  </w:rPr>
                  <m:t>i</m:t>
                </m:r>
                <m:ctrlPr>
                  <w:rPr>
                    <w:rFonts w:ascii="Cambria Math" w:hAnsi="Cambria Math"/>
                  </w:rPr>
                </m:ctrlPr>
              </m:e>
            </m:d>
            <m:ctrlPr>
              <w:rPr>
                <w:rFonts w:ascii="Cambria Math" w:hAnsi="Cambria Math"/>
              </w:rPr>
            </m:ctrlPr>
          </m:sup>
        </m:sSubSup>
        <m:r>
          <m:rPr/>
          <w:rPr>
            <w:rFonts w:ascii="Cambria Math" w:hAnsi="Cambria Math"/>
          </w:rPr>
          <m:t>)</m:t>
        </m:r>
      </m:oMath>
      <w:r>
        <w:rPr>
          <w:rFonts w:hint="eastAsia"/>
        </w:rPr>
        <w:t xml:space="preserve">, </w:t>
      </w:r>
      <m:oMath>
        <m:sSup>
          <m:sSupPr>
            <m:ctrlPr>
              <w:rPr>
                <w:rFonts w:ascii="Cambria Math" w:hAnsi="Cambria Math"/>
              </w:rPr>
            </m:ctrlPr>
          </m:sSupPr>
          <m:e>
            <m:r>
              <m:rPr/>
              <w:rPr>
                <w:rFonts w:ascii="Cambria Math" w:hAnsi="Cambria Math"/>
              </w:rPr>
              <m:t>W</m:t>
            </m:r>
            <m:ctrlPr>
              <w:rPr>
                <w:rFonts w:ascii="Cambria Math" w:hAnsi="Cambria Math"/>
              </w:rPr>
            </m:ctrlPr>
          </m:e>
          <m:sup>
            <m:r>
              <m:rPr/>
              <w:rPr>
                <w:rFonts w:ascii="Cambria Math" w:hAnsi="Cambria Math"/>
              </w:rPr>
              <m:t>O</m:t>
            </m:r>
            <m:ctrlPr>
              <w:rPr>
                <w:rFonts w:ascii="Cambria Math" w:hAnsi="Cambria Math"/>
              </w:rPr>
            </m:ctrlPr>
          </m:sup>
        </m:sSup>
        <m:r>
          <m:rPr/>
          <w:rPr>
            <w:rFonts w:ascii="Cambria Math" w:hAnsi="Cambria Math"/>
          </w:rPr>
          <m:t>∈</m:t>
        </m:r>
        <m:sSup>
          <m:sSupPr>
            <m:ctrlPr>
              <w:rPr>
                <w:rFonts w:ascii="Cambria Math" w:hAnsi="Cambria Math"/>
              </w:rPr>
            </m:ctrlPr>
          </m:sSupPr>
          <m:e>
            <m:r>
              <m:rPr>
                <m:sty m:val="p"/>
                <m:scr m:val="double-struck"/>
              </m:rPr>
              <w:rPr>
                <w:rFonts w:ascii="Cambria Math" w:hAnsi="Cambria Math"/>
              </w:rPr>
              <m:t>ℝ</m:t>
            </m:r>
            <m:ctrlPr>
              <w:rPr>
                <w:rFonts w:ascii="Cambria Math" w:hAnsi="Cambria Math"/>
              </w:rPr>
            </m:ctrlPr>
          </m:e>
          <m:sup>
            <m:r>
              <m:rPr/>
              <w:rPr>
                <w:rFonts w:ascii="Cambria Math" w:hAnsi="Cambria Math"/>
              </w:rPr>
              <m:t>h</m:t>
            </m:r>
            <m:sSub>
              <m:sSubPr>
                <m:ctrlPr>
                  <w:rPr>
                    <w:rFonts w:ascii="Cambria Math" w:hAnsi="Cambria Math"/>
                  </w:rPr>
                </m:ctrlPr>
              </m:sSubPr>
              <m:e>
                <m:r>
                  <m:rPr/>
                  <w:rPr>
                    <w:rFonts w:ascii="Cambria Math" w:hAnsi="Cambria Math"/>
                  </w:rPr>
                  <m:t>d</m:t>
                </m:r>
                <m:ctrlPr>
                  <w:rPr>
                    <w:rFonts w:ascii="Cambria Math" w:hAnsi="Cambria Math"/>
                  </w:rPr>
                </m:ctrlPr>
              </m:e>
              <m:sub>
                <m:r>
                  <m:rPr/>
                  <w:rPr>
                    <w:rFonts w:ascii="Cambria Math" w:hAnsi="Cambria Math"/>
                  </w:rPr>
                  <m:t>v</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d</m:t>
                </m:r>
                <m:ctrlPr>
                  <w:rPr>
                    <w:rFonts w:ascii="Cambria Math" w:hAnsi="Cambria Math"/>
                  </w:rPr>
                </m:ctrlPr>
              </m:e>
              <m:sub>
                <m:r>
                  <m:rPr>
                    <m:nor/>
                    <m:sty m:val="p"/>
                  </m:rPr>
                  <m:t>model</m:t>
                </m:r>
                <m:ctrlPr>
                  <w:rPr>
                    <w:rFonts w:ascii="Cambria Math" w:hAnsi="Cambria Math"/>
                  </w:rPr>
                </m:ctrlPr>
              </m:sub>
            </m:sSub>
            <m:ctrlPr>
              <w:rPr>
                <w:rFonts w:ascii="Cambria Math" w:hAnsi="Cambria Math"/>
              </w:rPr>
            </m:ctrlPr>
          </m:sup>
        </m:sSup>
      </m:oMath>
    </w:p>
    <w:p w14:paraId="64C3C986">
      <w:pPr>
        <w:ind w:firstLine="480"/>
        <w:rPr>
          <w:rFonts w:hint="eastAsia"/>
        </w:rPr>
      </w:pPr>
      <w:r>
        <w:t>为输出投影矩阵。多头机制显著提升了模型的特征容量，使其能够更好地捕获复杂的语法结构与深层语义。</w:t>
      </w:r>
    </w:p>
    <w:p w14:paraId="1755CE33">
      <w:pPr>
        <w:ind w:firstLine="480"/>
      </w:pPr>
      <w:r>
        <w:t>在多头注意力层之后，Transformer 对序列中的每个位置独立应用了一个全连接的前馈神经网络（FFN），以引入必要的非线性变换。该网络通常包含两层线性映射与一个 ReLU 激活函数：</w:t>
      </w:r>
    </w:p>
    <w:p w14:paraId="0C813FCA">
      <w:pPr>
        <w:ind w:firstLine="480"/>
      </w:pPr>
      <m:oMathPara>
        <m:oMath>
          <m:r>
            <m:rPr/>
            <w:rPr>
              <w:rFonts w:ascii="Cambria Math" w:hAnsi="Cambria Math"/>
            </w:rPr>
            <m:t>FFN</m:t>
          </m:r>
          <m:d>
            <m:dPr>
              <m:ctrlPr>
                <w:rPr>
                  <w:rFonts w:ascii="Cambria Math" w:hAnsi="Cambria Math"/>
                  <w:i/>
                </w:rPr>
              </m:ctrlPr>
            </m:dPr>
            <m:e>
              <m:r>
                <m:rPr/>
                <w:rPr>
                  <w:rFonts w:ascii="Cambria Math" w:hAnsi="Cambria Math"/>
                </w:rPr>
                <m:t>x</m:t>
              </m:r>
              <m:ctrlPr>
                <w:rPr>
                  <w:rFonts w:ascii="Cambria Math" w:hAnsi="Cambria Math"/>
                  <w:i/>
                </w:rPr>
              </m:ctrlPr>
            </m:e>
          </m:d>
          <m:r>
            <m:rPr/>
            <w:rPr>
              <w:rFonts w:ascii="Cambria Math" w:hAnsi="Cambria Math"/>
            </w:rPr>
            <m:t>=</m:t>
          </m:r>
          <m:func>
            <m:funcPr>
              <m:ctrlPr>
                <w:rPr>
                  <w:rFonts w:ascii="Cambria Math" w:hAnsi="Cambria Math"/>
                </w:rPr>
              </m:ctrlPr>
            </m:funcPr>
            <m:fName>
              <m:r>
                <m:rPr>
                  <m:sty m:val="p"/>
                </m:rPr>
                <w:rPr>
                  <w:rFonts w:ascii="Cambria Math" w:hAnsi="Cambria Math"/>
                </w:rPr>
                <m:t>max</m:t>
              </m:r>
              <m:ctrlPr>
                <w:rPr>
                  <w:rFonts w:ascii="Cambria Math" w:hAnsi="Cambria Math"/>
                  <w:i/>
                </w:rPr>
              </m:ctrlPr>
            </m:fName>
            <m:e>
              <m:d>
                <m:dPr>
                  <m:ctrlPr>
                    <w:rPr>
                      <w:rFonts w:ascii="Cambria Math" w:hAnsi="Cambria Math"/>
                      <w:i/>
                    </w:rPr>
                  </m:ctrlPr>
                </m:dPr>
                <m:e>
                  <m:r>
                    <m:rPr/>
                    <w:rPr>
                      <w:rFonts w:ascii="Cambria Math" w:hAnsi="Cambria Math"/>
                    </w:rPr>
                    <m:t>0,x</m:t>
                  </m:r>
                  <m:sSub>
                    <m:sSubPr>
                      <m:ctrlPr>
                        <w:rPr>
                          <w:rFonts w:ascii="Cambria Math" w:hAnsi="Cambria Math"/>
                          <w:i/>
                        </w:rPr>
                      </m:ctrlPr>
                    </m:sSubPr>
                    <m:e>
                      <m:r>
                        <m:rPr/>
                        <w:rPr>
                          <w:rFonts w:ascii="Cambria Math" w:hAnsi="Cambria Math"/>
                        </w:rPr>
                        <m:t>W</m:t>
                      </m:r>
                      <m:ctrlPr>
                        <w:rPr>
                          <w:rFonts w:ascii="Cambria Math" w:hAnsi="Cambria Math"/>
                          <w:i/>
                        </w:rPr>
                      </m:ctrlPr>
                    </m:e>
                    <m:sub>
                      <m:r>
                        <m:rPr/>
                        <w:rPr>
                          <w:rFonts w:ascii="Cambria Math" w:hAnsi="Cambria Math"/>
                        </w:rPr>
                        <m:t>1</m:t>
                      </m:r>
                      <m:ctrlPr>
                        <w:rPr>
                          <w:rFonts w:ascii="Cambria Math" w:hAnsi="Cambria Math"/>
                          <w:i/>
                        </w:rPr>
                      </m:ctrlPr>
                    </m:sub>
                  </m:sSub>
                  <m:r>
                    <m:rPr/>
                    <w:rPr>
                      <w:rFonts w:ascii="Cambria Math" w:hAnsi="Cambria Math"/>
                    </w:rPr>
                    <m:t>+</m:t>
                  </m:r>
                  <m:sSub>
                    <m:sSubPr>
                      <m:ctrlPr>
                        <w:rPr>
                          <w:rFonts w:ascii="Cambria Math" w:hAnsi="Cambria Math"/>
                          <w:i/>
                        </w:rPr>
                      </m:ctrlPr>
                    </m:sSubPr>
                    <m:e>
                      <m:r>
                        <m:rPr/>
                        <w:rPr>
                          <w:rFonts w:ascii="Cambria Math" w:hAnsi="Cambria Math"/>
                        </w:rPr>
                        <m:t>b</m:t>
                      </m:r>
                      <m:ctrlPr>
                        <w:rPr>
                          <w:rFonts w:ascii="Cambria Math" w:hAnsi="Cambria Math"/>
                          <w:i/>
                        </w:rPr>
                      </m:ctrlPr>
                    </m:e>
                    <m:sub>
                      <m:r>
                        <m:rPr/>
                        <w:rPr>
                          <w:rFonts w:ascii="Cambria Math" w:hAnsi="Cambria Math"/>
                        </w:rPr>
                        <m:t>1</m:t>
                      </m:r>
                      <m:ctrlPr>
                        <w:rPr>
                          <w:rFonts w:ascii="Cambria Math" w:hAnsi="Cambria Math"/>
                          <w:i/>
                        </w:rPr>
                      </m:ctrlPr>
                    </m:sub>
                  </m:sSub>
                  <m:ctrlPr>
                    <w:rPr>
                      <w:rFonts w:ascii="Cambria Math" w:hAnsi="Cambria Math"/>
                      <w:i/>
                    </w:rPr>
                  </m:ctrlPr>
                </m:e>
              </m:d>
              <m:ctrlPr>
                <w:rPr>
                  <w:rFonts w:ascii="Cambria Math" w:hAnsi="Cambria Math"/>
                </w:rPr>
              </m:ctrlPr>
            </m:e>
          </m:func>
          <m:sSub>
            <m:sSubPr>
              <m:ctrlPr>
                <w:rPr>
                  <w:rFonts w:ascii="Cambria Math" w:hAnsi="Cambria Math"/>
                  <w:i/>
                </w:rPr>
              </m:ctrlPr>
            </m:sSubPr>
            <m:e>
              <m:r>
                <m:rPr/>
                <w:rPr>
                  <w:rFonts w:ascii="Cambria Math" w:hAnsi="Cambria Math"/>
                </w:rPr>
                <m:t>W</m:t>
              </m:r>
              <m:ctrlPr>
                <w:rPr>
                  <w:rFonts w:ascii="Cambria Math" w:hAnsi="Cambria Math"/>
                  <w:i/>
                </w:rPr>
              </m:ctrlPr>
            </m:e>
            <m:sub>
              <m:r>
                <m:rPr/>
                <w:rPr>
                  <w:rFonts w:ascii="Cambria Math" w:hAnsi="Cambria Math"/>
                </w:rPr>
                <m:t>2</m:t>
              </m:r>
              <m:ctrlPr>
                <w:rPr>
                  <w:rFonts w:ascii="Cambria Math" w:hAnsi="Cambria Math"/>
                  <w:i/>
                </w:rPr>
              </m:ctrlPr>
            </m:sub>
          </m:sSub>
          <m:r>
            <m:rPr/>
            <w:rPr>
              <w:rFonts w:ascii="Cambria Math" w:hAnsi="Cambria Math"/>
            </w:rPr>
            <m:t>+</m:t>
          </m:r>
          <m:sSub>
            <m:sSubPr>
              <m:ctrlPr>
                <w:rPr>
                  <w:rFonts w:ascii="Cambria Math" w:hAnsi="Cambria Math"/>
                  <w:i/>
                </w:rPr>
              </m:ctrlPr>
            </m:sSubPr>
            <m:e>
              <m:r>
                <m:rPr/>
                <w:rPr>
                  <w:rFonts w:ascii="Cambria Math" w:hAnsi="Cambria Math"/>
                </w:rPr>
                <m:t>b</m:t>
              </m:r>
              <m:ctrlPr>
                <w:rPr>
                  <w:rFonts w:ascii="Cambria Math" w:hAnsi="Cambria Math"/>
                  <w:i/>
                </w:rPr>
              </m:ctrlPr>
            </m:e>
            <m:sub>
              <m:r>
                <m:rPr/>
                <w:rPr>
                  <w:rFonts w:ascii="Cambria Math" w:hAnsi="Cambria Math"/>
                </w:rPr>
                <m:t>2</m:t>
              </m:r>
              <m:ctrlPr>
                <w:rPr>
                  <w:rFonts w:ascii="Cambria Math" w:hAnsi="Cambria Math"/>
                  <w:i/>
                </w:rPr>
              </m:ctrlPr>
            </m:sub>
          </m:sSub>
        </m:oMath>
      </m:oMathPara>
    </w:p>
    <w:p w14:paraId="659E9961">
      <w:pPr>
        <w:ind w:firstLine="480"/>
      </w:pPr>
      <w:r>
        <w:t>其中 </w:t>
      </w:r>
      <m:oMath>
        <m:sSub>
          <m:sSubPr>
            <m:ctrlPr>
              <w:rPr>
                <w:rFonts w:ascii="Cambria Math" w:hAnsi="Cambria Math"/>
              </w:rPr>
            </m:ctrlPr>
          </m:sSubPr>
          <m:e>
            <m:r>
              <m:rPr/>
              <w:rPr>
                <w:rFonts w:ascii="Cambria Math" w:hAnsi="Cambria Math"/>
              </w:rPr>
              <m:t>W</m:t>
            </m:r>
            <m:ctrlPr>
              <w:rPr>
                <w:rFonts w:ascii="Cambria Math" w:hAnsi="Cambria Math"/>
              </w:rPr>
            </m:ctrlPr>
          </m:e>
          <m:sub>
            <m:r>
              <m:rPr/>
              <w:rPr>
                <w:rFonts w:ascii="Cambria Math" w:hAnsi="Cambria Math"/>
              </w:rPr>
              <m:t>1</m:t>
            </m:r>
            <m:ctrlPr>
              <w:rPr>
                <w:rFonts w:ascii="Cambria Math" w:hAnsi="Cambria Math"/>
              </w:rPr>
            </m:ctrlPr>
          </m:sub>
        </m:sSub>
      </m:oMath>
      <w:r>
        <w:t>用于将特征维度扩展，而 </w:t>
      </w:r>
      <m:oMath>
        <m:sSub>
          <m:sSubPr>
            <m:ctrlPr>
              <w:rPr>
                <w:rFonts w:ascii="Cambria Math" w:hAnsi="Cambria Math"/>
              </w:rPr>
            </m:ctrlPr>
          </m:sSubPr>
          <m:e>
            <m:r>
              <m:rPr/>
              <w:rPr>
                <w:rFonts w:ascii="Cambria Math" w:hAnsi="Cambria Math"/>
              </w:rPr>
              <m:t>W</m:t>
            </m:r>
            <m:ctrlPr>
              <w:rPr>
                <w:rFonts w:ascii="Cambria Math" w:hAnsi="Cambria Math"/>
              </w:rPr>
            </m:ctrlPr>
          </m:e>
          <m:sub>
            <m:r>
              <m:rPr/>
              <w:rPr>
                <w:rFonts w:ascii="Cambria Math" w:hAnsi="Cambria Math"/>
              </w:rPr>
              <m:t>2</m:t>
            </m:r>
            <m:ctrlPr>
              <w:rPr>
                <w:rFonts w:ascii="Cambria Math" w:hAnsi="Cambria Math"/>
              </w:rPr>
            </m:ctrlPr>
          </m:sub>
        </m:sSub>
      </m:oMath>
      <w:r>
        <w:t>则将其映射回原始维度 </w:t>
      </w:r>
      <m:oMath>
        <m:sSub>
          <m:sSubPr>
            <m:ctrlPr>
              <w:rPr>
                <w:rFonts w:ascii="Cambria Math" w:hAnsi="Cambria Math"/>
              </w:rPr>
            </m:ctrlPr>
          </m:sSubPr>
          <m:e>
            <m:r>
              <m:rPr/>
              <w:rPr>
                <w:rFonts w:ascii="Cambria Math" w:hAnsi="Cambria Math"/>
              </w:rPr>
              <m:t>d</m:t>
            </m:r>
            <m:ctrlPr>
              <w:rPr>
                <w:rFonts w:ascii="Cambria Math" w:hAnsi="Cambria Math"/>
              </w:rPr>
            </m:ctrlPr>
          </m:e>
          <m:sub>
            <m:r>
              <m:rPr>
                <m:nor/>
                <m:sty m:val="p"/>
              </m:rPr>
              <m:t>model</m:t>
            </m:r>
            <m:ctrlPr>
              <w:rPr>
                <w:rFonts w:ascii="Cambria Math" w:hAnsi="Cambria Math"/>
              </w:rPr>
            </m:ctrlPr>
          </m:sub>
        </m:sSub>
      </m:oMath>
      <w:r>
        <w:rPr>
          <w:rFonts w:hint="eastAsia"/>
        </w:rPr>
        <w:t>。</w:t>
      </w:r>
    </w:p>
    <w:p w14:paraId="2FDB6B9B">
      <w:pPr>
        <w:ind w:firstLine="0" w:firstLineChars="0"/>
      </w:pPr>
      <w:r>
        <w:rPr>
          <w:rFonts w:hint="eastAsia"/>
        </w:rPr>
        <w:drawing>
          <wp:inline distT="0" distB="0" distL="0" distR="0">
            <wp:extent cx="5274310" cy="3317875"/>
            <wp:effectExtent l="0" t="0" r="2540" b="0"/>
            <wp:docPr id="123816915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169152" name="图片 2"/>
                    <pic:cNvPicPr>
                      <a:picLocks noChangeAspect="1"/>
                    </pic:cNvPicPr>
                  </pic:nvPicPr>
                  <pic:blipFill>
                    <a:blip r:embed="rId7">
                      <a:extLst>
                        <a:ext uri="{28A0092B-C50C-407E-A947-70E740481C1C}">
                          <a14:useLocalDpi xmlns:a14="http://schemas.microsoft.com/office/drawing/2010/main" val="0"/>
                        </a:ext>
                      </a:extLst>
                    </a:blip>
                    <a:stretch>
                      <a:fillRect/>
                    </a:stretch>
                  </pic:blipFill>
                  <pic:spPr>
                    <a:xfrm>
                      <a:off x="0" y="0"/>
                      <a:ext cx="5274310" cy="3317875"/>
                    </a:xfrm>
                    <a:prstGeom prst="rect">
                      <a:avLst/>
                    </a:prstGeom>
                  </pic:spPr>
                </pic:pic>
              </a:graphicData>
            </a:graphic>
          </wp:inline>
        </w:drawing>
      </w:r>
    </w:p>
    <w:p w14:paraId="0A5DA19D">
      <w:pPr>
        <w:ind w:firstLine="0" w:firstLineChars="0"/>
        <w:rPr>
          <w:rFonts w:hint="eastAsia"/>
        </w:rPr>
      </w:pPr>
      <w:r>
        <w:t>T</w:t>
      </w:r>
      <w:r>
        <w:rPr>
          <w:rFonts w:hint="eastAsia"/>
        </w:rPr>
        <w:t>ransformer架构图</w:t>
      </w:r>
    </w:p>
    <w:p w14:paraId="617B32D7">
      <w:pPr>
        <w:pStyle w:val="4"/>
        <w:rPr>
          <w:rFonts w:hint="default"/>
        </w:rPr>
      </w:pPr>
      <w:r>
        <w:t>LoR</w:t>
      </w:r>
      <w:r>
        <w:rPr>
          <w:rFonts w:hint="eastAsia"/>
          <w:lang w:val="en-US" w:eastAsia="zh-CN"/>
        </w:rPr>
        <w:t>A技术</w:t>
      </w:r>
    </w:p>
    <w:p w14:paraId="51A2E3D1">
      <w:pPr>
        <w:ind w:firstLine="480"/>
      </w:pPr>
      <w:r>
        <w:t>低秩自适应（Low-Rank Adaptation, LoRA）是由 Edward J. Hu 等人于 2021 年在论文《LoRA: Low-Rank Adaptation of Large Language Models》中提出的一种参数高效的轻量化微调方法。其核心动机在于解决当前预训练语言模型面临的算力与性能矛盾：随着大语言模型参数规模呈指数级增长，面向下游特定领域任务进行全参数微调的计算成本与硬件门槛极高。此外，在样本量有限的垂直领域数据上更新全部预训练权重，极易引发“灾难性遗忘”，导致模型丧失其在预训练阶段习得的泛化知识。</w:t>
      </w:r>
      <w:r>
        <w:rPr>
          <w:rFonts w:hint="eastAsia"/>
        </w:rPr>
        <w:t>LoRA 的理论依据建立在深度学习模型的“本征秩”假设之上。即尽管预训练模型包含海量参数，但其在适配特定下游任务时，权重矩阵的有效更新空间实际上驻留在一个极低的维度流形中。基于此，LoRA 提出了一种旁路更新机制：通过向模型的部分网络层添加额外的可训练低秩矩阵，来实现模型在特定任务上的微调，同时保持原有模型的全部参数处于冻结状态。</w:t>
      </w:r>
    </w:p>
    <w:p w14:paraId="051F5A9F">
      <w:pPr>
        <w:ind w:firstLine="480"/>
      </w:pPr>
      <w:r>
        <w:rPr>
          <w:rFonts w:hint="eastAsia"/>
        </w:rPr>
        <w:t>LoRA的工作机制可分为两部分：微调和推理。</w:t>
      </w:r>
      <w:r>
        <w:t xml:space="preserve">在模型训练过程中，LoRA 保持模型原始的预训练参数矩阵$W$处于完全冻结（Frozen）状态，使其不参与任何梯度更新。与此同时，在原始矩阵旁引入两个较小的可训练参数矩阵 </w:t>
      </w:r>
      <m:oMathPara>
        <m:oMath>
          <m:r>
            <m:rPr/>
            <w:rPr>
              <w:rFonts w:hint="default" w:ascii="Cambria Math"/>
            </w:rPr>
            <m:t>A∈</m:t>
          </m:r>
          <m:sSup>
            <m:sSupPr>
              <m:ctrlPr>
                <w:rPr>
                  <w:rFonts w:hint="default" w:ascii="Cambria Math"/>
                </w:rPr>
              </m:ctrlPr>
            </m:sSupPr>
            <m:e>
              <m:r>
                <m:rPr>
                  <m:scr m:val="double-struck"/>
                </m:rPr>
                <w:rPr>
                  <w:rFonts w:hint="default" w:ascii="Cambria Math"/>
                </w:rPr>
                <m:t>ℝ</m:t>
              </m:r>
            </m:e>
            <m:sup>
              <m:r>
                <m:rPr/>
                <w:rPr>
                  <w:rFonts w:hint="default" w:ascii="Cambria Math"/>
                </w:rPr>
                <m:t>r</m:t>
              </m:r>
              <m:r>
                <m:rPr>
                  <m:sty m:val="p"/>
                </m:rPr>
                <w:rPr>
                  <w:rFonts w:hint="default" w:ascii="Cambria Math"/>
                </w:rPr>
                <m:t>×</m:t>
              </m:r>
              <m:r>
                <m:rPr/>
                <w:rPr>
                  <w:rFonts w:hint="default" w:ascii="Cambria Math"/>
                </w:rPr>
                <m:t>d</m:t>
              </m:r>
            </m:sup>
          </m:sSup>
        </m:oMath>
      </m:oMathPara>
      <w:r>
        <w:t>和</w:t>
      </w:r>
      <m:oMathPara>
        <m:oMath>
          <m:r>
            <m:rPr/>
            <w:rPr>
              <w:rFonts w:hint="default" w:ascii="Cambria Math"/>
            </w:rPr>
            <m:t>B∈</m:t>
          </m:r>
          <m:sSup>
            <m:sSupPr>
              <m:ctrlPr>
                <w:rPr>
                  <w:rFonts w:hint="default" w:ascii="Cambria Math"/>
                </w:rPr>
              </m:ctrlPr>
            </m:sSupPr>
            <m:e>
              <m:r>
                <m:rPr>
                  <m:scr m:val="double-struck"/>
                </m:rPr>
                <w:rPr>
                  <w:rFonts w:hint="default" w:ascii="Cambria Math"/>
                </w:rPr>
                <m:t>ℝ</m:t>
              </m:r>
            </m:e>
            <m:sup>
              <m:r>
                <m:rPr/>
                <w:rPr>
                  <w:rFonts w:hint="default" w:ascii="Cambria Math"/>
                </w:rPr>
                <m:t>d</m:t>
              </m:r>
              <m:r>
                <m:rPr>
                  <m:sty m:val="p"/>
                </m:rPr>
                <w:rPr>
                  <w:rFonts w:hint="default" w:ascii="Cambria Math"/>
                </w:rPr>
                <m:t>×</m:t>
              </m:r>
              <m:r>
                <m:rPr/>
                <w:rPr>
                  <w:rFonts w:hint="default" w:ascii="Cambria Math"/>
                </w:rPr>
                <m:t>r</m:t>
              </m:r>
            </m:sup>
          </m:sSup>
        </m:oMath>
      </m:oMathPara>
      <w:r>
        <w:t>（其中</w:t>
      </w:r>
      <m:oMathPara>
        <m:oMath>
          <m:r>
            <m:rPr/>
            <w:rPr>
              <w:rFonts w:hint="default" w:ascii="Cambria Math"/>
            </w:rPr>
            <m:t>r</m:t>
          </m:r>
        </m:oMath>
      </m:oMathPara>
      <w:r>
        <w:t>为极小的本征秩）。模型将这两个低秩矩阵的乘积</w:t>
      </w:r>
      <m:oMath>
        <m:r>
          <m:rPr>
            <m:sty m:val="p"/>
          </m:rPr>
          <w:rPr>
            <w:rFonts w:hint="default" w:ascii="Cambria Math"/>
          </w:rPr>
          <m:t>Δ</m:t>
        </m:r>
        <m:r>
          <m:rPr/>
          <w:rPr>
            <w:rFonts w:hint="default" w:ascii="Cambria Math"/>
          </w:rPr>
          <m:t>W=B⋅A</m:t>
        </m:r>
      </m:oMath>
      <w:r>
        <w:t>作为对原参数矩阵</w:t>
      </w:r>
      <m:oMath>
        <m:r>
          <m:rPr/>
          <w:rPr>
            <w:rFonts w:hint="default" w:ascii="Cambria Math"/>
          </w:rPr>
          <m:t>W</m:t>
        </m:r>
      </m:oMath>
      <w:r>
        <w:t>的附加调整项，使得整体等效权重演变为：</w:t>
      </w:r>
    </w:p>
    <w:p w14:paraId="238BE291">
      <w:pPr>
        <w:ind w:firstLine="480"/>
      </w:pPr>
      <m:oMathPara>
        <m:oMath>
          <m:acc>
            <m:accPr>
              <m:ctrlPr>
                <w:rPr>
                  <w:rFonts w:hint="default" w:ascii="Cambria Math"/>
                </w:rPr>
              </m:ctrlPr>
            </m:accPr>
            <m:e>
              <m:r>
                <m:rPr/>
                <w:rPr>
                  <w:rFonts w:hint="default" w:ascii="Cambria Math"/>
                </w:rPr>
                <m:t>W</m:t>
              </m:r>
            </m:e>
          </m:acc>
          <m:r>
            <m:rPr/>
            <w:rPr>
              <w:rFonts w:hint="default" w:ascii="Cambria Math"/>
            </w:rPr>
            <m:t>=W+</m:t>
          </m:r>
          <m:r>
            <m:rPr>
              <m:sty m:val="p"/>
            </m:rPr>
            <w:rPr>
              <w:rFonts w:hint="default" w:ascii="Cambria Math"/>
            </w:rPr>
            <m:t>Δ</m:t>
          </m:r>
          <m:r>
            <m:rPr/>
            <w:rPr>
              <w:rFonts w:hint="default" w:ascii="Cambria Math"/>
            </w:rPr>
            <m:t>W</m:t>
          </m:r>
        </m:oMath>
      </m:oMathPara>
    </w:p>
    <w:p w14:paraId="26D2E628">
      <w:pPr>
        <w:keepNext w:val="0"/>
        <w:keepLines w:val="0"/>
        <w:widowControl/>
        <w:suppressLineNumbers w:val="0"/>
        <w:jc w:val="left"/>
      </w:pPr>
      <w:r>
        <w:rPr>
          <w:rFonts w:ascii="宋体" w:hAnsi="宋体" w:eastAsia="宋体" w:cs="宋体"/>
          <w:kern w:val="0"/>
          <w:sz w:val="24"/>
          <w:szCs w:val="24"/>
          <w:lang w:val="en-US" w:eastAsia="zh-CN" w:bidi="ar"/>
        </w:rPr>
        <w:t>在反向传播时，优化器仅对矩阵</w:t>
      </w:r>
      <m:oMath>
        <m:r>
          <m:rPr/>
          <w:rPr>
            <w:rFonts w:hint="default" w:ascii="Cambria Math" w:hAnsi="Cambria Math" w:eastAsia="宋体"/>
            <w:sz w:val="24"/>
          </w:rPr>
          <m:t>A</m:t>
        </m:r>
      </m:oMath>
      <w:r>
        <w:rPr>
          <w:rFonts w:ascii="宋体" w:hAnsi="宋体" w:eastAsia="宋体" w:cs="宋体"/>
          <w:kern w:val="0"/>
          <w:sz w:val="24"/>
          <w:szCs w:val="24"/>
          <w:lang w:val="en-US" w:eastAsia="zh-CN" w:bidi="ar"/>
        </w:rPr>
        <w:t>和</w:t>
      </w:r>
      <m:oMath>
        <m:r>
          <m:rPr/>
          <w:rPr>
            <w:rFonts w:hint="default" w:ascii="Cambria Math" w:hAnsi="Cambria Math" w:eastAsia="宋体"/>
            <w:sz w:val="24"/>
          </w:rPr>
          <m:t>B</m:t>
        </m:r>
      </m:oMath>
      <w:r>
        <w:rPr>
          <w:rFonts w:ascii="宋体" w:hAnsi="宋体" w:eastAsia="宋体" w:cs="宋体"/>
          <w:kern w:val="0"/>
          <w:sz w:val="24"/>
          <w:szCs w:val="24"/>
          <w:lang w:val="en-US" w:eastAsia="zh-CN" w:bidi="ar"/>
        </w:rPr>
        <w:t>的参数进行梯度计算与更新，从而在极大降低显存开销的同时实现了特定任务的参数适配。</w:t>
      </w:r>
    </w:p>
    <w:p w14:paraId="2727AC07">
      <w:pPr>
        <w:ind w:firstLine="480"/>
        <w:rPr>
          <w:rFonts w:hint="eastAsia"/>
          <w:lang w:eastAsia="zh-CN"/>
        </w:rPr>
      </w:pPr>
      <w:r>
        <w:t>在模型部署与实际计算时，LoRA 模块可以无缝叠加到原始权重中，不引入任何额外的计算延迟</w:t>
      </w:r>
      <w:r>
        <w:rPr>
          <w:rFonts w:hint="eastAsia"/>
          <w:lang w:eastAsia="zh-CN"/>
        </w:rPr>
        <w:t>。</w:t>
      </w:r>
      <w:r>
        <w:t>当输入张量</w:t>
      </w:r>
      <m:oMathPara>
        <m:oMath>
          <m:r>
            <m:rPr/>
            <w:rPr>
              <w:rFonts w:hint="default" w:ascii="Cambria Math"/>
            </w:rPr>
            <m:t>x</m:t>
          </m:r>
        </m:oMath>
      </m:oMathPara>
      <w:r>
        <w:t>经过该线性层时，不再仅仅与原始权重</w:t>
      </w:r>
      <m:oMathPara>
        <m:oMath>
          <m:r>
            <m:rPr/>
            <w:rPr>
              <w:rFonts w:hint="default" w:ascii="Cambria Math"/>
            </w:rPr>
            <m:t>W</m:t>
          </m:r>
        </m:oMath>
      </m:oMathPara>
      <w:r>
        <w:t>相乘，而是使用带有</w:t>
      </w:r>
      <m:oMathPara>
        <m:oMath>
          <m:r>
            <m:rPr/>
            <w:rPr>
              <w:rFonts w:hint="default" w:ascii="Cambria Math"/>
            </w:rPr>
            <m:t>LoRA</m:t>
          </m:r>
        </m:oMath>
      </m:oMathPara>
      <w:r>
        <w:t>调整项的融合权重。模型的正向传播行为等效为</w:t>
      </w:r>
      <w:r>
        <w:rPr>
          <w:rFonts w:hint="eastAsia"/>
          <w:lang w:eastAsia="zh-CN"/>
        </w:rPr>
        <w:t>：</w:t>
      </w:r>
    </w:p>
    <w:p w14:paraId="73826FD0">
      <w:pPr>
        <w:ind w:firstLine="480"/>
      </w:pPr>
      <m:oMathPara>
        <m:oMath>
          <m:r>
            <m:rPr/>
            <w:rPr>
              <w:rFonts w:hint="default" w:ascii="Cambria Math"/>
            </w:rPr>
            <m:t>x⋅</m:t>
          </m:r>
          <m:acc>
            <m:accPr>
              <m:ctrlPr>
                <w:rPr>
                  <w:rFonts w:hint="default" w:ascii="Cambria Math"/>
                </w:rPr>
              </m:ctrlPr>
            </m:accPr>
            <m:e>
              <m:r>
                <m:rPr/>
                <w:rPr>
                  <w:rFonts w:hint="default" w:ascii="Cambria Math"/>
                </w:rPr>
                <m:t>W</m:t>
              </m:r>
            </m:e>
          </m:acc>
          <m:r>
            <m:rPr/>
            <w:rPr>
              <w:rFonts w:hint="default" w:ascii="Cambria Math"/>
            </w:rPr>
            <m:t>=x⋅(W+</m:t>
          </m:r>
          <m:r>
            <m:rPr>
              <m:sty m:val="p"/>
            </m:rPr>
            <w:rPr>
              <w:rFonts w:hint="default" w:ascii="Cambria Math"/>
            </w:rPr>
            <m:t>Δ</m:t>
          </m:r>
          <m:r>
            <m:rPr/>
            <w:rPr>
              <w:rFonts w:hint="default" w:ascii="Cambria Math"/>
            </w:rPr>
            <m:t>W)</m:t>
          </m:r>
          <m:r>
            <m:rPr>
              <m:sty m:val="p"/>
            </m:rPr>
            <w:rPr>
              <w:rFonts w:hint="default" w:ascii="Cambria Math"/>
            </w:rPr>
            <m:t>。</m:t>
          </m:r>
        </m:oMath>
      </m:oMathPara>
    </w:p>
    <w:p w14:paraId="60880A7F">
      <w:pPr>
        <w:numPr>
          <w:numId w:val="0"/>
        </w:numPr>
      </w:pPr>
      <w:r>
        <w:t>由于</w:t>
      </w:r>
      <m:oMathPara>
        <m:oMath>
          <m:r>
            <m:rPr>
              <m:sty m:val="p"/>
            </m:rPr>
            <w:rPr>
              <w:rFonts w:hint="default" w:ascii="Cambria Math"/>
            </w:rPr>
            <m:t>Δ</m:t>
          </m:r>
          <m:r>
            <m:rPr/>
            <w:rPr>
              <w:rFonts w:hint="default" w:ascii="Cambria Math"/>
            </w:rPr>
            <m:t>W=B⋅A</m:t>
          </m:r>
        </m:oMath>
      </m:oMathPara>
      <w:r>
        <w:t xml:space="preserve">是来自LoRA模块的补充权重，在实际工程部署时，可以将 </w:t>
      </w:r>
      <m:oMathPara>
        <m:oMath>
          <m:r>
            <m:rPr>
              <m:sty m:val="p"/>
            </m:rPr>
            <w:rPr>
              <w:rFonts w:hint="default" w:ascii="Cambria Math"/>
            </w:rPr>
            <m:t>Δ</m:t>
          </m:r>
          <m:r>
            <m:rPr/>
            <w:rPr>
              <w:rFonts w:hint="default" w:ascii="Cambria Math"/>
            </w:rPr>
            <m:t>W</m:t>
          </m:r>
        </m:oMath>
      </m:oMathPara>
      <w:r>
        <w:t>提前计算并静态加和到</w:t>
      </w:r>
      <m:oMathPara>
        <m:oMath>
          <m:r>
            <m:rPr/>
            <w:rPr>
              <w:rFonts w:hint="default" w:ascii="Cambria Math"/>
            </w:rPr>
            <m:t>W</m:t>
          </m:r>
        </m:oMath>
      </m:oMathPara>
      <w:r>
        <w:t>中。</w:t>
      </w:r>
    </w:p>
    <w:p w14:paraId="33FE958D">
      <w:pPr>
        <w:pStyle w:val="4"/>
        <w:bidi w:val="0"/>
        <w:rPr>
          <w:rFonts w:hint="default"/>
          <w:lang w:val="en-US" w:eastAsia="zh-CN"/>
        </w:rPr>
      </w:pPr>
      <w:r>
        <w:rPr>
          <w:rFonts w:hint="eastAsia"/>
          <w:lang w:val="en-US" w:eastAsia="zh-CN"/>
        </w:rPr>
        <w:t>思维链</w:t>
      </w:r>
    </w:p>
    <w:p w14:paraId="29B5CCB5">
      <w:pPr>
        <w:rPr>
          <w:rFonts w:hint="default"/>
          <w:lang w:val="en-US" w:eastAsia="zh-CN"/>
        </w:rPr>
      </w:pPr>
      <w:r>
        <w:rPr>
          <w:rFonts w:hint="default"/>
          <w:lang w:val="en-US" w:eastAsia="zh-CN"/>
        </w:rPr>
        <w:t>预训练语言模型通过海量文本数据的无监督学习构建了高维的特征流形与知识库。为了将模型中潜藏的广义知识精确迁移至特定的下游任务，提示词工程（Prompt Engineering）成为一种核心的技术范式。它通过将具体任务重构为自然语言指令，使目标任务在输入形式上严格对齐模型在预训练阶段的自回归生成目标。在传统的提示词工程中，模型通常被要求执行直接的输入到输出映射。假设给定任务输入为 $X$，目标输出为 $Y$，传统方法的数学本质是直接建模条件概率 $P(Y|X)$。然而，当面对需要多步逻辑推断的复杂决策任务时，这种缺乏中间逻辑支撑的端到端直接映射极易导致模型产生无事实依据的文本幻觉（Hallucination），并且使得模型的预测过程呈现出完全不可解释的“黑盒”特性。为突破大语言模型在复杂任务上的逻辑推理瓶颈，研究人员提出了思维链（Chain-of-Thought, CoT）技术 。思维链的核心理论在于：复杂的认知与决策过程不应被过度压缩为单一的输入输出映射，而应当被解构为一系列连续、离散的中间逻辑步骤。在数学表达上，CoT 将原本的映射模型扩展为 $P(Y, Z|X)$，其中 $Z = \{z_1, z_2, \dots, z_m\}$ 代表由 $m$ 个逻辑节点组成的中间推导路径。基于概率论中的链式法则，模型的联合概率分布可进一步分解为：$$P(Y, Z|X) = P(Z|X) \cdot P(Y|X, Z)$$该公式表明，模型首先基于输入 $X$ 生成严密的中间推理路径 $Z$，随后在输入 $X$ 和推理路径 $Z$ 的双重条件约束下，推导出最终的决策结果 $Y$。在具体实现层面，思维链技术可通过在提示模板中显式注入触发指令（如“Let's think step by step”）实现零样本（Zero-shot）激活，或通过提供包含完整推导过程的少样本（Few-shot）示例进行上下文学习引导。这种基于显式逻辑链条的因果推导机制，有效缓解了模型在面对长程逻辑依赖时的错误累积问题。更重要的是，思维链将隐式的特征计算过程外化为人类可读的自然语言文本序列，显著提升了大模型在复杂推断任务中的可解释性（Interpretability）与计算结果的可靠性。</w:t>
      </w:r>
    </w:p>
    <w:p w14:paraId="42AD4F82">
      <w:pPr>
        <w:pStyle w:val="3"/>
        <w:bidi w:val="0"/>
        <w:rPr>
          <w:rFonts w:hint="default"/>
          <w:lang w:val="en-US" w:eastAsia="zh-CN"/>
        </w:rPr>
      </w:pPr>
      <w:r>
        <w:rPr>
          <w:rFonts w:hint="eastAsia"/>
          <w:lang w:val="en-US" w:eastAsia="zh-CN"/>
        </w:rPr>
        <w:t>本章小结</w:t>
      </w:r>
    </w:p>
    <w:p w14:paraId="63D7B889">
      <w:pPr>
        <w:rPr>
          <w:rFonts w:hint="default"/>
          <w:lang w:val="en-US" w:eastAsia="zh-CN"/>
        </w:rPr>
      </w:pPr>
      <w:r>
        <w:rPr>
          <w:rFonts w:hint="default"/>
          <w:lang w:val="en-US" w:eastAsia="zh-CN"/>
        </w:rPr>
        <w:t>本章系统梳理了多模态分子性质预测的核心理论基础，为后续的模型构建确立了严谨的数学框架与算法支撑。首先，明确了涵盖一维序列、二维拓扑、分子指纹与自然语言的多维数据表征方法，确立了模型的多源异构输入基准。其次，深入剖析了特征提取的底层逻辑：在图空间域，系统推导了消息传递神经网络（涵盖GCN与GAT变体）及图Transformer的拓扑聚合机制；在文本语义域，详细阐释了Transformer自注意力架构、LoRA轻量化微调策略，以及激发大模型复杂因果推理的思维链（CoT）理论。最后，界定了基于交叉注意力的特征动态融合与基于对比学习的跨模态空间对齐范式。综上所述，本章所构建的完整理论体系，直接为后文第三章与第四章中复杂网络架构的设计、目标函数的推导及多模态协同机制的实现奠定了坚实的基石。</w:t>
      </w:r>
    </w:p>
    <w:p w14:paraId="382BC74F">
      <w:pPr>
        <w:pStyle w:val="2"/>
      </w:pPr>
      <w:r>
        <w:rPr>
          <w:rFonts w:hint="eastAsia"/>
        </w:rPr>
        <w:t>基于思维链增强与消息传递的分子性质预测方法</w:t>
      </w:r>
    </w:p>
    <w:p w14:paraId="0289FB51">
      <w:pPr>
        <w:pStyle w:val="3"/>
      </w:pPr>
      <w:r>
        <w:rPr>
          <w:rFonts w:hint="eastAsia"/>
        </w:rPr>
        <w:t>模型设计与描述</w:t>
      </w:r>
    </w:p>
    <w:p w14:paraId="027B0F32">
      <w:pPr>
        <w:pStyle w:val="4"/>
        <w:rPr>
          <w:rFonts w:hint="default"/>
        </w:rPr>
      </w:pPr>
      <w:r>
        <w:t>CoT-MMP架构概述</w:t>
      </w:r>
    </w:p>
    <w:p w14:paraId="4602B08E">
      <w:pPr>
        <w:ind w:firstLine="480"/>
      </w:pPr>
      <w:r>
        <w:rPr>
          <w:rFonts w:hint="eastAsia"/>
        </w:rPr>
        <w:t>针对 ADMET（吸收、分布、代谢、排泄、毒性）分子性质预测任务中存在的结构特征与语义逻辑难以对齐的挑战，本章提出了一种全新的端到端预测框架——基于思维链增强与通信式图交互的分子性质预测模型</w:t>
      </w:r>
      <w:r>
        <w:rPr>
          <w:rFonts w:hint="default" w:ascii="Times New Roman" w:hAnsi="Times New Roman" w:cs="Times New Roman"/>
        </w:rPr>
        <w:t>（Chain-of-Thought enabled Communicative Message Passing framework, CoT-CMP）</w:t>
      </w:r>
      <w:r>
        <w:rPr>
          <w:rFonts w:hint="eastAsia"/>
        </w:rPr>
        <w:t>。该框架的核心设计理念在于“双塔互补”：一方面利用大语言模型显式的逻辑推理能力来弥补传统“黑盒”模型的不可解释性；另一方面利用改进的通信式图神经网络来捕捉分子内部深层的原子-键动态交互。</w:t>
      </w:r>
    </w:p>
    <w:p w14:paraId="703C1BAF">
      <w:pPr>
        <w:ind w:firstLine="480"/>
      </w:pPr>
      <w:r>
        <w:rPr>
          <w:rFonts w:hint="eastAsia"/>
        </w:rPr>
        <w:t>具体而言，采用具有针对性的下游任务直接微调策略，以适应 ADMET 数据集样本量少但领域特异性极强的特点。如图 3-1 所示，模型的整体拓扑结构由三条核心处理链路耦合而成：首先是基于思维链的大语言模型文本编码链路，该模块利用 LLaMA-3.1-8B 强大的广义知识库与逻辑推理能力，通过提示词工程将分子的 SMILES 序列转化为蕴含丰富药理规则的显式推理文本，并通过低秩自适应（LoRA）技术高效提取高维语义特征。</w:t>
      </w:r>
    </w:p>
    <w:p w14:paraId="4CFEF48C">
      <w:pPr>
        <w:ind w:firstLine="480"/>
      </w:pPr>
      <w:r>
        <w:rPr>
          <w:rFonts w:hint="eastAsia"/>
        </w:rPr>
        <w:t>其次是交互式图编码链路，该模块引入了先进的CMPNN(Communicative</w:t>
      </w:r>
      <w:r>
        <w:rPr>
          <w:rFonts w:hint="eastAsia"/>
          <w:lang w:val="en-US" w:eastAsia="zh-CN"/>
        </w:rPr>
        <w:t xml:space="preserve"> </w:t>
      </w:r>
      <w:r>
        <w:rPr>
          <w:rFonts w:hint="eastAsia"/>
        </w:rPr>
        <w:t>Message</w:t>
      </w:r>
      <w:r>
        <w:rPr>
          <w:rFonts w:hint="eastAsia"/>
          <w:lang w:val="en-US" w:eastAsia="zh-CN"/>
        </w:rPr>
        <w:t xml:space="preserve"> </w:t>
      </w:r>
      <w:r>
        <w:rPr>
          <w:rFonts w:hint="eastAsia"/>
        </w:rPr>
        <w:t>Passing</w:t>
      </w:r>
      <w:r>
        <w:rPr>
          <w:rFonts w:hint="eastAsia"/>
          <w:lang w:val="en-US" w:eastAsia="zh-CN"/>
        </w:rPr>
        <w:t xml:space="preserve"> </w:t>
      </w:r>
      <w:r>
        <w:rPr>
          <w:rFonts w:hint="eastAsia"/>
        </w:rPr>
        <w:t>Neural</w:t>
      </w:r>
      <w:r>
        <w:rPr>
          <w:rFonts w:hint="eastAsia"/>
          <w:lang w:val="en-US" w:eastAsia="zh-CN"/>
        </w:rPr>
        <w:t xml:space="preserve"> </w:t>
      </w:r>
      <w:r>
        <w:rPr>
          <w:rFonts w:hint="eastAsia"/>
        </w:rPr>
        <w:t>Network)架构。为了突破传统图神经网络（如MPNN）中存在的信息回流问题以及忽视化学键独立语义的局限，CMPNN创新性地构建了原子与化学键之间的“通信核”。在有向消息传递的过程中，模型强制原子特征与化学键特征进行深度交互，使得化学键不再是静态的连接边，而是参与特征演化的动态实体，从而精准捕捉分子内部的电子效应与构效关系。</w:t>
      </w:r>
    </w:p>
    <w:p w14:paraId="6BF86EF5">
      <w:pPr>
        <w:ind w:firstLine="480"/>
      </w:pPr>
      <w:r>
        <w:rPr>
          <w:rFonts w:hint="eastAsia"/>
        </w:rPr>
        <w:t>最后是多模态交叉注意力融合链路，该模块以结构信息更为稳定的图表征作为查询锚点（Anchor），通过交叉注意力机制动态聚合文本推理特征，最终通过多层感知机实现对分子 ADMET 性质的高精度预测。这种设计不仅赋予了模型强大的预测能力，更通过思维链的生成与关键子结构的交互，显著提升了模型决策过程的可解释性。</w:t>
      </w:r>
    </w:p>
    <w:p w14:paraId="34C58D83">
      <w:pPr>
        <w:pStyle w:val="4"/>
        <w:rPr>
          <w:rFonts w:hint="default"/>
        </w:rPr>
      </w:pPr>
      <w:r>
        <w:rPr>
          <w:rFonts w:ascii="宋体" w:hAnsi="宋体" w:cs="宋体"/>
        </w:rPr>
        <w:t>思维链增强的文本编码器</w:t>
      </w:r>
    </w:p>
    <w:p w14:paraId="19D2B2A2">
      <w:pPr>
        <w:ind w:firstLine="480"/>
      </w:pPr>
      <w:r>
        <w:t>在药物分子性质预测中，传统的文本编码方式往往仅将 SMILES 字符串视为无语义的符号序列，难以挖掘其中隐含的构效关系逻辑。为了解决这一问题，本研究引入了思维链（Chain-of-Thought, CoT）技术，旨在模拟药物化学家在分析分子时的逐步推理过程</w:t>
      </w:r>
      <w:r>
        <w:rPr>
          <w:rFonts w:hint="eastAsia"/>
        </w:rPr>
        <w:t>，以便能够让模型输出更加合理的可解释性的推理结果</w:t>
      </w:r>
      <w:r>
        <w:t>。文本编码器的首要任务是构建高质量的提示词工程。我们不再直接要求模型输出预测结果，而是设计了一种包含“分子描述+任务指令+推理引导”的复合提示模板。具体来说，输入的 SMILES 序列首先被转化为自然语言描述，并结合“Let's think step by step”的引导指令输入至大语言模型中。这一过程能够激发大模型内部潜藏的化学知识，使其自发地从分子量、氢键供受体数量、旋转键数等理化性质出发，逐步推导其对特定 ADMET 性质（如血脑屏障通透性或心脏毒性）的影响，最终生成一段逻辑严密的推理文本 。</w:t>
      </w:r>
    </w:p>
    <w:p w14:paraId="431BB4BD">
      <w:pPr>
        <w:ind w:firstLine="480"/>
      </w:pPr>
      <w:r>
        <w:t>在模型选择上，本</w:t>
      </w:r>
      <w:r>
        <w:rPr>
          <w:rFonts w:hint="eastAsia"/>
        </w:rPr>
        <w:t>文</w:t>
      </w:r>
      <w:r>
        <w:t>选用了具有 80 亿参数的 LLaMA-3.1 模型作为文本编码的主干网络。鉴于全参数微调大模型对计算资源的需求极高且容易在小样本的 ADMET 数据集上发生过拟合，</w:t>
      </w:r>
      <w:r>
        <w:rPr>
          <w:rFonts w:hint="eastAsia"/>
        </w:rPr>
        <w:t>本文</w:t>
      </w:r>
      <w:r>
        <w:t>采用了低秩自适应（LoRA）微调策略 。LoRA 技术通过在预训练模型的每一层注入可训练的低秩分解矩阵，在保持预训练权重冻结的前提下，仅更新极少量的附加参数。这种方法不仅大幅降低了显存开销，更重要的是，它允许模型在保留通用化学知识的同时，能够快速适配下游特定的分子性质预测任务。生成的思维链文本与原始分子描述经过 LLaMA 模型的多层 Transformer 处理后，提取出最终的隐藏层状态作为分子的文本语义表征向量。这一表征不仅包含了分子的静态属性，更融合了动态的药理推理逻辑，为后续的多模态融合提供了高密度的语义信息补充。</w:t>
      </w:r>
    </w:p>
    <w:p w14:paraId="18F17FDE">
      <w:pPr>
        <w:pStyle w:val="4"/>
        <w:rPr>
          <w:rFonts w:hint="default"/>
        </w:rPr>
      </w:pPr>
      <w:r>
        <w:rPr>
          <w:rFonts w:ascii="宋体" w:hAnsi="宋体" w:cs="宋体"/>
        </w:rPr>
        <w:t>消息传递图编码器</w:t>
      </w:r>
    </w:p>
    <w:p w14:paraId="03C32CE3">
      <w:pPr>
        <w:ind w:firstLine="480"/>
      </w:pPr>
      <w:r>
        <w:t>尽管大语言模型在宏观的药理规则推理上具有优势，但其对微观分子拓扑结构的感知能力存在天然缺陷。为了弥补这一短板并精准捕捉原子间的化学键合作用与电子效应，本研究采用了**交互式消息传递图神经网络（Communicative Message Passing Neural Network, CMPNN）**作为图编码器，以替代传统的 MPNN 模型。传统的图神经网络在处理分子图时通常采用“原子中心”的消息传递机制，这种方式在 ADMET 预测任务中往往存在两个显著弊端：一是**“信息回流”**现象，即信息在相邻节点间产生冗余的震荡传播（例如原子 A 传给 B，B 又在下一轮传回 A），导致长程依赖难以有效捕捉；二是将化学键仅作为静态的边缘属性进行简单的求和聚合，忽视了化学键作为构效关系核心实体在特征演化中的动态作用。针对上述问题，CMPNN 编码器创新性地构建了基于有向边（Directed Edge）的消息传递架构。在这一架构中，模型不再是在原子之间直接传递信息，而是在有向化学键上维护和更新隐藏状态。具体而言，对于连接原子 $u$ 和 $v$ 的化学键，模型在计算从 $u$ 流向 $v$ 的信息时，会聚合原子 $u$ 的所有邻居节点 $k$ 传来的消息，但显式地执行“忌讳（Taboo）”策略，即排除掉从目标节点 $v$ 反向传回 $u$ 的消息。这种几何路径上的阻断机制有效地切断了信息的冗余循环，使得模型能够像更深层的网络一样捕捉到分子骨架中的长程拓扑依赖，这对于识别大分子药物的远端官能团效应至关重要。更为关键的是，为了强化“原子”与“化学键”之间的语义耦合，CMPNN 在消息聚合阶段引入了一个通信核（Communicative Kernel）模块。该模块打破了传统方法中化学键特征仅作为辅助输入的惯例，强制原子特征与化学键特征在传递前进行深度的交互操作（Interaction Operation）。在每一次迭代中，原子节点的特征向量会与相连化学键的特征向量进行非线性融合，生成增强的消息向量。这种机制模拟了真实化学环境中“原子电负性改变诱导化学键极化”以及“键能变化反作用于原子局部环境”的动态物理过程。最终，经过多轮交互更新的有向边特征被映射回原子节点，并通过一个基于门控机制的读出层（Gated Readout）聚合成图级别的全局表征向量。这一向量高度浓缩了分子的拓扑连接与立体电子特征，将作为后续多模态融合过程中的“结构锚点”，引导文本模态的推理逻辑与之对齐。</w:t>
      </w:r>
    </w:p>
    <w:p w14:paraId="719DADA5">
      <w:pPr>
        <w:pStyle w:val="4"/>
        <w:rPr>
          <w:rFonts w:hint="default"/>
        </w:rPr>
      </w:pPr>
      <w:r>
        <w:t>多模态交叉融合与预测模块</w:t>
      </w:r>
    </w:p>
    <w:p w14:paraId="491B8116">
      <w:pPr>
        <w:ind w:firstLine="480"/>
      </w:pPr>
      <w:r>
        <w:t>在获取了包含显式推理逻辑的文本表征与包含深层拓扑结构的图表征后，如何将这两股异构信息进行有效融合是决定预测性能的关键。简单的特征拼接（Concatenation）往往忽略了不同模态特征之间的语义鸿沟，难以实现深度的信息交互。因此，本研究设计了一个基于交叉注意力（Cross-Attention）机制的融合模块 。在该模块中，我们选取物理意义更为明确、结构更为稳定的图表征向量作为查询向量（Query），而将包含丰富语义推理信息的文本表征向量作为键向量（Key）和值向量（Value）。</w:t>
      </w:r>
    </w:p>
    <w:p w14:paraId="3F34036E">
      <w:pPr>
        <w:ind w:firstLine="480"/>
      </w:pPr>
      <w:r>
        <w:t>通过这种设计，模型能够以分子的拓扑结构为索引，在文本推理空间中动态检索与之匹配的药理逻辑描述。交叉注意力机制会计算图特征与文本特征之间的相关性分数，并据此对文本信息进行加权聚合。这意味着，对于某些依赖特定官能团的性质（如毒性），模型会更加关注图结构中对应的子结构特征；而对于某些依赖整体理化性质的属性（如溶解度），模型则会从文本模态中提取更多的推理信息。经过交叉注意力融合后的特征向量，不仅保留了分子的结构骨架，还融入了专家的推理逻辑。最后，该融合向量被输入至一个由多层全连接网络构成的预测头（Prediction Head）中。针对 ADMET 数据集中的不同任务类型，预测头分别输出分类任务的概率值或回归任务的实数值，从而实现端到端的分子性质预测。</w:t>
      </w:r>
    </w:p>
    <w:p w14:paraId="49747604">
      <w:pPr>
        <w:pStyle w:val="3"/>
      </w:pPr>
      <w:r>
        <w:rPr>
          <w:rFonts w:hint="eastAsia"/>
        </w:rPr>
        <w:t>实验设计</w:t>
      </w:r>
    </w:p>
    <w:p w14:paraId="13E0563E">
      <w:pPr>
        <w:pStyle w:val="4"/>
        <w:rPr>
          <w:rFonts w:hint="default"/>
        </w:rPr>
      </w:pPr>
      <w:r>
        <w:t>数据集</w:t>
      </w:r>
    </w:p>
    <w:p w14:paraId="20593362">
      <w:pPr>
        <w:ind w:firstLine="480"/>
      </w:pPr>
      <w:r>
        <w:rPr>
          <w:rFonts w:hint="eastAsia"/>
        </w:rPr>
        <w:t>本研究中采用来自TDC平台中的ADMET Benchmark Group作为实验基准。TDC</w:t>
      </w:r>
    </w:p>
    <w:p w14:paraId="19150C8C">
      <w:pPr>
        <w:ind w:firstLine="0" w:firstLineChars="0"/>
      </w:pPr>
      <w:r>
        <w:rPr>
          <w:rFonts w:hint="eastAsia"/>
        </w:rPr>
        <w:t>是目前研发发现领域最为权威的数据集之一，其提供的ADMET数据集基准组，涵盖了药物的吸收、分布、代谢、排泄和毒性等关键指标。在本章节将会在ADNET基准组上对CoT-MMP框架进行微调。数据集的基本介绍如表XXX所示。</w:t>
      </w:r>
    </w:p>
    <w:tbl>
      <w:tblPr>
        <w:tblStyle w:val="1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127"/>
        <w:gridCol w:w="1966"/>
        <w:gridCol w:w="1080"/>
        <w:gridCol w:w="1089"/>
        <w:gridCol w:w="1122"/>
        <w:gridCol w:w="1344"/>
      </w:tblGrid>
      <w:tr w14:paraId="6954AF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27" w:type="dxa"/>
            <w:tcBorders>
              <w:top w:val="single" w:color="auto" w:sz="12" w:space="0"/>
              <w:left w:val="nil"/>
              <w:bottom w:val="single" w:color="auto" w:sz="8" w:space="0"/>
              <w:right w:val="nil"/>
            </w:tcBorders>
            <w:vAlign w:val="center"/>
          </w:tcPr>
          <w:p w14:paraId="578F1772">
            <w:pPr>
              <w:ind w:firstLine="0" w:firstLineChars="0"/>
              <w:jc w:val="center"/>
            </w:pPr>
            <w:r>
              <w:rPr>
                <w:rFonts w:hint="eastAsia"/>
              </w:rPr>
              <w:t>任务分类</w:t>
            </w:r>
          </w:p>
        </w:tc>
        <w:tc>
          <w:tcPr>
            <w:tcW w:w="1966" w:type="dxa"/>
            <w:tcBorders>
              <w:top w:val="single" w:color="auto" w:sz="12" w:space="0"/>
              <w:left w:val="nil"/>
              <w:bottom w:val="single" w:color="auto" w:sz="8" w:space="0"/>
              <w:right w:val="nil"/>
            </w:tcBorders>
            <w:vAlign w:val="center"/>
          </w:tcPr>
          <w:p w14:paraId="27836049">
            <w:pPr>
              <w:ind w:firstLine="0" w:firstLineChars="0"/>
              <w:jc w:val="center"/>
            </w:pPr>
            <w:r>
              <w:rPr>
                <w:rFonts w:hint="eastAsia"/>
              </w:rPr>
              <w:t>数据集</w:t>
            </w:r>
          </w:p>
        </w:tc>
        <w:tc>
          <w:tcPr>
            <w:tcW w:w="1080" w:type="dxa"/>
            <w:tcBorders>
              <w:top w:val="single" w:color="auto" w:sz="12" w:space="0"/>
              <w:left w:val="nil"/>
              <w:bottom w:val="single" w:color="auto" w:sz="8" w:space="0"/>
              <w:right w:val="nil"/>
            </w:tcBorders>
            <w:vAlign w:val="center"/>
          </w:tcPr>
          <w:p w14:paraId="76118B43">
            <w:pPr>
              <w:ind w:firstLine="0" w:firstLineChars="0"/>
              <w:jc w:val="center"/>
            </w:pPr>
            <w:r>
              <w:rPr>
                <w:rFonts w:hint="eastAsia"/>
              </w:rPr>
              <w:t>分子数量</w:t>
            </w:r>
          </w:p>
        </w:tc>
        <w:tc>
          <w:tcPr>
            <w:tcW w:w="1089" w:type="dxa"/>
            <w:tcBorders>
              <w:top w:val="single" w:color="auto" w:sz="12" w:space="0"/>
              <w:left w:val="nil"/>
              <w:bottom w:val="single" w:color="auto" w:sz="8" w:space="0"/>
              <w:right w:val="nil"/>
            </w:tcBorders>
            <w:vAlign w:val="center"/>
          </w:tcPr>
          <w:p w14:paraId="1A1872C4">
            <w:pPr>
              <w:ind w:firstLine="0" w:firstLineChars="0"/>
              <w:jc w:val="center"/>
            </w:pPr>
            <w:r>
              <w:rPr>
                <w:rFonts w:hint="eastAsia"/>
              </w:rPr>
              <w:t>任务类型</w:t>
            </w:r>
          </w:p>
        </w:tc>
        <w:tc>
          <w:tcPr>
            <w:tcW w:w="1122" w:type="dxa"/>
            <w:tcBorders>
              <w:top w:val="single" w:color="auto" w:sz="12" w:space="0"/>
              <w:left w:val="nil"/>
              <w:bottom w:val="single" w:color="auto" w:sz="8" w:space="0"/>
              <w:right w:val="nil"/>
            </w:tcBorders>
            <w:vAlign w:val="center"/>
          </w:tcPr>
          <w:p w14:paraId="36F7928F">
            <w:pPr>
              <w:ind w:firstLine="0" w:firstLineChars="0"/>
              <w:jc w:val="center"/>
            </w:pPr>
            <w:r>
              <w:rPr>
                <w:rFonts w:hint="eastAsia"/>
              </w:rPr>
              <w:t>评价指标</w:t>
            </w:r>
          </w:p>
        </w:tc>
        <w:tc>
          <w:tcPr>
            <w:tcW w:w="1344" w:type="dxa"/>
            <w:tcBorders>
              <w:top w:val="single" w:color="auto" w:sz="12" w:space="0"/>
              <w:left w:val="nil"/>
              <w:bottom w:val="single" w:color="auto" w:sz="8" w:space="0"/>
              <w:right w:val="nil"/>
            </w:tcBorders>
            <w:vAlign w:val="center"/>
          </w:tcPr>
          <w:p w14:paraId="52BE4B1E">
            <w:pPr>
              <w:ind w:firstLine="0" w:firstLineChars="0"/>
              <w:jc w:val="center"/>
            </w:pPr>
            <w:r>
              <w:rPr>
                <w:rFonts w:hint="eastAsia"/>
              </w:rPr>
              <w:t>划分方式</w:t>
            </w:r>
          </w:p>
        </w:tc>
      </w:tr>
      <w:tr w14:paraId="020B23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27" w:type="dxa"/>
            <w:vMerge w:val="restart"/>
            <w:tcBorders>
              <w:top w:val="single" w:color="auto" w:sz="8" w:space="0"/>
              <w:left w:val="nil"/>
              <w:bottom w:val="nil"/>
              <w:right w:val="nil"/>
            </w:tcBorders>
            <w:vAlign w:val="center"/>
          </w:tcPr>
          <w:p w14:paraId="70E01634">
            <w:pPr>
              <w:ind w:firstLine="0" w:firstLineChars="0"/>
              <w:jc w:val="center"/>
            </w:pPr>
            <w:r>
              <w:rPr>
                <w:rFonts w:hint="eastAsia"/>
              </w:rPr>
              <w:t>吸收</w:t>
            </w:r>
          </w:p>
        </w:tc>
        <w:tc>
          <w:tcPr>
            <w:tcW w:w="1966" w:type="dxa"/>
            <w:tcBorders>
              <w:top w:val="single" w:color="auto" w:sz="8" w:space="0"/>
              <w:left w:val="nil"/>
              <w:bottom w:val="nil"/>
              <w:right w:val="nil"/>
            </w:tcBorders>
            <w:vAlign w:val="center"/>
          </w:tcPr>
          <w:p w14:paraId="5FC0C27F">
            <w:pPr>
              <w:ind w:firstLine="0" w:firstLineChars="0"/>
              <w:jc w:val="center"/>
            </w:pPr>
            <w:r>
              <w:rPr>
                <w:rFonts w:hint="eastAsia"/>
              </w:rPr>
              <w:t>Caco2</w:t>
            </w:r>
          </w:p>
        </w:tc>
        <w:tc>
          <w:tcPr>
            <w:tcW w:w="1080" w:type="dxa"/>
            <w:tcBorders>
              <w:top w:val="single" w:color="auto" w:sz="8" w:space="0"/>
              <w:left w:val="nil"/>
              <w:bottom w:val="nil"/>
              <w:right w:val="nil"/>
            </w:tcBorders>
            <w:vAlign w:val="center"/>
          </w:tcPr>
          <w:p w14:paraId="00F27ADA">
            <w:pPr>
              <w:ind w:firstLine="0" w:firstLineChars="0"/>
              <w:jc w:val="center"/>
            </w:pPr>
            <w:r>
              <w:rPr>
                <w:rFonts w:hint="eastAsia"/>
              </w:rPr>
              <w:t>906</w:t>
            </w:r>
          </w:p>
        </w:tc>
        <w:tc>
          <w:tcPr>
            <w:tcW w:w="1089" w:type="dxa"/>
            <w:tcBorders>
              <w:top w:val="single" w:color="auto" w:sz="8" w:space="0"/>
              <w:left w:val="nil"/>
              <w:bottom w:val="nil"/>
              <w:right w:val="nil"/>
            </w:tcBorders>
            <w:vAlign w:val="center"/>
          </w:tcPr>
          <w:p w14:paraId="715FA235">
            <w:pPr>
              <w:ind w:firstLine="0" w:firstLineChars="0"/>
              <w:jc w:val="center"/>
            </w:pPr>
            <w:r>
              <w:rPr>
                <w:rFonts w:hint="eastAsia"/>
              </w:rPr>
              <w:t>回归</w:t>
            </w:r>
          </w:p>
        </w:tc>
        <w:tc>
          <w:tcPr>
            <w:tcW w:w="1122" w:type="dxa"/>
            <w:tcBorders>
              <w:top w:val="single" w:color="auto" w:sz="8" w:space="0"/>
              <w:left w:val="nil"/>
              <w:bottom w:val="nil"/>
              <w:right w:val="nil"/>
            </w:tcBorders>
            <w:vAlign w:val="center"/>
          </w:tcPr>
          <w:p w14:paraId="7CDEC11D">
            <w:pPr>
              <w:ind w:firstLine="0" w:firstLineChars="0"/>
              <w:jc w:val="center"/>
            </w:pPr>
            <w:r>
              <w:t>MAE</w:t>
            </w:r>
          </w:p>
        </w:tc>
        <w:tc>
          <w:tcPr>
            <w:tcW w:w="1344" w:type="dxa"/>
            <w:tcBorders>
              <w:top w:val="single" w:color="auto" w:sz="8" w:space="0"/>
              <w:left w:val="nil"/>
              <w:bottom w:val="nil"/>
              <w:right w:val="nil"/>
            </w:tcBorders>
            <w:vAlign w:val="center"/>
          </w:tcPr>
          <w:p w14:paraId="08A376A4">
            <w:pPr>
              <w:ind w:firstLine="0" w:firstLineChars="0"/>
              <w:jc w:val="center"/>
            </w:pPr>
            <w:r>
              <w:t>Scaffold</w:t>
            </w:r>
          </w:p>
        </w:tc>
      </w:tr>
      <w:tr w14:paraId="58E51D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27" w:type="dxa"/>
            <w:vMerge w:val="continue"/>
            <w:tcBorders>
              <w:top w:val="nil"/>
              <w:left w:val="nil"/>
              <w:bottom w:val="nil"/>
              <w:right w:val="nil"/>
            </w:tcBorders>
            <w:vAlign w:val="center"/>
          </w:tcPr>
          <w:p w14:paraId="006B5DD5">
            <w:pPr>
              <w:ind w:firstLine="0" w:firstLineChars="0"/>
              <w:jc w:val="center"/>
            </w:pPr>
          </w:p>
        </w:tc>
        <w:tc>
          <w:tcPr>
            <w:tcW w:w="1966" w:type="dxa"/>
            <w:tcBorders>
              <w:top w:val="nil"/>
              <w:left w:val="nil"/>
              <w:bottom w:val="nil"/>
              <w:right w:val="nil"/>
            </w:tcBorders>
            <w:vAlign w:val="center"/>
          </w:tcPr>
          <w:p w14:paraId="31FB5C9E">
            <w:pPr>
              <w:ind w:firstLine="0" w:firstLineChars="0"/>
              <w:jc w:val="center"/>
            </w:pPr>
            <w:r>
              <w:rPr>
                <w:rFonts w:hint="eastAsia"/>
              </w:rPr>
              <w:t>HIA</w:t>
            </w:r>
          </w:p>
        </w:tc>
        <w:tc>
          <w:tcPr>
            <w:tcW w:w="1080" w:type="dxa"/>
            <w:tcBorders>
              <w:top w:val="nil"/>
              <w:left w:val="nil"/>
              <w:bottom w:val="nil"/>
              <w:right w:val="nil"/>
            </w:tcBorders>
            <w:vAlign w:val="center"/>
          </w:tcPr>
          <w:p w14:paraId="131CF8A1">
            <w:pPr>
              <w:ind w:firstLine="0" w:firstLineChars="0"/>
              <w:jc w:val="center"/>
            </w:pPr>
            <w:r>
              <w:rPr>
                <w:rFonts w:hint="eastAsia"/>
              </w:rPr>
              <w:t>578</w:t>
            </w:r>
          </w:p>
        </w:tc>
        <w:tc>
          <w:tcPr>
            <w:tcW w:w="1089" w:type="dxa"/>
            <w:tcBorders>
              <w:top w:val="nil"/>
              <w:left w:val="nil"/>
              <w:bottom w:val="nil"/>
              <w:right w:val="nil"/>
            </w:tcBorders>
            <w:vAlign w:val="center"/>
          </w:tcPr>
          <w:p w14:paraId="597AFA03">
            <w:pPr>
              <w:ind w:firstLine="0" w:firstLineChars="0"/>
              <w:jc w:val="center"/>
            </w:pPr>
            <w:r>
              <w:rPr>
                <w:rFonts w:hint="eastAsia"/>
              </w:rPr>
              <w:t>分类</w:t>
            </w:r>
          </w:p>
        </w:tc>
        <w:tc>
          <w:tcPr>
            <w:tcW w:w="1122" w:type="dxa"/>
            <w:tcBorders>
              <w:top w:val="nil"/>
              <w:left w:val="nil"/>
              <w:bottom w:val="nil"/>
              <w:right w:val="nil"/>
            </w:tcBorders>
            <w:vAlign w:val="center"/>
          </w:tcPr>
          <w:p w14:paraId="5DD62C27">
            <w:pPr>
              <w:ind w:firstLine="0" w:firstLineChars="0"/>
              <w:jc w:val="center"/>
            </w:pPr>
            <w:r>
              <w:t>AUROC</w:t>
            </w:r>
          </w:p>
        </w:tc>
        <w:tc>
          <w:tcPr>
            <w:tcW w:w="1344" w:type="dxa"/>
            <w:tcBorders>
              <w:top w:val="nil"/>
              <w:left w:val="nil"/>
              <w:bottom w:val="nil"/>
              <w:right w:val="nil"/>
            </w:tcBorders>
            <w:vAlign w:val="center"/>
          </w:tcPr>
          <w:p w14:paraId="7C68BB44">
            <w:pPr>
              <w:ind w:firstLine="0" w:firstLineChars="0"/>
              <w:jc w:val="center"/>
            </w:pPr>
            <w:r>
              <w:t>Scaffold</w:t>
            </w:r>
          </w:p>
        </w:tc>
      </w:tr>
      <w:tr w14:paraId="0EB386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27" w:type="dxa"/>
            <w:vMerge w:val="continue"/>
            <w:tcBorders>
              <w:top w:val="nil"/>
              <w:left w:val="nil"/>
              <w:bottom w:val="nil"/>
              <w:right w:val="nil"/>
            </w:tcBorders>
            <w:vAlign w:val="center"/>
          </w:tcPr>
          <w:p w14:paraId="68A9DD2A">
            <w:pPr>
              <w:ind w:firstLine="0" w:firstLineChars="0"/>
              <w:jc w:val="center"/>
            </w:pPr>
          </w:p>
        </w:tc>
        <w:tc>
          <w:tcPr>
            <w:tcW w:w="1966" w:type="dxa"/>
            <w:tcBorders>
              <w:top w:val="nil"/>
              <w:left w:val="nil"/>
              <w:bottom w:val="nil"/>
              <w:right w:val="nil"/>
            </w:tcBorders>
            <w:vAlign w:val="center"/>
          </w:tcPr>
          <w:p w14:paraId="57968566">
            <w:pPr>
              <w:ind w:firstLine="0" w:firstLineChars="0"/>
              <w:jc w:val="center"/>
            </w:pPr>
            <w:r>
              <w:rPr>
                <w:rFonts w:hint="eastAsia"/>
              </w:rPr>
              <w:t>Pgp</w:t>
            </w:r>
          </w:p>
        </w:tc>
        <w:tc>
          <w:tcPr>
            <w:tcW w:w="1080" w:type="dxa"/>
            <w:tcBorders>
              <w:top w:val="nil"/>
              <w:left w:val="nil"/>
              <w:bottom w:val="nil"/>
              <w:right w:val="nil"/>
            </w:tcBorders>
            <w:vAlign w:val="center"/>
          </w:tcPr>
          <w:p w14:paraId="44887E89">
            <w:pPr>
              <w:ind w:firstLine="0" w:firstLineChars="0"/>
              <w:jc w:val="center"/>
            </w:pPr>
            <w:r>
              <w:rPr>
                <w:rFonts w:hint="eastAsia"/>
              </w:rPr>
              <w:t>1212</w:t>
            </w:r>
          </w:p>
        </w:tc>
        <w:tc>
          <w:tcPr>
            <w:tcW w:w="1089" w:type="dxa"/>
            <w:tcBorders>
              <w:top w:val="nil"/>
              <w:left w:val="nil"/>
              <w:bottom w:val="nil"/>
              <w:right w:val="nil"/>
            </w:tcBorders>
            <w:vAlign w:val="center"/>
          </w:tcPr>
          <w:p w14:paraId="436B1780">
            <w:pPr>
              <w:ind w:firstLine="0" w:firstLineChars="0"/>
              <w:jc w:val="center"/>
            </w:pPr>
            <w:r>
              <w:rPr>
                <w:rFonts w:hint="eastAsia"/>
              </w:rPr>
              <w:t>分类</w:t>
            </w:r>
          </w:p>
        </w:tc>
        <w:tc>
          <w:tcPr>
            <w:tcW w:w="1122" w:type="dxa"/>
            <w:tcBorders>
              <w:top w:val="nil"/>
              <w:left w:val="nil"/>
              <w:bottom w:val="nil"/>
              <w:right w:val="nil"/>
            </w:tcBorders>
            <w:vAlign w:val="center"/>
          </w:tcPr>
          <w:p w14:paraId="7E715925">
            <w:pPr>
              <w:ind w:firstLine="0" w:firstLineChars="0"/>
              <w:jc w:val="center"/>
            </w:pPr>
            <w:r>
              <w:t>AUROC</w:t>
            </w:r>
          </w:p>
        </w:tc>
        <w:tc>
          <w:tcPr>
            <w:tcW w:w="1344" w:type="dxa"/>
            <w:tcBorders>
              <w:top w:val="nil"/>
              <w:left w:val="nil"/>
              <w:bottom w:val="nil"/>
              <w:right w:val="nil"/>
            </w:tcBorders>
            <w:vAlign w:val="center"/>
          </w:tcPr>
          <w:p w14:paraId="5D75E3DD">
            <w:pPr>
              <w:ind w:firstLine="0" w:firstLineChars="0"/>
              <w:jc w:val="center"/>
            </w:pPr>
            <w:r>
              <w:t>Scaffold</w:t>
            </w:r>
          </w:p>
        </w:tc>
      </w:tr>
      <w:tr w14:paraId="6CCF37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27" w:type="dxa"/>
            <w:vMerge w:val="continue"/>
            <w:tcBorders>
              <w:top w:val="nil"/>
              <w:left w:val="nil"/>
              <w:bottom w:val="nil"/>
              <w:right w:val="nil"/>
            </w:tcBorders>
            <w:vAlign w:val="center"/>
          </w:tcPr>
          <w:p w14:paraId="18304878">
            <w:pPr>
              <w:ind w:firstLine="0" w:firstLineChars="0"/>
              <w:jc w:val="center"/>
            </w:pPr>
          </w:p>
        </w:tc>
        <w:tc>
          <w:tcPr>
            <w:tcW w:w="1966" w:type="dxa"/>
            <w:tcBorders>
              <w:top w:val="nil"/>
              <w:left w:val="nil"/>
              <w:bottom w:val="nil"/>
              <w:right w:val="nil"/>
            </w:tcBorders>
            <w:vAlign w:val="center"/>
          </w:tcPr>
          <w:p w14:paraId="0F58D354">
            <w:pPr>
              <w:ind w:firstLine="0" w:firstLineChars="0"/>
              <w:jc w:val="center"/>
            </w:pPr>
            <w:r>
              <w:rPr>
                <w:rFonts w:hint="eastAsia"/>
              </w:rPr>
              <w:t>Bioav</w:t>
            </w:r>
          </w:p>
        </w:tc>
        <w:tc>
          <w:tcPr>
            <w:tcW w:w="1080" w:type="dxa"/>
            <w:tcBorders>
              <w:top w:val="nil"/>
              <w:left w:val="nil"/>
              <w:bottom w:val="nil"/>
              <w:right w:val="nil"/>
            </w:tcBorders>
            <w:vAlign w:val="center"/>
          </w:tcPr>
          <w:p w14:paraId="5DAFE5AD">
            <w:pPr>
              <w:ind w:firstLine="0" w:firstLineChars="0"/>
              <w:jc w:val="center"/>
            </w:pPr>
            <w:r>
              <w:rPr>
                <w:rFonts w:hint="eastAsia"/>
              </w:rPr>
              <w:t>640</w:t>
            </w:r>
          </w:p>
        </w:tc>
        <w:tc>
          <w:tcPr>
            <w:tcW w:w="1089" w:type="dxa"/>
            <w:tcBorders>
              <w:top w:val="nil"/>
              <w:left w:val="nil"/>
              <w:bottom w:val="nil"/>
              <w:right w:val="nil"/>
            </w:tcBorders>
            <w:vAlign w:val="center"/>
          </w:tcPr>
          <w:p w14:paraId="400B0579">
            <w:pPr>
              <w:ind w:firstLine="0" w:firstLineChars="0"/>
              <w:jc w:val="center"/>
            </w:pPr>
            <w:r>
              <w:rPr>
                <w:rFonts w:hint="eastAsia"/>
              </w:rPr>
              <w:t>分类</w:t>
            </w:r>
          </w:p>
        </w:tc>
        <w:tc>
          <w:tcPr>
            <w:tcW w:w="1122" w:type="dxa"/>
            <w:tcBorders>
              <w:top w:val="nil"/>
              <w:left w:val="nil"/>
              <w:bottom w:val="nil"/>
              <w:right w:val="nil"/>
            </w:tcBorders>
            <w:vAlign w:val="center"/>
          </w:tcPr>
          <w:p w14:paraId="01DDD4D1">
            <w:pPr>
              <w:ind w:firstLine="0" w:firstLineChars="0"/>
              <w:jc w:val="center"/>
            </w:pPr>
            <w:r>
              <w:t>AUROC</w:t>
            </w:r>
          </w:p>
        </w:tc>
        <w:tc>
          <w:tcPr>
            <w:tcW w:w="1344" w:type="dxa"/>
            <w:tcBorders>
              <w:top w:val="nil"/>
              <w:left w:val="nil"/>
              <w:bottom w:val="nil"/>
              <w:right w:val="nil"/>
            </w:tcBorders>
            <w:vAlign w:val="center"/>
          </w:tcPr>
          <w:p w14:paraId="363A11F2">
            <w:pPr>
              <w:ind w:firstLine="0" w:firstLineChars="0"/>
              <w:jc w:val="center"/>
            </w:pPr>
            <w:r>
              <w:t>Scaffold</w:t>
            </w:r>
          </w:p>
        </w:tc>
      </w:tr>
      <w:tr w14:paraId="309C4A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27" w:type="dxa"/>
            <w:vMerge w:val="continue"/>
            <w:tcBorders>
              <w:top w:val="nil"/>
              <w:left w:val="nil"/>
              <w:bottom w:val="nil"/>
              <w:right w:val="nil"/>
            </w:tcBorders>
            <w:vAlign w:val="center"/>
          </w:tcPr>
          <w:p w14:paraId="648B3848">
            <w:pPr>
              <w:ind w:firstLine="0" w:firstLineChars="0"/>
              <w:jc w:val="center"/>
            </w:pPr>
          </w:p>
        </w:tc>
        <w:tc>
          <w:tcPr>
            <w:tcW w:w="1966" w:type="dxa"/>
            <w:tcBorders>
              <w:top w:val="nil"/>
              <w:left w:val="nil"/>
              <w:bottom w:val="nil"/>
              <w:right w:val="nil"/>
            </w:tcBorders>
            <w:vAlign w:val="center"/>
          </w:tcPr>
          <w:p w14:paraId="4BFB122C">
            <w:pPr>
              <w:ind w:firstLine="0" w:firstLineChars="0"/>
              <w:jc w:val="center"/>
            </w:pPr>
            <w:r>
              <w:rPr>
                <w:rFonts w:hint="eastAsia"/>
              </w:rPr>
              <w:t>Lipo</w:t>
            </w:r>
          </w:p>
        </w:tc>
        <w:tc>
          <w:tcPr>
            <w:tcW w:w="1080" w:type="dxa"/>
            <w:tcBorders>
              <w:top w:val="nil"/>
              <w:left w:val="nil"/>
              <w:bottom w:val="nil"/>
              <w:right w:val="nil"/>
            </w:tcBorders>
            <w:vAlign w:val="center"/>
          </w:tcPr>
          <w:p w14:paraId="79F51106">
            <w:pPr>
              <w:ind w:firstLine="0" w:firstLineChars="0"/>
              <w:jc w:val="center"/>
            </w:pPr>
            <w:r>
              <w:rPr>
                <w:rFonts w:hint="eastAsia"/>
              </w:rPr>
              <w:t>4200</w:t>
            </w:r>
          </w:p>
        </w:tc>
        <w:tc>
          <w:tcPr>
            <w:tcW w:w="1089" w:type="dxa"/>
            <w:tcBorders>
              <w:top w:val="nil"/>
              <w:left w:val="nil"/>
              <w:bottom w:val="nil"/>
              <w:right w:val="nil"/>
            </w:tcBorders>
            <w:vAlign w:val="center"/>
          </w:tcPr>
          <w:p w14:paraId="499B1ABA">
            <w:pPr>
              <w:ind w:firstLine="0" w:firstLineChars="0"/>
              <w:jc w:val="center"/>
            </w:pPr>
            <w:r>
              <w:rPr>
                <w:rFonts w:hint="eastAsia"/>
              </w:rPr>
              <w:t>回归</w:t>
            </w:r>
          </w:p>
        </w:tc>
        <w:tc>
          <w:tcPr>
            <w:tcW w:w="1122" w:type="dxa"/>
            <w:tcBorders>
              <w:top w:val="nil"/>
              <w:left w:val="nil"/>
              <w:bottom w:val="nil"/>
              <w:right w:val="nil"/>
            </w:tcBorders>
            <w:vAlign w:val="center"/>
          </w:tcPr>
          <w:p w14:paraId="5E5D1BAC">
            <w:pPr>
              <w:ind w:firstLine="0" w:firstLineChars="0"/>
              <w:jc w:val="center"/>
            </w:pPr>
            <w:r>
              <w:t>MAE</w:t>
            </w:r>
          </w:p>
        </w:tc>
        <w:tc>
          <w:tcPr>
            <w:tcW w:w="1344" w:type="dxa"/>
            <w:tcBorders>
              <w:top w:val="nil"/>
              <w:left w:val="nil"/>
              <w:bottom w:val="nil"/>
              <w:right w:val="nil"/>
            </w:tcBorders>
            <w:vAlign w:val="center"/>
          </w:tcPr>
          <w:p w14:paraId="34FB87FA">
            <w:pPr>
              <w:ind w:firstLine="0" w:firstLineChars="0"/>
              <w:jc w:val="center"/>
            </w:pPr>
            <w:r>
              <w:t>Scaffold</w:t>
            </w:r>
          </w:p>
        </w:tc>
      </w:tr>
      <w:tr w14:paraId="7CF8FA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27" w:type="dxa"/>
            <w:vMerge w:val="restart"/>
            <w:tcBorders>
              <w:top w:val="single" w:color="auto" w:sz="8" w:space="0"/>
              <w:left w:val="nil"/>
              <w:bottom w:val="nil"/>
              <w:right w:val="nil"/>
            </w:tcBorders>
            <w:vAlign w:val="center"/>
          </w:tcPr>
          <w:p w14:paraId="76DA5211">
            <w:pPr>
              <w:ind w:firstLine="0" w:firstLineChars="0"/>
              <w:jc w:val="center"/>
            </w:pPr>
            <w:r>
              <w:rPr>
                <w:rFonts w:hint="eastAsia"/>
              </w:rPr>
              <w:t>分布</w:t>
            </w:r>
          </w:p>
        </w:tc>
        <w:tc>
          <w:tcPr>
            <w:tcW w:w="1966" w:type="dxa"/>
            <w:tcBorders>
              <w:top w:val="single" w:color="auto" w:sz="8" w:space="0"/>
              <w:left w:val="nil"/>
              <w:bottom w:val="nil"/>
              <w:right w:val="nil"/>
            </w:tcBorders>
            <w:vAlign w:val="center"/>
          </w:tcPr>
          <w:p w14:paraId="308B52EF">
            <w:pPr>
              <w:ind w:firstLine="0" w:firstLineChars="0"/>
              <w:jc w:val="center"/>
            </w:pPr>
            <w:r>
              <w:rPr>
                <w:rFonts w:hint="eastAsia"/>
              </w:rPr>
              <w:t>BBB</w:t>
            </w:r>
          </w:p>
        </w:tc>
        <w:tc>
          <w:tcPr>
            <w:tcW w:w="1080" w:type="dxa"/>
            <w:tcBorders>
              <w:top w:val="single" w:color="auto" w:sz="8" w:space="0"/>
              <w:left w:val="nil"/>
              <w:bottom w:val="nil"/>
              <w:right w:val="nil"/>
            </w:tcBorders>
            <w:vAlign w:val="center"/>
          </w:tcPr>
          <w:p w14:paraId="6BF95EEF">
            <w:pPr>
              <w:ind w:firstLine="0" w:firstLineChars="0"/>
              <w:jc w:val="center"/>
            </w:pPr>
            <w:r>
              <w:rPr>
                <w:rFonts w:hint="eastAsia"/>
              </w:rPr>
              <w:t>1975</w:t>
            </w:r>
          </w:p>
        </w:tc>
        <w:tc>
          <w:tcPr>
            <w:tcW w:w="1089" w:type="dxa"/>
            <w:tcBorders>
              <w:top w:val="single" w:color="auto" w:sz="8" w:space="0"/>
              <w:left w:val="nil"/>
              <w:bottom w:val="nil"/>
              <w:right w:val="nil"/>
            </w:tcBorders>
            <w:vAlign w:val="center"/>
          </w:tcPr>
          <w:p w14:paraId="58BBD4EF">
            <w:pPr>
              <w:ind w:firstLine="0" w:firstLineChars="0"/>
              <w:jc w:val="center"/>
            </w:pPr>
            <w:r>
              <w:rPr>
                <w:rFonts w:hint="eastAsia"/>
              </w:rPr>
              <w:t>分类</w:t>
            </w:r>
          </w:p>
        </w:tc>
        <w:tc>
          <w:tcPr>
            <w:tcW w:w="1122" w:type="dxa"/>
            <w:tcBorders>
              <w:top w:val="single" w:color="auto" w:sz="8" w:space="0"/>
              <w:left w:val="nil"/>
              <w:bottom w:val="nil"/>
              <w:right w:val="nil"/>
            </w:tcBorders>
            <w:vAlign w:val="center"/>
          </w:tcPr>
          <w:p w14:paraId="38E4B40F">
            <w:pPr>
              <w:ind w:firstLine="0" w:firstLineChars="0"/>
              <w:jc w:val="center"/>
            </w:pPr>
            <w:r>
              <w:t>AUROC</w:t>
            </w:r>
          </w:p>
        </w:tc>
        <w:tc>
          <w:tcPr>
            <w:tcW w:w="1344" w:type="dxa"/>
            <w:tcBorders>
              <w:top w:val="single" w:color="auto" w:sz="8" w:space="0"/>
              <w:left w:val="nil"/>
              <w:bottom w:val="nil"/>
              <w:right w:val="nil"/>
            </w:tcBorders>
            <w:vAlign w:val="center"/>
          </w:tcPr>
          <w:p w14:paraId="38DC781E">
            <w:pPr>
              <w:ind w:firstLine="0" w:firstLineChars="0"/>
              <w:jc w:val="center"/>
            </w:pPr>
            <w:r>
              <w:t>Scaffold</w:t>
            </w:r>
          </w:p>
        </w:tc>
      </w:tr>
      <w:tr w14:paraId="34BCE7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27" w:type="dxa"/>
            <w:vMerge w:val="continue"/>
            <w:tcBorders>
              <w:top w:val="nil"/>
              <w:left w:val="nil"/>
              <w:bottom w:val="nil"/>
              <w:right w:val="nil"/>
            </w:tcBorders>
            <w:vAlign w:val="center"/>
          </w:tcPr>
          <w:p w14:paraId="76AE0384">
            <w:pPr>
              <w:ind w:firstLine="0" w:firstLineChars="0"/>
              <w:jc w:val="center"/>
            </w:pPr>
          </w:p>
        </w:tc>
        <w:tc>
          <w:tcPr>
            <w:tcW w:w="1966" w:type="dxa"/>
            <w:tcBorders>
              <w:top w:val="nil"/>
              <w:left w:val="nil"/>
              <w:bottom w:val="nil"/>
              <w:right w:val="nil"/>
            </w:tcBorders>
            <w:vAlign w:val="center"/>
          </w:tcPr>
          <w:p w14:paraId="0CC9E00F">
            <w:pPr>
              <w:ind w:firstLine="0" w:firstLineChars="0"/>
              <w:jc w:val="center"/>
            </w:pPr>
            <w:r>
              <w:rPr>
                <w:rFonts w:hint="eastAsia"/>
              </w:rPr>
              <w:t>PPBR</w:t>
            </w:r>
          </w:p>
        </w:tc>
        <w:tc>
          <w:tcPr>
            <w:tcW w:w="1080" w:type="dxa"/>
            <w:tcBorders>
              <w:top w:val="nil"/>
              <w:left w:val="nil"/>
              <w:bottom w:val="nil"/>
              <w:right w:val="nil"/>
            </w:tcBorders>
            <w:vAlign w:val="center"/>
          </w:tcPr>
          <w:p w14:paraId="37A551BA">
            <w:pPr>
              <w:ind w:firstLine="0" w:firstLineChars="0"/>
              <w:jc w:val="center"/>
            </w:pPr>
            <w:r>
              <w:rPr>
                <w:rFonts w:hint="eastAsia"/>
              </w:rPr>
              <w:t>1797</w:t>
            </w:r>
          </w:p>
        </w:tc>
        <w:tc>
          <w:tcPr>
            <w:tcW w:w="1089" w:type="dxa"/>
            <w:tcBorders>
              <w:top w:val="nil"/>
              <w:left w:val="nil"/>
              <w:bottom w:val="nil"/>
              <w:right w:val="nil"/>
            </w:tcBorders>
            <w:vAlign w:val="center"/>
          </w:tcPr>
          <w:p w14:paraId="5C3D21D6">
            <w:pPr>
              <w:ind w:firstLine="0" w:firstLineChars="0"/>
              <w:jc w:val="center"/>
            </w:pPr>
            <w:r>
              <w:rPr>
                <w:rFonts w:hint="eastAsia"/>
              </w:rPr>
              <w:t>回归</w:t>
            </w:r>
          </w:p>
        </w:tc>
        <w:tc>
          <w:tcPr>
            <w:tcW w:w="1122" w:type="dxa"/>
            <w:tcBorders>
              <w:top w:val="nil"/>
              <w:left w:val="nil"/>
              <w:bottom w:val="nil"/>
              <w:right w:val="nil"/>
            </w:tcBorders>
            <w:vAlign w:val="center"/>
          </w:tcPr>
          <w:p w14:paraId="304803B5">
            <w:pPr>
              <w:ind w:firstLine="0" w:firstLineChars="0"/>
              <w:jc w:val="center"/>
            </w:pPr>
            <w:r>
              <w:t>MAE</w:t>
            </w:r>
          </w:p>
        </w:tc>
        <w:tc>
          <w:tcPr>
            <w:tcW w:w="1344" w:type="dxa"/>
            <w:tcBorders>
              <w:top w:val="nil"/>
              <w:left w:val="nil"/>
              <w:bottom w:val="nil"/>
              <w:right w:val="nil"/>
            </w:tcBorders>
            <w:vAlign w:val="center"/>
          </w:tcPr>
          <w:p w14:paraId="55C2FEFC">
            <w:pPr>
              <w:ind w:firstLine="0" w:firstLineChars="0"/>
              <w:jc w:val="center"/>
            </w:pPr>
            <w:r>
              <w:t>Scaffold</w:t>
            </w:r>
          </w:p>
        </w:tc>
      </w:tr>
      <w:tr w14:paraId="434F41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27" w:type="dxa"/>
            <w:vMerge w:val="continue"/>
            <w:tcBorders>
              <w:top w:val="nil"/>
              <w:left w:val="nil"/>
              <w:bottom w:val="single" w:color="auto" w:sz="8" w:space="0"/>
              <w:right w:val="nil"/>
            </w:tcBorders>
            <w:vAlign w:val="center"/>
          </w:tcPr>
          <w:p w14:paraId="4E0197E9">
            <w:pPr>
              <w:ind w:firstLine="0" w:firstLineChars="0"/>
              <w:jc w:val="center"/>
            </w:pPr>
          </w:p>
        </w:tc>
        <w:tc>
          <w:tcPr>
            <w:tcW w:w="1966" w:type="dxa"/>
            <w:tcBorders>
              <w:top w:val="nil"/>
              <w:left w:val="nil"/>
              <w:bottom w:val="single" w:color="auto" w:sz="8" w:space="0"/>
              <w:right w:val="nil"/>
            </w:tcBorders>
            <w:vAlign w:val="center"/>
          </w:tcPr>
          <w:p w14:paraId="2E2DAEEC">
            <w:pPr>
              <w:ind w:firstLine="0" w:firstLineChars="0"/>
              <w:jc w:val="center"/>
            </w:pPr>
            <w:r>
              <w:rPr>
                <w:rFonts w:hint="eastAsia"/>
              </w:rPr>
              <w:t>VDss</w:t>
            </w:r>
          </w:p>
        </w:tc>
        <w:tc>
          <w:tcPr>
            <w:tcW w:w="1080" w:type="dxa"/>
            <w:tcBorders>
              <w:top w:val="nil"/>
              <w:left w:val="nil"/>
              <w:bottom w:val="single" w:color="auto" w:sz="8" w:space="0"/>
              <w:right w:val="nil"/>
            </w:tcBorders>
            <w:vAlign w:val="center"/>
          </w:tcPr>
          <w:p w14:paraId="299C4F14">
            <w:pPr>
              <w:ind w:firstLine="0" w:firstLineChars="0"/>
              <w:jc w:val="center"/>
            </w:pPr>
            <w:r>
              <w:rPr>
                <w:rFonts w:hint="eastAsia"/>
              </w:rPr>
              <w:t>1130</w:t>
            </w:r>
          </w:p>
        </w:tc>
        <w:tc>
          <w:tcPr>
            <w:tcW w:w="1089" w:type="dxa"/>
            <w:tcBorders>
              <w:top w:val="nil"/>
              <w:left w:val="nil"/>
              <w:bottom w:val="single" w:color="auto" w:sz="8" w:space="0"/>
              <w:right w:val="nil"/>
            </w:tcBorders>
            <w:vAlign w:val="center"/>
          </w:tcPr>
          <w:p w14:paraId="6C9286B5">
            <w:pPr>
              <w:ind w:firstLine="0" w:firstLineChars="0"/>
              <w:jc w:val="center"/>
            </w:pPr>
            <w:r>
              <w:rPr>
                <w:rFonts w:hint="eastAsia"/>
              </w:rPr>
              <w:t>回归</w:t>
            </w:r>
          </w:p>
        </w:tc>
        <w:tc>
          <w:tcPr>
            <w:tcW w:w="1122" w:type="dxa"/>
            <w:tcBorders>
              <w:top w:val="nil"/>
              <w:left w:val="nil"/>
              <w:bottom w:val="single" w:color="auto" w:sz="8" w:space="0"/>
              <w:right w:val="nil"/>
            </w:tcBorders>
            <w:vAlign w:val="center"/>
          </w:tcPr>
          <w:p w14:paraId="4C46C2CB">
            <w:pPr>
              <w:ind w:firstLine="0" w:firstLineChars="0"/>
              <w:jc w:val="center"/>
            </w:pPr>
            <w:r>
              <w:t>Spearman</w:t>
            </w:r>
          </w:p>
        </w:tc>
        <w:tc>
          <w:tcPr>
            <w:tcW w:w="1344" w:type="dxa"/>
            <w:tcBorders>
              <w:top w:val="nil"/>
              <w:left w:val="nil"/>
              <w:bottom w:val="single" w:color="auto" w:sz="8" w:space="0"/>
              <w:right w:val="nil"/>
            </w:tcBorders>
            <w:vAlign w:val="center"/>
          </w:tcPr>
          <w:p w14:paraId="51ABB518">
            <w:pPr>
              <w:ind w:firstLine="0" w:firstLineChars="0"/>
              <w:jc w:val="center"/>
            </w:pPr>
            <w:r>
              <w:t>Scaffold</w:t>
            </w:r>
          </w:p>
        </w:tc>
      </w:tr>
      <w:tr w14:paraId="270D26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27" w:type="dxa"/>
            <w:vMerge w:val="restart"/>
            <w:tcBorders>
              <w:top w:val="single" w:color="auto" w:sz="8" w:space="0"/>
              <w:left w:val="nil"/>
              <w:bottom w:val="nil"/>
              <w:right w:val="nil"/>
            </w:tcBorders>
            <w:vAlign w:val="center"/>
          </w:tcPr>
          <w:p w14:paraId="5287CEF4">
            <w:pPr>
              <w:ind w:firstLine="0" w:firstLineChars="0"/>
              <w:jc w:val="center"/>
            </w:pPr>
            <w:r>
              <w:rPr>
                <w:rFonts w:hint="eastAsia"/>
              </w:rPr>
              <w:t>代谢</w:t>
            </w:r>
          </w:p>
        </w:tc>
        <w:tc>
          <w:tcPr>
            <w:tcW w:w="1966" w:type="dxa"/>
            <w:tcBorders>
              <w:top w:val="single" w:color="auto" w:sz="8" w:space="0"/>
              <w:left w:val="nil"/>
              <w:bottom w:val="nil"/>
              <w:right w:val="nil"/>
            </w:tcBorders>
            <w:vAlign w:val="center"/>
          </w:tcPr>
          <w:p w14:paraId="3F1B4D25">
            <w:pPr>
              <w:ind w:firstLine="0" w:firstLineChars="0"/>
              <w:jc w:val="center"/>
            </w:pPr>
            <w:r>
              <w:rPr>
                <w:rFonts w:hint="eastAsia"/>
              </w:rPr>
              <w:t>CYP2C9 inhibition</w:t>
            </w:r>
          </w:p>
        </w:tc>
        <w:tc>
          <w:tcPr>
            <w:tcW w:w="1080" w:type="dxa"/>
            <w:tcBorders>
              <w:top w:val="single" w:color="auto" w:sz="8" w:space="0"/>
              <w:left w:val="nil"/>
              <w:bottom w:val="nil"/>
              <w:right w:val="nil"/>
            </w:tcBorders>
            <w:vAlign w:val="center"/>
          </w:tcPr>
          <w:p w14:paraId="156B4A81">
            <w:pPr>
              <w:ind w:firstLine="0" w:firstLineChars="0"/>
              <w:jc w:val="center"/>
            </w:pPr>
            <w:r>
              <w:rPr>
                <w:rFonts w:hint="eastAsia"/>
              </w:rPr>
              <w:t>12092</w:t>
            </w:r>
          </w:p>
        </w:tc>
        <w:tc>
          <w:tcPr>
            <w:tcW w:w="1089" w:type="dxa"/>
            <w:tcBorders>
              <w:top w:val="single" w:color="auto" w:sz="8" w:space="0"/>
              <w:left w:val="nil"/>
              <w:bottom w:val="nil"/>
              <w:right w:val="nil"/>
            </w:tcBorders>
            <w:vAlign w:val="center"/>
          </w:tcPr>
          <w:p w14:paraId="5015E3F8">
            <w:pPr>
              <w:ind w:firstLine="0" w:firstLineChars="0"/>
              <w:jc w:val="center"/>
            </w:pPr>
            <w:r>
              <w:rPr>
                <w:rFonts w:hint="eastAsia"/>
              </w:rPr>
              <w:t>分类</w:t>
            </w:r>
          </w:p>
        </w:tc>
        <w:tc>
          <w:tcPr>
            <w:tcW w:w="1122" w:type="dxa"/>
            <w:tcBorders>
              <w:top w:val="single" w:color="auto" w:sz="8" w:space="0"/>
              <w:left w:val="nil"/>
              <w:bottom w:val="nil"/>
              <w:right w:val="nil"/>
            </w:tcBorders>
            <w:vAlign w:val="center"/>
          </w:tcPr>
          <w:p w14:paraId="72D78844">
            <w:pPr>
              <w:ind w:firstLine="0" w:firstLineChars="0"/>
              <w:jc w:val="center"/>
            </w:pPr>
            <w:r>
              <w:t>AUPRC</w:t>
            </w:r>
          </w:p>
        </w:tc>
        <w:tc>
          <w:tcPr>
            <w:tcW w:w="1344" w:type="dxa"/>
            <w:tcBorders>
              <w:top w:val="single" w:color="auto" w:sz="8" w:space="0"/>
              <w:left w:val="nil"/>
              <w:bottom w:val="nil"/>
              <w:right w:val="nil"/>
            </w:tcBorders>
            <w:vAlign w:val="center"/>
          </w:tcPr>
          <w:p w14:paraId="51939D7A">
            <w:pPr>
              <w:ind w:firstLine="0" w:firstLineChars="0"/>
              <w:jc w:val="center"/>
            </w:pPr>
            <w:r>
              <w:t>Scaffold</w:t>
            </w:r>
          </w:p>
        </w:tc>
      </w:tr>
      <w:tr w14:paraId="571EE8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27" w:type="dxa"/>
            <w:vMerge w:val="continue"/>
            <w:tcBorders>
              <w:top w:val="nil"/>
              <w:left w:val="nil"/>
              <w:bottom w:val="nil"/>
              <w:right w:val="nil"/>
            </w:tcBorders>
            <w:vAlign w:val="center"/>
          </w:tcPr>
          <w:p w14:paraId="3E7A1E5C">
            <w:pPr>
              <w:ind w:firstLine="0" w:firstLineChars="0"/>
              <w:jc w:val="center"/>
            </w:pPr>
          </w:p>
        </w:tc>
        <w:tc>
          <w:tcPr>
            <w:tcW w:w="1966" w:type="dxa"/>
            <w:tcBorders>
              <w:top w:val="nil"/>
              <w:left w:val="nil"/>
              <w:bottom w:val="nil"/>
              <w:right w:val="nil"/>
            </w:tcBorders>
            <w:vAlign w:val="center"/>
          </w:tcPr>
          <w:p w14:paraId="6DEB947F">
            <w:pPr>
              <w:ind w:firstLine="0" w:firstLineChars="0"/>
              <w:jc w:val="center"/>
            </w:pPr>
            <w:r>
              <w:rPr>
                <w:rFonts w:hint="eastAsia"/>
              </w:rPr>
              <w:t>CYP2D6 inhibition</w:t>
            </w:r>
          </w:p>
        </w:tc>
        <w:tc>
          <w:tcPr>
            <w:tcW w:w="1080" w:type="dxa"/>
            <w:tcBorders>
              <w:top w:val="nil"/>
              <w:left w:val="nil"/>
              <w:bottom w:val="nil"/>
              <w:right w:val="nil"/>
            </w:tcBorders>
            <w:vAlign w:val="center"/>
          </w:tcPr>
          <w:p w14:paraId="01ACCD9E">
            <w:pPr>
              <w:ind w:firstLine="0" w:firstLineChars="0"/>
              <w:jc w:val="center"/>
            </w:pPr>
            <w:r>
              <w:rPr>
                <w:rFonts w:hint="eastAsia"/>
              </w:rPr>
              <w:t>13130</w:t>
            </w:r>
          </w:p>
        </w:tc>
        <w:tc>
          <w:tcPr>
            <w:tcW w:w="1089" w:type="dxa"/>
            <w:tcBorders>
              <w:top w:val="nil"/>
              <w:left w:val="nil"/>
              <w:bottom w:val="nil"/>
              <w:right w:val="nil"/>
            </w:tcBorders>
            <w:vAlign w:val="center"/>
          </w:tcPr>
          <w:p w14:paraId="5D58D514">
            <w:pPr>
              <w:ind w:firstLine="0" w:firstLineChars="0"/>
              <w:jc w:val="center"/>
            </w:pPr>
            <w:r>
              <w:rPr>
                <w:rFonts w:hint="eastAsia"/>
              </w:rPr>
              <w:t>分类</w:t>
            </w:r>
          </w:p>
        </w:tc>
        <w:tc>
          <w:tcPr>
            <w:tcW w:w="1122" w:type="dxa"/>
            <w:tcBorders>
              <w:top w:val="nil"/>
              <w:left w:val="nil"/>
              <w:bottom w:val="nil"/>
              <w:right w:val="nil"/>
            </w:tcBorders>
            <w:vAlign w:val="center"/>
          </w:tcPr>
          <w:p w14:paraId="33F34054">
            <w:pPr>
              <w:ind w:firstLine="0" w:firstLineChars="0"/>
              <w:jc w:val="center"/>
            </w:pPr>
            <w:r>
              <w:t>AUPRC</w:t>
            </w:r>
          </w:p>
        </w:tc>
        <w:tc>
          <w:tcPr>
            <w:tcW w:w="1344" w:type="dxa"/>
            <w:tcBorders>
              <w:top w:val="nil"/>
              <w:left w:val="nil"/>
              <w:bottom w:val="nil"/>
              <w:right w:val="nil"/>
            </w:tcBorders>
            <w:vAlign w:val="center"/>
          </w:tcPr>
          <w:p w14:paraId="15F79BC1">
            <w:pPr>
              <w:ind w:firstLine="0" w:firstLineChars="0"/>
              <w:jc w:val="center"/>
            </w:pPr>
            <w:r>
              <w:t>Scaffold</w:t>
            </w:r>
          </w:p>
        </w:tc>
      </w:tr>
      <w:tr w14:paraId="64759B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27" w:type="dxa"/>
            <w:vMerge w:val="continue"/>
            <w:tcBorders>
              <w:top w:val="nil"/>
              <w:left w:val="nil"/>
              <w:bottom w:val="nil"/>
              <w:right w:val="nil"/>
            </w:tcBorders>
            <w:vAlign w:val="center"/>
          </w:tcPr>
          <w:p w14:paraId="57C27364">
            <w:pPr>
              <w:ind w:firstLine="0" w:firstLineChars="0"/>
              <w:jc w:val="center"/>
            </w:pPr>
          </w:p>
        </w:tc>
        <w:tc>
          <w:tcPr>
            <w:tcW w:w="1966" w:type="dxa"/>
            <w:tcBorders>
              <w:top w:val="nil"/>
              <w:left w:val="nil"/>
              <w:bottom w:val="nil"/>
              <w:right w:val="nil"/>
            </w:tcBorders>
            <w:vAlign w:val="center"/>
          </w:tcPr>
          <w:p w14:paraId="59D19D9E">
            <w:pPr>
              <w:ind w:firstLine="0" w:firstLineChars="0"/>
              <w:jc w:val="center"/>
            </w:pPr>
            <w:r>
              <w:rPr>
                <w:rFonts w:hint="eastAsia"/>
              </w:rPr>
              <w:t>CYP3A4 Inhibition</w:t>
            </w:r>
          </w:p>
        </w:tc>
        <w:tc>
          <w:tcPr>
            <w:tcW w:w="1080" w:type="dxa"/>
            <w:tcBorders>
              <w:top w:val="nil"/>
              <w:left w:val="nil"/>
              <w:bottom w:val="nil"/>
              <w:right w:val="nil"/>
            </w:tcBorders>
            <w:vAlign w:val="center"/>
          </w:tcPr>
          <w:p w14:paraId="59988B84">
            <w:pPr>
              <w:ind w:firstLine="0" w:firstLineChars="0"/>
              <w:jc w:val="center"/>
            </w:pPr>
            <w:r>
              <w:rPr>
                <w:rFonts w:hint="eastAsia"/>
              </w:rPr>
              <w:t>12328</w:t>
            </w:r>
          </w:p>
        </w:tc>
        <w:tc>
          <w:tcPr>
            <w:tcW w:w="1089" w:type="dxa"/>
            <w:tcBorders>
              <w:top w:val="nil"/>
              <w:left w:val="nil"/>
              <w:bottom w:val="nil"/>
              <w:right w:val="nil"/>
            </w:tcBorders>
            <w:vAlign w:val="center"/>
          </w:tcPr>
          <w:p w14:paraId="4C2D2DFB">
            <w:pPr>
              <w:ind w:firstLine="0" w:firstLineChars="0"/>
              <w:jc w:val="center"/>
            </w:pPr>
            <w:r>
              <w:rPr>
                <w:rFonts w:hint="eastAsia"/>
              </w:rPr>
              <w:t>分类</w:t>
            </w:r>
          </w:p>
        </w:tc>
        <w:tc>
          <w:tcPr>
            <w:tcW w:w="1122" w:type="dxa"/>
            <w:tcBorders>
              <w:top w:val="nil"/>
              <w:left w:val="nil"/>
              <w:bottom w:val="nil"/>
              <w:right w:val="nil"/>
            </w:tcBorders>
            <w:vAlign w:val="center"/>
          </w:tcPr>
          <w:p w14:paraId="7C49C6A7">
            <w:pPr>
              <w:ind w:firstLine="0" w:firstLineChars="0"/>
              <w:jc w:val="center"/>
            </w:pPr>
            <w:r>
              <w:t>AUPRC</w:t>
            </w:r>
          </w:p>
        </w:tc>
        <w:tc>
          <w:tcPr>
            <w:tcW w:w="1344" w:type="dxa"/>
            <w:tcBorders>
              <w:top w:val="nil"/>
              <w:left w:val="nil"/>
              <w:bottom w:val="nil"/>
              <w:right w:val="nil"/>
            </w:tcBorders>
            <w:vAlign w:val="center"/>
          </w:tcPr>
          <w:p w14:paraId="3556F805">
            <w:pPr>
              <w:ind w:firstLine="0" w:firstLineChars="0"/>
              <w:jc w:val="center"/>
            </w:pPr>
            <w:r>
              <w:t>Scaffold</w:t>
            </w:r>
          </w:p>
        </w:tc>
      </w:tr>
      <w:tr w14:paraId="452B4D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27" w:type="dxa"/>
            <w:vMerge w:val="continue"/>
            <w:tcBorders>
              <w:top w:val="nil"/>
              <w:left w:val="nil"/>
              <w:bottom w:val="nil"/>
              <w:right w:val="nil"/>
            </w:tcBorders>
            <w:vAlign w:val="center"/>
          </w:tcPr>
          <w:p w14:paraId="0ED4B23F">
            <w:pPr>
              <w:ind w:firstLine="0" w:firstLineChars="0"/>
              <w:jc w:val="center"/>
            </w:pPr>
          </w:p>
        </w:tc>
        <w:tc>
          <w:tcPr>
            <w:tcW w:w="1966" w:type="dxa"/>
            <w:tcBorders>
              <w:top w:val="nil"/>
              <w:left w:val="nil"/>
              <w:bottom w:val="nil"/>
              <w:right w:val="nil"/>
            </w:tcBorders>
            <w:vAlign w:val="center"/>
          </w:tcPr>
          <w:p w14:paraId="10C6CE5E">
            <w:pPr>
              <w:ind w:firstLine="0" w:firstLineChars="0"/>
              <w:jc w:val="center"/>
            </w:pPr>
            <w:r>
              <w:rPr>
                <w:rFonts w:hint="eastAsia"/>
              </w:rPr>
              <w:t>CYP2C9 Substrate</w:t>
            </w:r>
          </w:p>
        </w:tc>
        <w:tc>
          <w:tcPr>
            <w:tcW w:w="1080" w:type="dxa"/>
            <w:tcBorders>
              <w:top w:val="nil"/>
              <w:left w:val="nil"/>
              <w:bottom w:val="nil"/>
              <w:right w:val="nil"/>
            </w:tcBorders>
            <w:vAlign w:val="center"/>
          </w:tcPr>
          <w:p w14:paraId="35E79775">
            <w:pPr>
              <w:ind w:firstLine="0" w:firstLineChars="0"/>
              <w:jc w:val="center"/>
            </w:pPr>
            <w:r>
              <w:rPr>
                <w:rFonts w:hint="eastAsia"/>
              </w:rPr>
              <w:t>666</w:t>
            </w:r>
          </w:p>
        </w:tc>
        <w:tc>
          <w:tcPr>
            <w:tcW w:w="1089" w:type="dxa"/>
            <w:tcBorders>
              <w:top w:val="nil"/>
              <w:left w:val="nil"/>
              <w:bottom w:val="nil"/>
              <w:right w:val="nil"/>
            </w:tcBorders>
            <w:vAlign w:val="center"/>
          </w:tcPr>
          <w:p w14:paraId="10AA3CE6">
            <w:pPr>
              <w:ind w:firstLine="0" w:firstLineChars="0"/>
              <w:jc w:val="center"/>
            </w:pPr>
            <w:r>
              <w:rPr>
                <w:rFonts w:hint="eastAsia"/>
              </w:rPr>
              <w:t>分类</w:t>
            </w:r>
          </w:p>
        </w:tc>
        <w:tc>
          <w:tcPr>
            <w:tcW w:w="1122" w:type="dxa"/>
            <w:tcBorders>
              <w:top w:val="nil"/>
              <w:left w:val="nil"/>
              <w:bottom w:val="nil"/>
              <w:right w:val="nil"/>
            </w:tcBorders>
            <w:vAlign w:val="center"/>
          </w:tcPr>
          <w:p w14:paraId="6DEEEB6A">
            <w:pPr>
              <w:ind w:firstLine="0" w:firstLineChars="0"/>
              <w:jc w:val="center"/>
            </w:pPr>
            <w:r>
              <w:t>AUPRC</w:t>
            </w:r>
          </w:p>
        </w:tc>
        <w:tc>
          <w:tcPr>
            <w:tcW w:w="1344" w:type="dxa"/>
            <w:tcBorders>
              <w:top w:val="nil"/>
              <w:left w:val="nil"/>
              <w:bottom w:val="nil"/>
              <w:right w:val="nil"/>
            </w:tcBorders>
            <w:vAlign w:val="center"/>
          </w:tcPr>
          <w:p w14:paraId="01CA33A1">
            <w:pPr>
              <w:ind w:firstLine="0" w:firstLineChars="0"/>
              <w:jc w:val="center"/>
            </w:pPr>
            <w:r>
              <w:t>Scaffold</w:t>
            </w:r>
          </w:p>
        </w:tc>
      </w:tr>
      <w:tr w14:paraId="516ECF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27" w:type="dxa"/>
            <w:vMerge w:val="continue"/>
            <w:tcBorders>
              <w:top w:val="nil"/>
              <w:left w:val="nil"/>
              <w:bottom w:val="nil"/>
              <w:right w:val="nil"/>
            </w:tcBorders>
            <w:vAlign w:val="center"/>
          </w:tcPr>
          <w:p w14:paraId="293C9F34">
            <w:pPr>
              <w:ind w:firstLine="0" w:firstLineChars="0"/>
              <w:jc w:val="center"/>
            </w:pPr>
          </w:p>
        </w:tc>
        <w:tc>
          <w:tcPr>
            <w:tcW w:w="1966" w:type="dxa"/>
            <w:tcBorders>
              <w:top w:val="nil"/>
              <w:left w:val="nil"/>
              <w:bottom w:val="nil"/>
              <w:right w:val="nil"/>
            </w:tcBorders>
            <w:vAlign w:val="center"/>
          </w:tcPr>
          <w:p w14:paraId="15B44EEE">
            <w:pPr>
              <w:ind w:firstLine="0" w:firstLineChars="0"/>
              <w:jc w:val="center"/>
            </w:pPr>
            <w:r>
              <w:rPr>
                <w:rFonts w:hint="eastAsia"/>
              </w:rPr>
              <w:t>CYP2D6 Substrate</w:t>
            </w:r>
          </w:p>
        </w:tc>
        <w:tc>
          <w:tcPr>
            <w:tcW w:w="1080" w:type="dxa"/>
            <w:tcBorders>
              <w:top w:val="nil"/>
              <w:left w:val="nil"/>
              <w:bottom w:val="nil"/>
              <w:right w:val="nil"/>
            </w:tcBorders>
            <w:vAlign w:val="center"/>
          </w:tcPr>
          <w:p w14:paraId="4144CD6A">
            <w:pPr>
              <w:ind w:firstLine="0" w:firstLineChars="0"/>
              <w:jc w:val="center"/>
            </w:pPr>
            <w:r>
              <w:rPr>
                <w:rFonts w:hint="eastAsia"/>
              </w:rPr>
              <w:t>664</w:t>
            </w:r>
          </w:p>
        </w:tc>
        <w:tc>
          <w:tcPr>
            <w:tcW w:w="1089" w:type="dxa"/>
            <w:tcBorders>
              <w:top w:val="nil"/>
              <w:left w:val="nil"/>
              <w:bottom w:val="nil"/>
              <w:right w:val="nil"/>
            </w:tcBorders>
            <w:vAlign w:val="center"/>
          </w:tcPr>
          <w:p w14:paraId="078923E4">
            <w:pPr>
              <w:ind w:firstLine="0" w:firstLineChars="0"/>
              <w:jc w:val="center"/>
            </w:pPr>
            <w:r>
              <w:rPr>
                <w:rFonts w:hint="eastAsia"/>
              </w:rPr>
              <w:t>分类</w:t>
            </w:r>
          </w:p>
        </w:tc>
        <w:tc>
          <w:tcPr>
            <w:tcW w:w="1122" w:type="dxa"/>
            <w:tcBorders>
              <w:top w:val="nil"/>
              <w:left w:val="nil"/>
              <w:bottom w:val="nil"/>
              <w:right w:val="nil"/>
            </w:tcBorders>
            <w:vAlign w:val="center"/>
          </w:tcPr>
          <w:p w14:paraId="3332A723">
            <w:pPr>
              <w:ind w:firstLine="0" w:firstLineChars="0"/>
              <w:jc w:val="center"/>
            </w:pPr>
            <w:r>
              <w:t>AUPRC</w:t>
            </w:r>
          </w:p>
        </w:tc>
        <w:tc>
          <w:tcPr>
            <w:tcW w:w="1344" w:type="dxa"/>
            <w:tcBorders>
              <w:top w:val="nil"/>
              <w:left w:val="nil"/>
              <w:bottom w:val="nil"/>
              <w:right w:val="nil"/>
            </w:tcBorders>
            <w:vAlign w:val="center"/>
          </w:tcPr>
          <w:p w14:paraId="3942C43B">
            <w:pPr>
              <w:ind w:firstLine="0" w:firstLineChars="0"/>
              <w:jc w:val="center"/>
            </w:pPr>
            <w:r>
              <w:t>Scaffold</w:t>
            </w:r>
          </w:p>
        </w:tc>
      </w:tr>
      <w:tr w14:paraId="516450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27" w:type="dxa"/>
            <w:vMerge w:val="continue"/>
            <w:tcBorders>
              <w:top w:val="nil"/>
              <w:left w:val="nil"/>
              <w:bottom w:val="single" w:color="auto" w:sz="8" w:space="0"/>
              <w:right w:val="nil"/>
            </w:tcBorders>
            <w:vAlign w:val="center"/>
          </w:tcPr>
          <w:p w14:paraId="230BA662">
            <w:pPr>
              <w:ind w:firstLine="0" w:firstLineChars="0"/>
              <w:jc w:val="center"/>
            </w:pPr>
          </w:p>
        </w:tc>
        <w:tc>
          <w:tcPr>
            <w:tcW w:w="1966" w:type="dxa"/>
            <w:tcBorders>
              <w:top w:val="nil"/>
              <w:left w:val="nil"/>
              <w:bottom w:val="single" w:color="auto" w:sz="8" w:space="0"/>
              <w:right w:val="nil"/>
            </w:tcBorders>
            <w:vAlign w:val="center"/>
          </w:tcPr>
          <w:p w14:paraId="10FACF34">
            <w:pPr>
              <w:ind w:firstLine="0" w:firstLineChars="0"/>
              <w:jc w:val="center"/>
            </w:pPr>
            <w:r>
              <w:rPr>
                <w:rFonts w:hint="eastAsia"/>
              </w:rPr>
              <w:t>CYP3A4 Substrate</w:t>
            </w:r>
          </w:p>
        </w:tc>
        <w:tc>
          <w:tcPr>
            <w:tcW w:w="1080" w:type="dxa"/>
            <w:tcBorders>
              <w:top w:val="nil"/>
              <w:left w:val="nil"/>
              <w:bottom w:val="single" w:color="auto" w:sz="8" w:space="0"/>
              <w:right w:val="nil"/>
            </w:tcBorders>
            <w:vAlign w:val="center"/>
          </w:tcPr>
          <w:p w14:paraId="00EBA9F4">
            <w:pPr>
              <w:ind w:firstLine="0" w:firstLineChars="0"/>
              <w:jc w:val="center"/>
            </w:pPr>
            <w:r>
              <w:rPr>
                <w:rFonts w:hint="eastAsia"/>
              </w:rPr>
              <w:t>667</w:t>
            </w:r>
          </w:p>
        </w:tc>
        <w:tc>
          <w:tcPr>
            <w:tcW w:w="1089" w:type="dxa"/>
            <w:tcBorders>
              <w:top w:val="nil"/>
              <w:left w:val="nil"/>
              <w:bottom w:val="single" w:color="auto" w:sz="8" w:space="0"/>
              <w:right w:val="nil"/>
            </w:tcBorders>
            <w:vAlign w:val="center"/>
          </w:tcPr>
          <w:p w14:paraId="6BE3A19F">
            <w:pPr>
              <w:ind w:firstLine="0" w:firstLineChars="0"/>
              <w:jc w:val="center"/>
            </w:pPr>
            <w:r>
              <w:rPr>
                <w:rFonts w:hint="eastAsia"/>
              </w:rPr>
              <w:t>分类</w:t>
            </w:r>
          </w:p>
        </w:tc>
        <w:tc>
          <w:tcPr>
            <w:tcW w:w="1122" w:type="dxa"/>
            <w:tcBorders>
              <w:top w:val="nil"/>
              <w:left w:val="nil"/>
              <w:bottom w:val="single" w:color="auto" w:sz="8" w:space="0"/>
              <w:right w:val="nil"/>
            </w:tcBorders>
            <w:vAlign w:val="center"/>
          </w:tcPr>
          <w:p w14:paraId="16BC4282">
            <w:pPr>
              <w:ind w:firstLine="0" w:firstLineChars="0"/>
              <w:jc w:val="center"/>
            </w:pPr>
            <w:r>
              <w:t>AUPRC</w:t>
            </w:r>
          </w:p>
        </w:tc>
        <w:tc>
          <w:tcPr>
            <w:tcW w:w="1344" w:type="dxa"/>
            <w:tcBorders>
              <w:top w:val="nil"/>
              <w:left w:val="nil"/>
              <w:bottom w:val="single" w:color="auto" w:sz="8" w:space="0"/>
              <w:right w:val="nil"/>
            </w:tcBorders>
            <w:vAlign w:val="center"/>
          </w:tcPr>
          <w:p w14:paraId="4F5029E7">
            <w:pPr>
              <w:tabs>
                <w:tab w:val="center" w:pos="564"/>
              </w:tabs>
              <w:ind w:firstLine="0" w:firstLineChars="0"/>
              <w:jc w:val="center"/>
            </w:pPr>
            <w:r>
              <w:t>Scaffold</w:t>
            </w:r>
          </w:p>
        </w:tc>
      </w:tr>
      <w:tr w14:paraId="6A2E9A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27" w:type="dxa"/>
            <w:vMerge w:val="restart"/>
            <w:tcBorders>
              <w:top w:val="single" w:color="auto" w:sz="8" w:space="0"/>
              <w:left w:val="nil"/>
              <w:bottom w:val="nil"/>
              <w:right w:val="nil"/>
            </w:tcBorders>
            <w:vAlign w:val="center"/>
          </w:tcPr>
          <w:p w14:paraId="10840475">
            <w:pPr>
              <w:ind w:firstLine="0" w:firstLineChars="0"/>
              <w:jc w:val="center"/>
            </w:pPr>
            <w:r>
              <w:rPr>
                <w:rFonts w:hint="eastAsia"/>
              </w:rPr>
              <w:t>排泄</w:t>
            </w:r>
          </w:p>
        </w:tc>
        <w:tc>
          <w:tcPr>
            <w:tcW w:w="1966" w:type="dxa"/>
            <w:tcBorders>
              <w:top w:val="single" w:color="auto" w:sz="8" w:space="0"/>
              <w:left w:val="nil"/>
              <w:bottom w:val="nil"/>
              <w:right w:val="nil"/>
            </w:tcBorders>
            <w:vAlign w:val="center"/>
          </w:tcPr>
          <w:p w14:paraId="33ABAA5C">
            <w:pPr>
              <w:ind w:firstLine="0" w:firstLineChars="0"/>
              <w:jc w:val="center"/>
            </w:pPr>
            <w:r>
              <w:rPr>
                <w:rFonts w:hint="eastAsia"/>
              </w:rPr>
              <w:t>Half life</w:t>
            </w:r>
          </w:p>
        </w:tc>
        <w:tc>
          <w:tcPr>
            <w:tcW w:w="1080" w:type="dxa"/>
            <w:tcBorders>
              <w:top w:val="single" w:color="auto" w:sz="8" w:space="0"/>
              <w:left w:val="nil"/>
              <w:bottom w:val="nil"/>
              <w:right w:val="nil"/>
            </w:tcBorders>
            <w:vAlign w:val="center"/>
          </w:tcPr>
          <w:p w14:paraId="5BB36B8E">
            <w:pPr>
              <w:ind w:firstLine="0" w:firstLineChars="0"/>
              <w:jc w:val="center"/>
            </w:pPr>
            <w:r>
              <w:rPr>
                <w:rFonts w:hint="eastAsia"/>
              </w:rPr>
              <w:t>667</w:t>
            </w:r>
          </w:p>
        </w:tc>
        <w:tc>
          <w:tcPr>
            <w:tcW w:w="1089" w:type="dxa"/>
            <w:tcBorders>
              <w:top w:val="single" w:color="auto" w:sz="8" w:space="0"/>
              <w:left w:val="nil"/>
              <w:bottom w:val="nil"/>
              <w:right w:val="nil"/>
            </w:tcBorders>
            <w:vAlign w:val="center"/>
          </w:tcPr>
          <w:p w14:paraId="0D320227">
            <w:pPr>
              <w:ind w:firstLine="0" w:firstLineChars="0"/>
              <w:jc w:val="center"/>
            </w:pPr>
            <w:r>
              <w:rPr>
                <w:rFonts w:hint="eastAsia"/>
              </w:rPr>
              <w:t>回归</w:t>
            </w:r>
          </w:p>
        </w:tc>
        <w:tc>
          <w:tcPr>
            <w:tcW w:w="1122" w:type="dxa"/>
            <w:tcBorders>
              <w:top w:val="single" w:color="auto" w:sz="8" w:space="0"/>
              <w:left w:val="nil"/>
              <w:bottom w:val="nil"/>
              <w:right w:val="nil"/>
            </w:tcBorders>
            <w:vAlign w:val="center"/>
          </w:tcPr>
          <w:p w14:paraId="5289444B">
            <w:pPr>
              <w:ind w:firstLine="0" w:firstLineChars="0"/>
              <w:jc w:val="center"/>
            </w:pPr>
            <w:r>
              <w:t>Spearman</w:t>
            </w:r>
          </w:p>
        </w:tc>
        <w:tc>
          <w:tcPr>
            <w:tcW w:w="1344" w:type="dxa"/>
            <w:tcBorders>
              <w:top w:val="single" w:color="auto" w:sz="8" w:space="0"/>
              <w:left w:val="nil"/>
              <w:bottom w:val="nil"/>
              <w:right w:val="nil"/>
            </w:tcBorders>
            <w:vAlign w:val="center"/>
          </w:tcPr>
          <w:p w14:paraId="770DDEF0">
            <w:pPr>
              <w:ind w:firstLine="0" w:firstLineChars="0"/>
              <w:jc w:val="center"/>
            </w:pPr>
            <w:r>
              <w:t>Scaffold</w:t>
            </w:r>
          </w:p>
        </w:tc>
      </w:tr>
      <w:tr w14:paraId="68F6AD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27" w:type="dxa"/>
            <w:vMerge w:val="continue"/>
            <w:tcBorders>
              <w:top w:val="nil"/>
              <w:left w:val="nil"/>
              <w:bottom w:val="nil"/>
              <w:right w:val="nil"/>
            </w:tcBorders>
            <w:vAlign w:val="center"/>
          </w:tcPr>
          <w:p w14:paraId="18E5DC40">
            <w:pPr>
              <w:ind w:firstLine="0" w:firstLineChars="0"/>
              <w:jc w:val="center"/>
            </w:pPr>
          </w:p>
        </w:tc>
        <w:tc>
          <w:tcPr>
            <w:tcW w:w="1966" w:type="dxa"/>
            <w:tcBorders>
              <w:top w:val="nil"/>
              <w:left w:val="nil"/>
              <w:bottom w:val="nil"/>
              <w:right w:val="nil"/>
            </w:tcBorders>
            <w:vAlign w:val="center"/>
          </w:tcPr>
          <w:p w14:paraId="453F48A2">
            <w:pPr>
              <w:ind w:firstLine="0" w:firstLineChars="0"/>
              <w:jc w:val="center"/>
            </w:pPr>
            <w:r>
              <w:rPr>
                <w:rFonts w:hint="eastAsia"/>
              </w:rPr>
              <w:t>CL-Hepa</w:t>
            </w:r>
          </w:p>
        </w:tc>
        <w:tc>
          <w:tcPr>
            <w:tcW w:w="1080" w:type="dxa"/>
            <w:tcBorders>
              <w:top w:val="nil"/>
              <w:left w:val="nil"/>
              <w:bottom w:val="nil"/>
              <w:right w:val="nil"/>
            </w:tcBorders>
            <w:vAlign w:val="center"/>
          </w:tcPr>
          <w:p w14:paraId="27D25056">
            <w:pPr>
              <w:ind w:firstLine="0" w:firstLineChars="0"/>
              <w:jc w:val="center"/>
            </w:pPr>
            <w:r>
              <w:rPr>
                <w:rFonts w:hint="eastAsia"/>
              </w:rPr>
              <w:t>1020</w:t>
            </w:r>
          </w:p>
        </w:tc>
        <w:tc>
          <w:tcPr>
            <w:tcW w:w="1089" w:type="dxa"/>
            <w:tcBorders>
              <w:top w:val="nil"/>
              <w:left w:val="nil"/>
              <w:bottom w:val="nil"/>
              <w:right w:val="nil"/>
            </w:tcBorders>
            <w:vAlign w:val="center"/>
          </w:tcPr>
          <w:p w14:paraId="4A60B2C8">
            <w:pPr>
              <w:ind w:firstLine="0" w:firstLineChars="0"/>
              <w:jc w:val="center"/>
            </w:pPr>
            <w:r>
              <w:rPr>
                <w:rFonts w:hint="eastAsia"/>
              </w:rPr>
              <w:t>回归</w:t>
            </w:r>
          </w:p>
        </w:tc>
        <w:tc>
          <w:tcPr>
            <w:tcW w:w="1122" w:type="dxa"/>
            <w:tcBorders>
              <w:top w:val="nil"/>
              <w:left w:val="nil"/>
              <w:bottom w:val="nil"/>
              <w:right w:val="nil"/>
            </w:tcBorders>
            <w:vAlign w:val="center"/>
          </w:tcPr>
          <w:p w14:paraId="7AB77DB1">
            <w:pPr>
              <w:ind w:firstLine="0" w:firstLineChars="0"/>
              <w:jc w:val="center"/>
            </w:pPr>
            <w:r>
              <w:t>Spearman</w:t>
            </w:r>
          </w:p>
        </w:tc>
        <w:tc>
          <w:tcPr>
            <w:tcW w:w="1344" w:type="dxa"/>
            <w:tcBorders>
              <w:top w:val="nil"/>
              <w:left w:val="nil"/>
              <w:bottom w:val="nil"/>
              <w:right w:val="nil"/>
            </w:tcBorders>
            <w:vAlign w:val="center"/>
          </w:tcPr>
          <w:p w14:paraId="6C5DE3BD">
            <w:pPr>
              <w:ind w:firstLine="0" w:firstLineChars="0"/>
              <w:jc w:val="center"/>
            </w:pPr>
            <w:r>
              <w:t>Scaffold</w:t>
            </w:r>
          </w:p>
        </w:tc>
      </w:tr>
      <w:tr w14:paraId="5A4768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27" w:type="dxa"/>
            <w:vMerge w:val="continue"/>
            <w:tcBorders>
              <w:top w:val="nil"/>
              <w:left w:val="nil"/>
              <w:bottom w:val="single" w:color="auto" w:sz="8" w:space="0"/>
              <w:right w:val="nil"/>
            </w:tcBorders>
            <w:vAlign w:val="center"/>
          </w:tcPr>
          <w:p w14:paraId="5A7DA524">
            <w:pPr>
              <w:ind w:firstLine="0" w:firstLineChars="0"/>
              <w:jc w:val="center"/>
            </w:pPr>
          </w:p>
        </w:tc>
        <w:tc>
          <w:tcPr>
            <w:tcW w:w="1966" w:type="dxa"/>
            <w:tcBorders>
              <w:top w:val="nil"/>
              <w:left w:val="nil"/>
              <w:bottom w:val="single" w:color="auto" w:sz="8" w:space="0"/>
              <w:right w:val="nil"/>
            </w:tcBorders>
            <w:vAlign w:val="center"/>
          </w:tcPr>
          <w:p w14:paraId="213534F1">
            <w:pPr>
              <w:ind w:firstLine="0" w:firstLineChars="0"/>
              <w:jc w:val="center"/>
            </w:pPr>
            <w:r>
              <w:rPr>
                <w:rFonts w:hint="eastAsia"/>
              </w:rPr>
              <w:t>CL-Micro</w:t>
            </w:r>
          </w:p>
        </w:tc>
        <w:tc>
          <w:tcPr>
            <w:tcW w:w="1080" w:type="dxa"/>
            <w:tcBorders>
              <w:top w:val="nil"/>
              <w:left w:val="nil"/>
              <w:bottom w:val="single" w:color="auto" w:sz="8" w:space="0"/>
              <w:right w:val="nil"/>
            </w:tcBorders>
            <w:vAlign w:val="center"/>
          </w:tcPr>
          <w:p w14:paraId="113CB362">
            <w:pPr>
              <w:ind w:firstLine="0" w:firstLineChars="0"/>
              <w:jc w:val="center"/>
            </w:pPr>
            <w:r>
              <w:rPr>
                <w:rFonts w:hint="eastAsia"/>
              </w:rPr>
              <w:t>1102</w:t>
            </w:r>
          </w:p>
        </w:tc>
        <w:tc>
          <w:tcPr>
            <w:tcW w:w="1089" w:type="dxa"/>
            <w:tcBorders>
              <w:top w:val="nil"/>
              <w:left w:val="nil"/>
              <w:bottom w:val="single" w:color="auto" w:sz="8" w:space="0"/>
              <w:right w:val="nil"/>
            </w:tcBorders>
            <w:vAlign w:val="center"/>
          </w:tcPr>
          <w:p w14:paraId="60BA620F">
            <w:pPr>
              <w:ind w:firstLine="0" w:firstLineChars="0"/>
              <w:jc w:val="center"/>
            </w:pPr>
            <w:r>
              <w:rPr>
                <w:rFonts w:hint="eastAsia"/>
              </w:rPr>
              <w:t>回归</w:t>
            </w:r>
          </w:p>
        </w:tc>
        <w:tc>
          <w:tcPr>
            <w:tcW w:w="1122" w:type="dxa"/>
            <w:tcBorders>
              <w:top w:val="nil"/>
              <w:left w:val="nil"/>
              <w:bottom w:val="single" w:color="auto" w:sz="8" w:space="0"/>
              <w:right w:val="nil"/>
            </w:tcBorders>
            <w:vAlign w:val="center"/>
          </w:tcPr>
          <w:p w14:paraId="6950C0C6">
            <w:pPr>
              <w:ind w:firstLine="0" w:firstLineChars="0"/>
              <w:jc w:val="center"/>
            </w:pPr>
            <w:r>
              <w:t>Spearman</w:t>
            </w:r>
          </w:p>
        </w:tc>
        <w:tc>
          <w:tcPr>
            <w:tcW w:w="1344" w:type="dxa"/>
            <w:tcBorders>
              <w:top w:val="nil"/>
              <w:left w:val="nil"/>
              <w:bottom w:val="single" w:color="auto" w:sz="8" w:space="0"/>
              <w:right w:val="nil"/>
            </w:tcBorders>
            <w:vAlign w:val="center"/>
          </w:tcPr>
          <w:p w14:paraId="5A005846">
            <w:pPr>
              <w:ind w:firstLine="0" w:firstLineChars="0"/>
              <w:jc w:val="center"/>
            </w:pPr>
            <w:r>
              <w:t>Scaffold</w:t>
            </w:r>
          </w:p>
        </w:tc>
      </w:tr>
      <w:tr w14:paraId="59CF84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27" w:type="dxa"/>
            <w:vMerge w:val="restart"/>
            <w:tcBorders>
              <w:top w:val="single" w:color="auto" w:sz="8" w:space="0"/>
              <w:left w:val="nil"/>
              <w:bottom w:val="nil"/>
              <w:right w:val="nil"/>
            </w:tcBorders>
            <w:vAlign w:val="center"/>
          </w:tcPr>
          <w:p w14:paraId="0078F08C">
            <w:pPr>
              <w:ind w:firstLine="0" w:firstLineChars="0"/>
              <w:jc w:val="center"/>
            </w:pPr>
            <w:r>
              <w:rPr>
                <w:rFonts w:hint="eastAsia"/>
              </w:rPr>
              <w:t>毒性</w:t>
            </w:r>
          </w:p>
        </w:tc>
        <w:tc>
          <w:tcPr>
            <w:tcW w:w="1966" w:type="dxa"/>
            <w:tcBorders>
              <w:top w:val="single" w:color="auto" w:sz="8" w:space="0"/>
              <w:left w:val="nil"/>
              <w:bottom w:val="nil"/>
              <w:right w:val="nil"/>
            </w:tcBorders>
            <w:vAlign w:val="center"/>
          </w:tcPr>
          <w:p w14:paraId="3AB0E288">
            <w:pPr>
              <w:ind w:firstLine="0" w:firstLineChars="0"/>
              <w:jc w:val="center"/>
            </w:pPr>
            <w:r>
              <w:rPr>
                <w:rFonts w:hint="eastAsia"/>
              </w:rPr>
              <w:t>LD50</w:t>
            </w:r>
          </w:p>
        </w:tc>
        <w:tc>
          <w:tcPr>
            <w:tcW w:w="1080" w:type="dxa"/>
            <w:tcBorders>
              <w:top w:val="single" w:color="auto" w:sz="8" w:space="0"/>
              <w:left w:val="nil"/>
              <w:bottom w:val="nil"/>
              <w:right w:val="nil"/>
            </w:tcBorders>
            <w:vAlign w:val="center"/>
          </w:tcPr>
          <w:p w14:paraId="2EEF53AD">
            <w:pPr>
              <w:ind w:firstLine="0" w:firstLineChars="0"/>
              <w:jc w:val="center"/>
            </w:pPr>
            <w:r>
              <w:rPr>
                <w:rFonts w:hint="eastAsia"/>
              </w:rPr>
              <w:t>7385</w:t>
            </w:r>
          </w:p>
        </w:tc>
        <w:tc>
          <w:tcPr>
            <w:tcW w:w="1089" w:type="dxa"/>
            <w:tcBorders>
              <w:top w:val="single" w:color="auto" w:sz="8" w:space="0"/>
              <w:left w:val="nil"/>
              <w:bottom w:val="nil"/>
              <w:right w:val="nil"/>
            </w:tcBorders>
            <w:vAlign w:val="center"/>
          </w:tcPr>
          <w:p w14:paraId="2E69D1BD">
            <w:pPr>
              <w:ind w:firstLine="0" w:firstLineChars="0"/>
              <w:jc w:val="center"/>
            </w:pPr>
            <w:r>
              <w:rPr>
                <w:rFonts w:hint="eastAsia"/>
              </w:rPr>
              <w:t>回归</w:t>
            </w:r>
          </w:p>
        </w:tc>
        <w:tc>
          <w:tcPr>
            <w:tcW w:w="1122" w:type="dxa"/>
            <w:tcBorders>
              <w:top w:val="single" w:color="auto" w:sz="8" w:space="0"/>
              <w:left w:val="nil"/>
              <w:bottom w:val="nil"/>
              <w:right w:val="nil"/>
            </w:tcBorders>
            <w:vAlign w:val="center"/>
          </w:tcPr>
          <w:p w14:paraId="2CA01AD9">
            <w:pPr>
              <w:ind w:firstLine="0" w:firstLineChars="0"/>
              <w:jc w:val="center"/>
            </w:pPr>
            <w:r>
              <w:t>MAE</w:t>
            </w:r>
          </w:p>
        </w:tc>
        <w:tc>
          <w:tcPr>
            <w:tcW w:w="1344" w:type="dxa"/>
            <w:tcBorders>
              <w:top w:val="single" w:color="auto" w:sz="8" w:space="0"/>
              <w:left w:val="nil"/>
              <w:bottom w:val="nil"/>
              <w:right w:val="nil"/>
            </w:tcBorders>
            <w:vAlign w:val="center"/>
          </w:tcPr>
          <w:p w14:paraId="1532D2D9">
            <w:pPr>
              <w:ind w:firstLine="0" w:firstLineChars="0"/>
              <w:jc w:val="center"/>
            </w:pPr>
            <w:r>
              <w:t>Scaffold</w:t>
            </w:r>
          </w:p>
        </w:tc>
      </w:tr>
      <w:tr w14:paraId="45633F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27" w:type="dxa"/>
            <w:vMerge w:val="continue"/>
            <w:tcBorders>
              <w:top w:val="nil"/>
              <w:left w:val="nil"/>
              <w:bottom w:val="nil"/>
              <w:right w:val="nil"/>
            </w:tcBorders>
            <w:vAlign w:val="center"/>
          </w:tcPr>
          <w:p w14:paraId="09175EC1">
            <w:pPr>
              <w:ind w:firstLine="0" w:firstLineChars="0"/>
              <w:jc w:val="center"/>
            </w:pPr>
          </w:p>
        </w:tc>
        <w:tc>
          <w:tcPr>
            <w:tcW w:w="1966" w:type="dxa"/>
            <w:tcBorders>
              <w:top w:val="nil"/>
              <w:left w:val="nil"/>
              <w:bottom w:val="nil"/>
              <w:right w:val="nil"/>
            </w:tcBorders>
            <w:vAlign w:val="center"/>
          </w:tcPr>
          <w:p w14:paraId="609AC4D7">
            <w:pPr>
              <w:ind w:firstLine="0" w:firstLineChars="0"/>
              <w:jc w:val="center"/>
            </w:pPr>
            <w:r>
              <w:rPr>
                <w:rFonts w:hint="eastAsia"/>
              </w:rPr>
              <w:t>hERG</w:t>
            </w:r>
          </w:p>
        </w:tc>
        <w:tc>
          <w:tcPr>
            <w:tcW w:w="1080" w:type="dxa"/>
            <w:tcBorders>
              <w:top w:val="nil"/>
              <w:left w:val="nil"/>
              <w:bottom w:val="nil"/>
              <w:right w:val="nil"/>
            </w:tcBorders>
            <w:vAlign w:val="center"/>
          </w:tcPr>
          <w:p w14:paraId="2C7E44D2">
            <w:pPr>
              <w:ind w:firstLine="0" w:firstLineChars="0"/>
              <w:jc w:val="center"/>
            </w:pPr>
            <w:r>
              <w:rPr>
                <w:rFonts w:hint="eastAsia"/>
              </w:rPr>
              <w:t>648</w:t>
            </w:r>
          </w:p>
        </w:tc>
        <w:tc>
          <w:tcPr>
            <w:tcW w:w="1089" w:type="dxa"/>
            <w:tcBorders>
              <w:top w:val="nil"/>
              <w:left w:val="nil"/>
              <w:bottom w:val="nil"/>
              <w:right w:val="nil"/>
            </w:tcBorders>
            <w:vAlign w:val="center"/>
          </w:tcPr>
          <w:p w14:paraId="03230888">
            <w:pPr>
              <w:ind w:firstLine="0" w:firstLineChars="0"/>
              <w:jc w:val="center"/>
            </w:pPr>
            <w:r>
              <w:rPr>
                <w:rFonts w:hint="eastAsia"/>
              </w:rPr>
              <w:t>分类</w:t>
            </w:r>
          </w:p>
        </w:tc>
        <w:tc>
          <w:tcPr>
            <w:tcW w:w="1122" w:type="dxa"/>
            <w:tcBorders>
              <w:top w:val="nil"/>
              <w:left w:val="nil"/>
              <w:bottom w:val="nil"/>
              <w:right w:val="nil"/>
            </w:tcBorders>
            <w:vAlign w:val="center"/>
          </w:tcPr>
          <w:p w14:paraId="720AED85">
            <w:pPr>
              <w:ind w:firstLine="0" w:firstLineChars="0"/>
              <w:jc w:val="center"/>
            </w:pPr>
            <w:r>
              <w:t>AUROC</w:t>
            </w:r>
          </w:p>
        </w:tc>
        <w:tc>
          <w:tcPr>
            <w:tcW w:w="1344" w:type="dxa"/>
            <w:tcBorders>
              <w:top w:val="nil"/>
              <w:left w:val="nil"/>
              <w:bottom w:val="nil"/>
              <w:right w:val="nil"/>
            </w:tcBorders>
            <w:vAlign w:val="center"/>
          </w:tcPr>
          <w:p w14:paraId="2846F64A">
            <w:pPr>
              <w:ind w:firstLine="0" w:firstLineChars="0"/>
              <w:jc w:val="center"/>
            </w:pPr>
            <w:r>
              <w:t>Scaffold</w:t>
            </w:r>
          </w:p>
        </w:tc>
      </w:tr>
      <w:tr w14:paraId="09A1A1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27" w:type="dxa"/>
            <w:vMerge w:val="continue"/>
            <w:tcBorders>
              <w:top w:val="nil"/>
              <w:left w:val="nil"/>
              <w:bottom w:val="nil"/>
              <w:right w:val="nil"/>
            </w:tcBorders>
            <w:vAlign w:val="center"/>
          </w:tcPr>
          <w:p w14:paraId="0B90FABF">
            <w:pPr>
              <w:ind w:firstLine="0" w:firstLineChars="0"/>
              <w:jc w:val="center"/>
            </w:pPr>
          </w:p>
        </w:tc>
        <w:tc>
          <w:tcPr>
            <w:tcW w:w="1966" w:type="dxa"/>
            <w:tcBorders>
              <w:top w:val="nil"/>
              <w:left w:val="nil"/>
              <w:bottom w:val="nil"/>
              <w:right w:val="nil"/>
            </w:tcBorders>
            <w:vAlign w:val="center"/>
          </w:tcPr>
          <w:p w14:paraId="53F036FF">
            <w:pPr>
              <w:ind w:firstLine="0" w:firstLineChars="0"/>
              <w:jc w:val="center"/>
            </w:pPr>
            <w:r>
              <w:rPr>
                <w:rFonts w:hint="eastAsia"/>
              </w:rPr>
              <w:t>Ames</w:t>
            </w:r>
          </w:p>
        </w:tc>
        <w:tc>
          <w:tcPr>
            <w:tcW w:w="1080" w:type="dxa"/>
            <w:tcBorders>
              <w:top w:val="nil"/>
              <w:left w:val="nil"/>
              <w:bottom w:val="nil"/>
              <w:right w:val="nil"/>
            </w:tcBorders>
            <w:vAlign w:val="center"/>
          </w:tcPr>
          <w:p w14:paraId="417AA4A9">
            <w:pPr>
              <w:ind w:firstLine="0" w:firstLineChars="0"/>
              <w:jc w:val="center"/>
            </w:pPr>
            <w:r>
              <w:rPr>
                <w:rFonts w:hint="eastAsia"/>
              </w:rPr>
              <w:t>7255</w:t>
            </w:r>
          </w:p>
        </w:tc>
        <w:tc>
          <w:tcPr>
            <w:tcW w:w="1089" w:type="dxa"/>
            <w:tcBorders>
              <w:top w:val="nil"/>
              <w:left w:val="nil"/>
              <w:bottom w:val="nil"/>
              <w:right w:val="nil"/>
            </w:tcBorders>
            <w:vAlign w:val="center"/>
          </w:tcPr>
          <w:p w14:paraId="190BC0F0">
            <w:pPr>
              <w:ind w:firstLine="0" w:firstLineChars="0"/>
              <w:jc w:val="center"/>
            </w:pPr>
            <w:r>
              <w:rPr>
                <w:rFonts w:hint="eastAsia"/>
              </w:rPr>
              <w:t>分类</w:t>
            </w:r>
          </w:p>
        </w:tc>
        <w:tc>
          <w:tcPr>
            <w:tcW w:w="1122" w:type="dxa"/>
            <w:tcBorders>
              <w:top w:val="nil"/>
              <w:left w:val="nil"/>
              <w:bottom w:val="nil"/>
              <w:right w:val="nil"/>
            </w:tcBorders>
            <w:vAlign w:val="center"/>
          </w:tcPr>
          <w:p w14:paraId="72F56CFC">
            <w:pPr>
              <w:ind w:firstLine="0" w:firstLineChars="0"/>
              <w:jc w:val="center"/>
            </w:pPr>
            <w:r>
              <w:t>AUROC</w:t>
            </w:r>
          </w:p>
        </w:tc>
        <w:tc>
          <w:tcPr>
            <w:tcW w:w="1344" w:type="dxa"/>
            <w:tcBorders>
              <w:top w:val="nil"/>
              <w:left w:val="nil"/>
              <w:bottom w:val="nil"/>
              <w:right w:val="nil"/>
            </w:tcBorders>
            <w:vAlign w:val="center"/>
          </w:tcPr>
          <w:p w14:paraId="4C62E96C">
            <w:pPr>
              <w:ind w:firstLine="0" w:firstLineChars="0"/>
              <w:jc w:val="center"/>
            </w:pPr>
            <w:r>
              <w:t>Scaffold</w:t>
            </w:r>
          </w:p>
        </w:tc>
      </w:tr>
      <w:tr w14:paraId="070A33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27" w:type="dxa"/>
            <w:vMerge w:val="continue"/>
            <w:tcBorders>
              <w:top w:val="nil"/>
              <w:left w:val="nil"/>
              <w:bottom w:val="single" w:color="auto" w:sz="12" w:space="0"/>
              <w:right w:val="nil"/>
            </w:tcBorders>
            <w:vAlign w:val="center"/>
          </w:tcPr>
          <w:p w14:paraId="18ABB714">
            <w:pPr>
              <w:ind w:firstLine="0" w:firstLineChars="0"/>
              <w:jc w:val="center"/>
            </w:pPr>
          </w:p>
        </w:tc>
        <w:tc>
          <w:tcPr>
            <w:tcW w:w="1966" w:type="dxa"/>
            <w:tcBorders>
              <w:top w:val="nil"/>
              <w:left w:val="nil"/>
              <w:bottom w:val="single" w:color="auto" w:sz="12" w:space="0"/>
              <w:right w:val="nil"/>
            </w:tcBorders>
            <w:vAlign w:val="center"/>
          </w:tcPr>
          <w:p w14:paraId="0E9B47D2">
            <w:pPr>
              <w:ind w:firstLine="0" w:firstLineChars="0"/>
              <w:jc w:val="center"/>
            </w:pPr>
            <w:r>
              <w:rPr>
                <w:rFonts w:hint="eastAsia"/>
              </w:rPr>
              <w:t>DILI</w:t>
            </w:r>
          </w:p>
        </w:tc>
        <w:tc>
          <w:tcPr>
            <w:tcW w:w="1080" w:type="dxa"/>
            <w:tcBorders>
              <w:top w:val="nil"/>
              <w:left w:val="nil"/>
              <w:bottom w:val="single" w:color="auto" w:sz="12" w:space="0"/>
              <w:right w:val="nil"/>
            </w:tcBorders>
            <w:vAlign w:val="center"/>
          </w:tcPr>
          <w:p w14:paraId="761EF6B0">
            <w:pPr>
              <w:ind w:firstLine="0" w:firstLineChars="0"/>
              <w:jc w:val="center"/>
            </w:pPr>
            <w:r>
              <w:rPr>
                <w:rFonts w:hint="eastAsia"/>
              </w:rPr>
              <w:t>475</w:t>
            </w:r>
          </w:p>
        </w:tc>
        <w:tc>
          <w:tcPr>
            <w:tcW w:w="1089" w:type="dxa"/>
            <w:tcBorders>
              <w:top w:val="nil"/>
              <w:left w:val="nil"/>
              <w:bottom w:val="single" w:color="auto" w:sz="12" w:space="0"/>
              <w:right w:val="nil"/>
            </w:tcBorders>
            <w:vAlign w:val="center"/>
          </w:tcPr>
          <w:p w14:paraId="1CEAAF02">
            <w:pPr>
              <w:ind w:firstLine="0" w:firstLineChars="0"/>
              <w:jc w:val="center"/>
            </w:pPr>
            <w:r>
              <w:rPr>
                <w:rFonts w:hint="eastAsia"/>
              </w:rPr>
              <w:t>分类</w:t>
            </w:r>
          </w:p>
        </w:tc>
        <w:tc>
          <w:tcPr>
            <w:tcW w:w="1122" w:type="dxa"/>
            <w:tcBorders>
              <w:top w:val="nil"/>
              <w:left w:val="nil"/>
              <w:bottom w:val="single" w:color="auto" w:sz="12" w:space="0"/>
              <w:right w:val="nil"/>
            </w:tcBorders>
            <w:vAlign w:val="center"/>
          </w:tcPr>
          <w:p w14:paraId="724896F2">
            <w:pPr>
              <w:ind w:firstLine="0" w:firstLineChars="0"/>
              <w:jc w:val="center"/>
            </w:pPr>
            <w:r>
              <w:t>AUROC</w:t>
            </w:r>
          </w:p>
        </w:tc>
        <w:tc>
          <w:tcPr>
            <w:tcW w:w="1344" w:type="dxa"/>
            <w:tcBorders>
              <w:top w:val="nil"/>
              <w:left w:val="nil"/>
              <w:bottom w:val="single" w:color="auto" w:sz="12" w:space="0"/>
              <w:right w:val="nil"/>
            </w:tcBorders>
            <w:vAlign w:val="center"/>
          </w:tcPr>
          <w:p w14:paraId="65D3BD18">
            <w:pPr>
              <w:ind w:firstLine="0" w:firstLineChars="0"/>
              <w:jc w:val="center"/>
            </w:pPr>
            <w:r>
              <w:t>Scaffold</w:t>
            </w:r>
          </w:p>
        </w:tc>
      </w:tr>
    </w:tbl>
    <w:p w14:paraId="2D5C65C1">
      <w:pPr>
        <w:ind w:firstLine="0" w:firstLineChars="0"/>
      </w:pPr>
      <w:r>
        <w:t>1. 吸收</w:t>
      </w:r>
    </w:p>
    <w:p w14:paraId="4CB8789A">
      <w:pPr>
        <w:ind w:firstLine="0" w:firstLineChars="0"/>
      </w:pPr>
      <w:r>
        <w:t>Caco-2：衡量药物在人结肠癌细胞系中的渗透系数，是模拟人体肠道吸收能力的体外黄金标准，用于精准预测口服药物的吸收效率。</w:t>
      </w:r>
    </w:p>
    <w:p w14:paraId="5BF77D77">
      <w:pPr>
        <w:ind w:firstLine="0" w:firstLineChars="0"/>
      </w:pPr>
      <w:r>
        <w:t>HIA：量化药物经由肠道上皮细胞进入血液循环的比例，是评估口服药物能否被人体有效吸收的核心前置指标。</w:t>
      </w:r>
    </w:p>
    <w:p w14:paraId="4095300C">
      <w:pPr>
        <w:ind w:firstLine="0" w:firstLineChars="0"/>
      </w:pPr>
      <w:r>
        <w:t>Pgp：预测分子是否为 P-糖蛋白的底物或抑制剂。该蛋白能将药物泵出细胞，直接影响药物的吸收效率与多药耐药性产生。</w:t>
      </w:r>
    </w:p>
    <w:p w14:paraId="366112D4">
      <w:pPr>
        <w:ind w:firstLine="0" w:firstLineChars="0"/>
      </w:pPr>
      <w:r>
        <w:t>Bioav：预测药物进入体循环的比例，反映了吸收过程和肝脏首过效应的综合结果，是决定临床给药剂量的重要参数。</w:t>
      </w:r>
    </w:p>
    <w:p w14:paraId="451C1A05">
      <w:pPr>
        <w:ind w:firstLine="0" w:firstLineChars="0"/>
      </w:pPr>
      <w:r>
        <w:t>Lipo：记录分子的辛醇-水分配系数（LogD），用于评估药物的亲脂性。该性质直接决定了药物穿透细胞膜及生物屏障的能力。</w:t>
      </w:r>
    </w:p>
    <w:p w14:paraId="621F04D6">
      <w:pPr>
        <w:ind w:firstLine="0" w:firstLineChars="0"/>
      </w:pPr>
      <w:r>
        <w:t>2. 分布</w:t>
      </w:r>
    </w:p>
    <w:p w14:paraId="5B096978">
      <w:pPr>
        <w:ind w:firstLine="0" w:firstLineChars="0"/>
      </w:pPr>
      <w:r>
        <w:t>BBB：判断分子能否穿透血脑屏障进入中枢神经系统。这对开发脑部疾病药物至关重要，同时也用于规避非脑部药物的中枢副作用。</w:t>
      </w:r>
    </w:p>
    <w:p w14:paraId="132017BC">
      <w:pPr>
        <w:ind w:firstLine="0" w:firstLineChars="0"/>
      </w:pPr>
      <w:r>
        <w:t>PPBR：预测药物与血浆蛋白的结合率。结合率过高会限制血液中游离药物的浓度，进而影响药效发挥与向组织的分布。</w:t>
      </w:r>
    </w:p>
    <w:p w14:paraId="513B336E">
      <w:pPr>
        <w:ind w:firstLine="0" w:firstLineChars="0"/>
      </w:pPr>
      <w:r>
        <w:t>VDss：衡量药物在体内的理论稳态分布容积，反映药物在组织与血浆间的分布倾向，是指导临床给药间隔设计的关键参数。</w:t>
      </w:r>
    </w:p>
    <w:p w14:paraId="6730DC46">
      <w:pPr>
        <w:ind w:firstLine="0" w:firstLineChars="0"/>
      </w:pPr>
      <w:r>
        <w:t>3. 代谢</w:t>
      </w:r>
    </w:p>
    <w:p w14:paraId="587F570C">
      <w:pPr>
        <w:ind w:firstLine="0" w:firstLineChars="0"/>
      </w:pPr>
      <w:r>
        <w:t>CYP2C9 Inhibition：预测分子是否抑制 CYP2C9 酶。该酶代谢约 15% 的临床药物，其抑制作用会导致底物药物血药浓度异常升高，引发严重出血等不良反应。</w:t>
      </w:r>
    </w:p>
    <w:p w14:paraId="283B5D99">
      <w:pPr>
        <w:ind w:firstLine="0" w:firstLineChars="0"/>
      </w:pPr>
      <w:r>
        <w:t>CYP2D6 Inhibition：预测分子对 CYP2D6 酶的抑制潜力。该酶涉及约 25% 药物的代谢，其抑制可能导致显著的药物相互作用，影响联合用药的安全性。</w:t>
      </w:r>
    </w:p>
    <w:p w14:paraId="08828230">
      <w:pPr>
        <w:ind w:firstLine="0" w:firstLineChars="0"/>
      </w:pPr>
      <w:r>
        <w:t>CYP3A4 Inhibition：判断分子是否抑制人体含量最丰富的 CYP3A4 酶。由于该酶代谢近半数临床药物，其强抑制剂极易引发灾难性的药物蓄积中毒，是 DDI 筛查的重中之重。</w:t>
      </w:r>
    </w:p>
    <w:p w14:paraId="11C9297B">
      <w:pPr>
        <w:ind w:firstLine="0" w:firstLineChars="0"/>
      </w:pPr>
      <w:r>
        <w:t>CYP2C9 Substrate：预测分子是否为 CYP2C9 酶的底物。识别该代谢途径有助于预测药物在不同基因型人群中的清除速率差异，对优化酸性药物的药代动力学至关重要。</w:t>
      </w:r>
    </w:p>
    <w:p w14:paraId="6D491671">
      <w:pPr>
        <w:ind w:firstLine="0" w:firstLineChars="0"/>
      </w:pPr>
      <w:r>
        <w:t>CYP2D6 Substrate：判断分子是否主要通过 CYP2D6 途径清除。该酶存在显著的遗传多态性，确定其底物属性对于预测药物在“快/慢代谢者”体内的暴露量差异具有指导意义。</w:t>
      </w:r>
    </w:p>
    <w:p w14:paraId="27EEE730">
      <w:pPr>
        <w:ind w:firstLine="0" w:firstLineChars="0"/>
      </w:pPr>
      <w:r>
        <w:t>CYP3A4 Substrate：预测分子是否被 CYP3A4 酶代谢。作为肝脏首过效应的主要执行者，确认底物属性有助于评估药物的口服生物利用度及受代谢诱导剂影响的敏感性。</w:t>
      </w:r>
    </w:p>
    <w:p w14:paraId="1327D2EA">
      <w:pPr>
        <w:ind w:firstLine="0" w:firstLineChars="0"/>
      </w:pPr>
      <w:r>
        <w:t>4. 排泄</w:t>
      </w:r>
    </w:p>
    <w:p w14:paraId="79D31081">
      <w:pPr>
        <w:ind w:firstLine="0" w:firstLineChars="0"/>
      </w:pPr>
      <w:r>
        <w:t>Half Life：预测药物在体内的消除半衰期，即血药浓度降低一半所需时间。它是描述药物在体内驻留时长的核心药代动力学参数。</w:t>
      </w:r>
    </w:p>
    <w:p w14:paraId="312D193A">
      <w:pPr>
        <w:ind w:firstLine="0" w:firstLineChars="0"/>
      </w:pPr>
      <w:r>
        <w:t>CL-Hepa：测量药物在肝细胞中的清除率，反映肝脏整体对药物的代谢清除能力，是评估药物肝脏代谢稳定性的体外模型。</w:t>
      </w:r>
    </w:p>
    <w:p w14:paraId="2A2DA35C">
      <w:pPr>
        <w:ind w:firstLine="0" w:firstLineChars="0"/>
      </w:pPr>
      <w:r>
        <w:t>CL-Micro：测量药物在肝微粒体中的内在清除率，主要反映 I 相代谢酶对药物的降解速率。</w:t>
      </w:r>
    </w:p>
    <w:p w14:paraId="33E0B95E">
      <w:pPr>
        <w:ind w:firstLine="0" w:firstLineChars="0"/>
      </w:pPr>
      <w:r>
        <w:t>5. 毒性</w:t>
      </w:r>
    </w:p>
    <w:p w14:paraId="4F3426C9">
      <w:pPr>
        <w:ind w:firstLine="0" w:firstLineChars="0"/>
      </w:pPr>
      <w:r>
        <w:t>LD50：记录导致 50% 实验动物死亡的致死剂量，用于评估化合物的急性毒性水平，是药物安全性评价中不可逾越的基础红线。</w:t>
      </w:r>
    </w:p>
    <w:p w14:paraId="1EC0CC7B">
      <w:pPr>
        <w:ind w:firstLine="0" w:firstLineChars="0"/>
      </w:pPr>
      <w:r>
        <w:t>hERG：预测分子对钾离子通道的阻滞作用。该通道阻塞会导致长 QT 综合征等致死性心律失常，是心脏毒性评估中最关键的指标。</w:t>
      </w:r>
    </w:p>
    <w:p w14:paraId="65714DE4">
      <w:pPr>
        <w:ind w:firstLine="0" w:firstLineChars="0"/>
      </w:pPr>
      <w:r>
        <w:t>Ames：基于细菌回复突变实验判断分子是否具有致突变性，用于早期筛查潜在的致癌风险与遗传毒性，是临床前必做的安评项目。</w:t>
      </w:r>
    </w:p>
    <w:p w14:paraId="46C62168">
      <w:pPr>
        <w:ind w:firstLine="0" w:firstLineChars="0"/>
      </w:pPr>
      <w:r>
        <w:t>DILI：预测药物诱导的肝损伤风险。这是导致药物临床试验失败主要原因之一，</w:t>
      </w:r>
      <w:r>
        <w:rPr>
          <w:rFonts w:hint="eastAsia"/>
        </w:rPr>
        <w:t>该数据集用来预测分子是否会诱导肝损伤。</w:t>
      </w:r>
    </w:p>
    <w:p w14:paraId="39FC7D1B">
      <w:pPr>
        <w:pStyle w:val="4"/>
        <w:rPr>
          <w:rFonts w:hint="default"/>
        </w:rPr>
      </w:pPr>
      <w:r>
        <w:t>划分方式</w:t>
      </w:r>
    </w:p>
    <w:p w14:paraId="265844FC">
      <w:pPr>
        <w:ind w:firstLine="480"/>
      </w:pPr>
      <w:r>
        <w:t>为了更直观地揭示不同数据划分策略对模型泛化评估的影响，本研究选取了 PPBR_AZ（血浆蛋白结合率） 数据集作为典型案例，利用 t-SNE 降维技术将高维分子特征映射至二维平面，并采用六边形热力图对化学空间的分布密度进行了可视化对比。</w:t>
      </w:r>
      <w:r>
        <w:rPr>
          <w:rFonts w:hint="eastAsia"/>
        </w:rPr>
        <w:t>如图XXX所示，</w:t>
      </w:r>
      <w:r>
        <w:t>图中每个六边形单元的颜色映射了该区域内测试集样本的占比：深绿色代表该区域完全由训练集样本占据，而红色则代表该区域完全由测试集样本占据。</w:t>
      </w:r>
    </w:p>
    <w:p w14:paraId="235B38A9">
      <w:pPr>
        <w:ind w:firstLine="480"/>
      </w:pPr>
      <w:r>
        <w:t>如图 3-X 左侧所示，在随机划分（Random Split）策略下，热力图呈现出均匀的深绿色基调，且测试集样本（浅色/红色点）呈散点状随机分布于训练集样本的包围之中。这种“均匀混合”现象表明，训练集与测试集在化学空间中共享了大量相似的分子骨架结构，模型在测试集上的预测本质上是一种插值（Interpolation）过程，极易因记忆相似结构而导致性能评估的虚高。</w:t>
      </w:r>
    </w:p>
    <w:p w14:paraId="7D997F50">
      <w:pPr>
        <w:ind w:firstLine="480"/>
      </w:pPr>
      <w:r>
        <w:t>相比之下，图 3-X 右侧的骨架划分（Scaffold Split）展现出了截然不同的分布模式。热力图呈现出显著的区域分化（Regional Differentiation）特征：部分化学空间区域呈现深绿色（训练集集中区），而部分区域则呈现鲜明的红色或橙色（测试集集中区）。这种“斑块状”分布直观地说明了训练集与测试集占据了互不重叠的化学空间区域，二者之间存在显著的结构鸿沟。这种划分方式迫使模型必须跨越已知的骨架簇，对位于全新化学空间区域的分子进行外推预测。</w:t>
      </w:r>
    </w:p>
    <w:p w14:paraId="04B60AB0">
      <w:pPr>
        <w:ind w:firstLine="480"/>
      </w:pPr>
      <w:r>
        <w:t>该可视化结果有力地证明，骨架划分有效杜绝了训练集与测试集之间的结构泄漏，构建了一个符合真实药物发现场景的域外泛化评估环境。因此，在本研究的所有后续实验中，均采用骨架划分策略，以确保对 CoT-CMP 模型泛化能力的评估客观且严谨。</w:t>
      </w:r>
    </w:p>
    <w:p w14:paraId="56C4C7B2">
      <w:pPr>
        <w:ind w:firstLine="0" w:firstLineChars="0"/>
      </w:pPr>
      <w:r>
        <w:drawing>
          <wp:inline distT="0" distB="0" distL="114300" distR="114300">
            <wp:extent cx="5267325" cy="2421890"/>
            <wp:effectExtent l="0" t="0" r="5715" b="1270"/>
            <wp:docPr id="2" name="图片 2" descr="ppbr_az_hexb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ppbr_az_hexbin"/>
                    <pic:cNvPicPr>
                      <a:picLocks noChangeAspect="1"/>
                    </pic:cNvPicPr>
                  </pic:nvPicPr>
                  <pic:blipFill>
                    <a:blip r:embed="rId8"/>
                    <a:stretch>
                      <a:fillRect/>
                    </a:stretch>
                  </pic:blipFill>
                  <pic:spPr>
                    <a:xfrm>
                      <a:off x="0" y="0"/>
                      <a:ext cx="5267325" cy="2421890"/>
                    </a:xfrm>
                    <a:prstGeom prst="rect">
                      <a:avLst/>
                    </a:prstGeom>
                  </pic:spPr>
                </pic:pic>
              </a:graphicData>
            </a:graphic>
          </wp:inline>
        </w:drawing>
      </w:r>
    </w:p>
    <w:p w14:paraId="562DD5A0">
      <w:pPr>
        <w:ind w:firstLine="0" w:firstLineChars="0"/>
        <w:rPr>
          <w:rFonts w:hint="eastAsia" w:ascii="宋体" w:hAnsi="宋体" w:cs="宋体"/>
          <w:sz w:val="16"/>
          <w:szCs w:val="16"/>
        </w:rPr>
      </w:pPr>
      <w:r>
        <w:rPr>
          <w:rFonts w:ascii="宋体" w:hAnsi="宋体" w:cs="宋体"/>
          <w:sz w:val="16"/>
          <w:szCs w:val="16"/>
        </w:rPr>
        <w:t>随机划分与骨架划分在 PPBR_AZ 数据集化学空间中的分布对比</w:t>
      </w:r>
    </w:p>
    <w:p w14:paraId="37692C6C">
      <w:pPr>
        <w:ind w:firstLine="0" w:firstLineChars="0"/>
        <w:rPr>
          <w:rFonts w:hint="eastAsia" w:ascii="宋体" w:hAnsi="宋体" w:cs="宋体"/>
        </w:rPr>
      </w:pPr>
    </w:p>
    <w:p w14:paraId="58DA0825">
      <w:pPr>
        <w:pStyle w:val="4"/>
        <w:rPr>
          <w:rFonts w:hint="default"/>
        </w:rPr>
      </w:pPr>
      <w:r>
        <w:t>实验设置</w:t>
      </w:r>
    </w:p>
    <w:p w14:paraId="3F775646">
      <w:pPr>
        <w:ind w:firstLine="480"/>
      </w:pPr>
      <w:r>
        <w:t>为了确保实验结果的可复现性与公平性，本研究基于 PyTorch 2.4.1 深度学习框架构建 CoT-CMP 模型，图神经网络相关组件依赖 PyG (PyTorch Geometric) 2.7.0 库，化学分子处理与理化性质计算使用 RDKit 2025.9.3 工具包。所有实验均在 Linux 操作系统（Ubuntu 24.04 LTS）上进行，核心计算设备为一张 NVIDIA GeForce RTX 4090 (24GB 显存) GPU，配合 Intel Core i7-12700KF CPU 与 64GB 内存，以满足大语言模型推理与图网络梯度的显存需求 。鉴于 ADMET 数据集的稀疏性，本研究摒弃了通用的预训练范式，采用“端到端直接微调”策略。在模型架构参数设置上，文本编码端采用了 LLaMA-3.1-8B-Instruct 作为主干网络，并应用低秩自适应（LoRA）技术进行轻量化微调。LoRA 的秩（Rank）设定为 $r=16$，缩放系数 $\alpha=32$，Dropout 率设为 0.05，仅对 Query 和 Value 投影矩阵进行更新，从而在冻结大部分参数（约 99%）的同时保留模型的通用推理能力。输入序列的最大长度被截断或填充至 512 Token，以适配显存限制。图编码端采用了 3 层堆叠的 CMPNN 网络，隐藏层维度设定为 300，以匹配文本表征的投影维度，并在读出层之前引入了 Batch Normalization 以加速收敛。在训练策略方面，采用 AdamW 优化器进行联合优化，权重衰减系数（Weight Decay）设为 $1 \times 10^{-4}$ 以防止过拟合。由于大模型与图网络的收敛速度存在差异，</w:t>
      </w:r>
      <w:r>
        <w:rPr>
          <w:rFonts w:hint="eastAsia"/>
        </w:rPr>
        <w:t>本文</w:t>
      </w:r>
      <w:r>
        <w:t>设计了分层学习率策略：图编码器与预测头的初始学习率设为 $1 \times 10^{-3}$，而 LLaMA 的 LoRA 模块学习率设为 $5 \times 10^{-5}$。训练过程采用余弦退火（Cosine Annealing）学习率调度器，包含 5 个 Epoch 的线性预热（Warm-up）。批次大小（Batch Size）统一设定为 32，最大训练轮次为 100 Epoch，并配合早停机制（Early Stopping），当验证集损失连续 10 个 Epoch 未下降时自动终止训练。所有实验均在 3 个不同的随机种子下重复进行，最终结果汇报为“均值 ± 标准差”的形式。</w:t>
      </w:r>
    </w:p>
    <w:p w14:paraId="6035854F">
      <w:pPr>
        <w:pStyle w:val="4"/>
        <w:rPr>
          <w:rFonts w:hint="default"/>
        </w:rPr>
      </w:pPr>
      <w:r>
        <w:t>评价指标</w:t>
      </w:r>
    </w:p>
    <w:p w14:paraId="0048054A">
      <w:pPr>
        <w:ind w:firstLine="480"/>
      </w:pPr>
      <w:r>
        <w:t xml:space="preserve"> ADMET </w:t>
      </w:r>
      <w:r>
        <w:rPr>
          <w:rFonts w:hint="eastAsia"/>
        </w:rPr>
        <w:t>基准数据组涵盖了分类和回归两类任务，针对不同的任务类型采用不同的评价指标。在分类任务中使用了</w:t>
      </w:r>
      <w:r>
        <w:t>AUROC</w:t>
      </w:r>
      <w:r>
        <w:rPr>
          <w:rFonts w:hint="eastAsia"/>
        </w:rPr>
        <w:t>和</w:t>
      </w:r>
      <w:r>
        <w:t>AUPRC</w:t>
      </w:r>
      <w:r>
        <w:rPr>
          <w:rFonts w:hint="eastAsia"/>
        </w:rPr>
        <w:t>作为评价标准，在回归任务中使用了</w:t>
      </w:r>
      <w:r>
        <w:t>MAE</w:t>
      </w:r>
      <w:r>
        <w:rPr>
          <w:rFonts w:hint="eastAsia"/>
        </w:rPr>
        <w:t>和</w:t>
      </w:r>
      <w:r>
        <w:t>Spearman</w:t>
      </w:r>
      <w:r>
        <w:rPr>
          <w:rFonts w:hint="eastAsia"/>
        </w:rPr>
        <w:t>作为评价标准。各个指标的具体介绍如下：</w:t>
      </w:r>
    </w:p>
    <w:p w14:paraId="65FF9656">
      <w:pPr>
        <w:ind w:firstLine="480"/>
      </w:pPr>
      <w:r>
        <w:t>AUROC</w:t>
      </w:r>
      <w:r>
        <w:rPr>
          <w:rFonts w:hint="eastAsia"/>
        </w:rPr>
        <w:t>：全称为</w:t>
      </w:r>
      <w:r>
        <w:t>接收者操作特征曲线下面积</w:t>
      </w:r>
      <w:r>
        <w:rPr>
          <w:rFonts w:hint="eastAsia"/>
        </w:rPr>
        <w:t>（Arae Under the Receiver Operating Characteristic Curve），适用于二分类任务，评估模型对正负样本的排序能力。具体的来说ROC是以假阳性率 (FPR) 为横坐标，真阳性率 (TPR, 即召回率) 为纵坐标绘制的一条曲线。而AUROC就是这条ROC曲线下方的积分的面积。</w:t>
      </w:r>
    </w:p>
    <w:p w14:paraId="193752C3">
      <w:pPr>
        <w:ind w:firstLine="0" w:firstLineChars="0"/>
      </w:pPr>
      <m:oMathPara>
        <m:oMath>
          <m:r>
            <m:rPr/>
            <w:rPr>
              <w:rFonts w:hint="eastAsia" w:ascii="Cambria Math" w:hAnsi="Cambria Math" w:cs="Cambria Math" w:eastAsiaTheme="minorEastAsia"/>
            </w:rPr>
            <m:t>TPR</m:t>
          </m:r>
          <m:r>
            <m:rPr>
              <m:sty m:val="p"/>
            </m:rPr>
            <w:rPr>
              <w:rFonts w:ascii="Cambria Math" w:hAnsi="Cambria Math" w:eastAsia="Cambria Math" w:cs="Cambria Math"/>
            </w:rPr>
            <m:t>=</m:t>
          </m:r>
          <m:f>
            <m:fPr>
              <m:ctrlPr>
                <w:rPr>
                  <w:rFonts w:ascii="Cambria Math" w:hAnsi="Cambria Math" w:eastAsia="Cambria Math"/>
                </w:rPr>
              </m:ctrlPr>
            </m:fPr>
            <m:num>
              <m:r>
                <m:rPr/>
                <w:rPr>
                  <w:rFonts w:hint="eastAsia" w:ascii="Cambria Math" w:hAnsi="Cambria Math" w:cs="Cambria Math" w:eastAsiaTheme="minorEastAsia"/>
                </w:rPr>
                <m:t>TP</m:t>
              </m:r>
              <m:ctrlPr>
                <w:rPr>
                  <w:rFonts w:ascii="Cambria Math" w:hAnsi="Cambria Math" w:eastAsia="Cambria Math"/>
                </w:rPr>
              </m:ctrlPr>
            </m:num>
            <m:den>
              <m:r>
                <m:rPr/>
                <w:rPr>
                  <w:rFonts w:hint="eastAsia" w:ascii="Cambria Math" w:hAnsi="Cambria Math" w:cs="Cambria Math" w:eastAsiaTheme="minorEastAsia"/>
                </w:rPr>
                <m:t>TP+FN</m:t>
              </m:r>
              <m:ctrlPr>
                <w:rPr>
                  <w:rFonts w:ascii="Cambria Math" w:hAnsi="Cambria Math" w:eastAsia="Cambria Math"/>
                </w:rPr>
              </m:ctrlPr>
            </m:den>
          </m:f>
        </m:oMath>
      </m:oMathPara>
    </w:p>
    <w:p w14:paraId="7A6ECBD1">
      <w:pPr>
        <w:ind w:firstLine="0" w:firstLineChars="0"/>
      </w:pPr>
      <m:oMathPara>
        <m:oMath>
          <m:r>
            <m:rPr/>
            <w:rPr>
              <w:rFonts w:hint="eastAsia" w:ascii="Cambria Math" w:hAnsi="Cambria Math"/>
            </w:rPr>
            <m:t>FPR=</m:t>
          </m:r>
          <m:r>
            <m:rPr/>
            <w:rPr>
              <w:rFonts w:ascii="Cambria Math" w:hAnsi="Cambria Math"/>
            </w:rPr>
            <m:t xml:space="preserve"> </m:t>
          </m:r>
          <m:f>
            <m:fPr>
              <m:ctrlPr>
                <w:rPr>
                  <w:rFonts w:ascii="Cambria Math" w:hAnsi="Cambria Math"/>
                  <w:i/>
                  <w:sz w:val="21"/>
                </w:rPr>
              </m:ctrlPr>
            </m:fPr>
            <m:num>
              <m:r>
                <m:rPr/>
                <w:rPr>
                  <w:rFonts w:hint="eastAsia" w:ascii="Cambria Math" w:hAnsi="Cambria Math"/>
                </w:rPr>
                <m:t>FP</m:t>
              </m:r>
              <m:ctrlPr>
                <w:rPr>
                  <w:rFonts w:ascii="Cambria Math" w:hAnsi="Cambria Math"/>
                  <w:i/>
                  <w:sz w:val="21"/>
                </w:rPr>
              </m:ctrlPr>
            </m:num>
            <m:den>
              <m:r>
                <m:rPr/>
                <w:rPr>
                  <w:rFonts w:hint="eastAsia" w:ascii="Cambria Math" w:hAnsi="Cambria Math"/>
                </w:rPr>
                <m:t>FP+TN</m:t>
              </m:r>
              <m:ctrlPr>
                <w:rPr>
                  <w:rFonts w:ascii="Cambria Math" w:hAnsi="Cambria Math"/>
                  <w:i/>
                  <w:sz w:val="21"/>
                </w:rPr>
              </m:ctrlPr>
            </m:den>
          </m:f>
        </m:oMath>
      </m:oMathPara>
    </w:p>
    <w:p w14:paraId="078E0DFC">
      <w:pPr>
        <w:ind w:firstLine="480"/>
      </w:pPr>
      <m:oMathPara>
        <m:oMath>
          <m:r>
            <m:rPr/>
            <w:rPr>
              <w:rFonts w:ascii="Cambria Math" w:hAnsi="Cambria Math"/>
            </w:rPr>
            <m:t xml:space="preserve">AUROC= </m:t>
          </m:r>
          <m:nary>
            <m:naryPr>
              <m:limLoc m:val="subSup"/>
              <m:ctrlPr>
                <w:rPr>
                  <w:rFonts w:ascii="Cambria Math" w:hAnsi="Cambria Math"/>
                  <w:i/>
                  <w:sz w:val="21"/>
                </w:rPr>
              </m:ctrlPr>
            </m:naryPr>
            <m:sub>
              <m:r>
                <m:rPr/>
                <w:rPr>
                  <w:rFonts w:hint="eastAsia" w:ascii="Cambria Math" w:hAnsi="Cambria Math"/>
                </w:rPr>
                <m:t>0</m:t>
              </m:r>
              <m:ctrlPr>
                <w:rPr>
                  <w:rFonts w:ascii="Cambria Math" w:hAnsi="Cambria Math"/>
                  <w:i/>
                  <w:sz w:val="21"/>
                </w:rPr>
              </m:ctrlPr>
            </m:sub>
            <m:sup>
              <m:r>
                <m:rPr/>
                <w:rPr>
                  <w:rFonts w:hint="eastAsia" w:ascii="Cambria Math" w:hAnsi="Cambria Math"/>
                </w:rPr>
                <m:t>1</m:t>
              </m:r>
              <m:ctrlPr>
                <w:rPr>
                  <w:rFonts w:ascii="Cambria Math" w:hAnsi="Cambria Math"/>
                  <w:i/>
                  <w:sz w:val="21"/>
                </w:rPr>
              </m:ctrlPr>
            </m:sup>
            <m:e>
              <m:r>
                <m:rPr/>
                <w:rPr>
                  <w:rFonts w:hint="eastAsia" w:ascii="Cambria Math" w:hAnsi="Cambria Math"/>
                </w:rPr>
                <m:t>TPR</m:t>
              </m:r>
              <m:r>
                <m:rPr/>
                <w:rPr>
                  <w:rFonts w:ascii="Cambria Math" w:hAnsi="Cambria Math"/>
                </w:rPr>
                <m:t>(FPR)d(FPR)</m:t>
              </m:r>
              <m:ctrlPr>
                <w:rPr>
                  <w:rFonts w:ascii="Cambria Math" w:hAnsi="Cambria Math"/>
                  <w:i/>
                  <w:sz w:val="21"/>
                </w:rPr>
              </m:ctrlPr>
            </m:e>
          </m:nary>
        </m:oMath>
      </m:oMathPara>
    </w:p>
    <w:p w14:paraId="6FBB362A">
      <w:pPr>
        <w:ind w:firstLine="480"/>
      </w:pPr>
      <w:r>
        <w:rPr>
          <w:rFonts w:hint="eastAsia"/>
        </w:rPr>
        <w:t>AUPRC：全称为</w:t>
      </w:r>
      <w:r>
        <w:t>精确率-召回率曲线下面积</w:t>
      </w:r>
      <w:r>
        <w:rPr>
          <w:rFonts w:hint="eastAsia"/>
        </w:rPr>
        <w:t>（</w:t>
      </w:r>
      <w:r>
        <w:t>Area Under the Precision-Recall Curve</w:t>
      </w:r>
      <w:r>
        <w:rPr>
          <w:rFonts w:hint="eastAsia"/>
        </w:rPr>
        <w:t>），适用于数据分布极度不平衡的二分类任务。PR曲线是以召回率，即TPR为横坐标，精确率 (Precision) 为纵坐标绘制的曲线。而AUPRC就是PR曲线下方的面积。</w:t>
      </w:r>
    </w:p>
    <w:p w14:paraId="7C19DD3E">
      <w:pPr>
        <w:ind w:firstLineChars="0"/>
      </w:pPr>
      <m:oMathPara>
        <m:oMath>
          <m:r>
            <m:rPr/>
            <w:rPr>
              <w:rFonts w:ascii="Cambria Math" w:hAnsi="Cambria Math"/>
            </w:rPr>
            <m:t>Precision=</m:t>
          </m:r>
          <m:f>
            <m:fPr>
              <m:ctrlPr>
                <w:rPr>
                  <w:rFonts w:ascii="Cambria Math" w:hAnsi="Cambria Math"/>
                </w:rPr>
              </m:ctrlPr>
            </m:fPr>
            <m:num>
              <m:r>
                <m:rPr/>
                <w:rPr>
                  <w:rFonts w:ascii="Cambria Math" w:hAnsi="Cambria Math"/>
                </w:rPr>
                <m:t>TP</m:t>
              </m:r>
              <m:ctrlPr>
                <w:rPr>
                  <w:rFonts w:ascii="Cambria Math" w:hAnsi="Cambria Math"/>
                </w:rPr>
              </m:ctrlPr>
            </m:num>
            <m:den>
              <m:r>
                <m:rPr/>
                <w:rPr>
                  <w:rFonts w:ascii="Cambria Math" w:hAnsi="Cambria Math"/>
                </w:rPr>
                <m:t>TP+FP</m:t>
              </m:r>
              <m:ctrlPr>
                <w:rPr>
                  <w:rFonts w:ascii="Cambria Math" w:hAnsi="Cambria Math"/>
                </w:rPr>
              </m:ctrlPr>
            </m:den>
          </m:f>
        </m:oMath>
      </m:oMathPara>
    </w:p>
    <w:p w14:paraId="07499A9F">
      <w:pPr>
        <w:ind w:firstLine="0" w:firstLineChars="0"/>
      </w:pPr>
      <m:oMathPara>
        <m:oMath>
          <m:r>
            <m:rPr/>
            <w:rPr>
              <w:rFonts w:ascii="Cambria Math" w:hAnsi="Cambria Math"/>
            </w:rPr>
            <m:t>Recall=</m:t>
          </m:r>
          <m:f>
            <m:fPr>
              <m:ctrlPr>
                <w:rPr>
                  <w:rFonts w:ascii="Cambria Math" w:hAnsi="Cambria Math"/>
                </w:rPr>
              </m:ctrlPr>
            </m:fPr>
            <m:num>
              <m:r>
                <m:rPr/>
                <w:rPr>
                  <w:rFonts w:ascii="Cambria Math" w:hAnsi="Cambria Math"/>
                </w:rPr>
                <m:t>TP</m:t>
              </m:r>
              <m:ctrlPr>
                <w:rPr>
                  <w:rFonts w:ascii="Cambria Math" w:hAnsi="Cambria Math"/>
                </w:rPr>
              </m:ctrlPr>
            </m:num>
            <m:den>
              <m:r>
                <m:rPr/>
                <w:rPr>
                  <w:rFonts w:ascii="Cambria Math" w:hAnsi="Cambria Math"/>
                </w:rPr>
                <m:t>TP+FN</m:t>
              </m:r>
              <m:ctrlPr>
                <w:rPr>
                  <w:rFonts w:ascii="Cambria Math" w:hAnsi="Cambria Math"/>
                </w:rPr>
              </m:ctrlPr>
            </m:den>
          </m:f>
        </m:oMath>
      </m:oMathPara>
    </w:p>
    <w:p w14:paraId="2DBD8C6C">
      <w:pPr>
        <w:ind w:firstLine="480"/>
      </w:pPr>
      <m:oMathPara>
        <m:oMath>
          <m:r>
            <m:rPr/>
            <w:rPr>
              <w:rFonts w:ascii="Cambria Math" w:hAnsi="Cambria Math"/>
            </w:rPr>
            <m:t>AU</m:t>
          </m:r>
          <m:r>
            <m:rPr/>
            <w:rPr>
              <w:rFonts w:hint="eastAsia" w:ascii="Cambria Math" w:hAnsi="Cambria Math"/>
            </w:rPr>
            <m:t>PR</m:t>
          </m:r>
          <m:r>
            <m:rPr/>
            <w:rPr>
              <w:rFonts w:ascii="Cambria Math" w:hAnsi="Cambria Math"/>
            </w:rPr>
            <m:t xml:space="preserve">C= </m:t>
          </m:r>
          <m:nary>
            <m:naryPr>
              <m:limLoc m:val="subSup"/>
              <m:ctrlPr>
                <w:rPr>
                  <w:rFonts w:ascii="Cambria Math" w:hAnsi="Cambria Math"/>
                  <w:i/>
                  <w:sz w:val="21"/>
                </w:rPr>
              </m:ctrlPr>
            </m:naryPr>
            <m:sub>
              <m:r>
                <m:rPr/>
                <w:rPr>
                  <w:rFonts w:hint="eastAsia" w:ascii="Cambria Math" w:hAnsi="Cambria Math"/>
                </w:rPr>
                <m:t>0</m:t>
              </m:r>
              <m:ctrlPr>
                <w:rPr>
                  <w:rFonts w:ascii="Cambria Math" w:hAnsi="Cambria Math"/>
                  <w:i/>
                  <w:sz w:val="21"/>
                </w:rPr>
              </m:ctrlPr>
            </m:sub>
            <m:sup>
              <m:r>
                <m:rPr/>
                <w:rPr>
                  <w:rFonts w:hint="eastAsia" w:ascii="Cambria Math" w:hAnsi="Cambria Math"/>
                </w:rPr>
                <m:t>1</m:t>
              </m:r>
              <m:ctrlPr>
                <w:rPr>
                  <w:rFonts w:ascii="Cambria Math" w:hAnsi="Cambria Math"/>
                  <w:i/>
                  <w:sz w:val="21"/>
                </w:rPr>
              </m:ctrlPr>
            </m:sup>
            <m:e>
              <m:r>
                <m:rPr/>
                <w:rPr>
                  <w:rFonts w:ascii="Cambria Math" w:hAnsi="Cambria Math"/>
                </w:rPr>
                <m:t>Precision(Recall)d(Recall)</m:t>
              </m:r>
              <m:ctrlPr>
                <w:rPr>
                  <w:rFonts w:ascii="Cambria Math" w:hAnsi="Cambria Math"/>
                  <w:i/>
                  <w:sz w:val="21"/>
                </w:rPr>
              </m:ctrlPr>
            </m:e>
          </m:nary>
        </m:oMath>
      </m:oMathPara>
    </w:p>
    <w:p w14:paraId="5BC0C9B9">
      <w:pPr>
        <w:ind w:firstLine="480"/>
      </w:pPr>
      <w:r>
        <w:rPr>
          <w:rFonts w:hint="eastAsia"/>
        </w:rPr>
        <w:t>RMSE：全称为均方根误差（Root Mean Square Error），适用于回归任务，衡量模型预测值和真实值之间的误差。假设样本的总数为n，yi是第i个样本的真实值，yi是第i个样本的预测值，均方根误差可表示为：</w:t>
      </w:r>
    </w:p>
    <w:p w14:paraId="0E07AAC8">
      <w:pPr>
        <w:ind w:firstLine="480"/>
      </w:pPr>
      <m:oMathPara>
        <m:oMath>
          <m:r>
            <m:rPr/>
            <w:rPr>
              <w:rFonts w:ascii="Cambria Math" w:hAnsi="Cambria Math"/>
            </w:rPr>
            <m:t>RMSE=</m:t>
          </m:r>
          <m:rad>
            <m:radPr>
              <m:degHide m:val="1"/>
              <m:ctrlPr>
                <w:rPr>
                  <w:rFonts w:ascii="Cambria Math" w:hAnsi="Cambria Math"/>
                  <w:i/>
                </w:rPr>
              </m:ctrlPr>
            </m:radPr>
            <m:deg>
              <m:ctrlPr>
                <w:rPr>
                  <w:rFonts w:ascii="Cambria Math" w:hAnsi="Cambria Math"/>
                  <w:i/>
                </w:rPr>
              </m:ctrlPr>
            </m:deg>
            <m:e>
              <m:f>
                <m:fPr>
                  <m:ctrlPr>
                    <w:rPr>
                      <w:rFonts w:ascii="Cambria Math" w:hAnsi="Cambria Math"/>
                      <w:i/>
                    </w:rPr>
                  </m:ctrlPr>
                </m:fPr>
                <m:num>
                  <m:r>
                    <m:rPr/>
                    <w:rPr>
                      <w:rFonts w:ascii="Cambria Math" w:hAnsi="Cambria Math"/>
                    </w:rPr>
                    <m:t>1</m:t>
                  </m:r>
                  <m:ctrlPr>
                    <w:rPr>
                      <w:rFonts w:ascii="Cambria Math" w:hAnsi="Cambria Math"/>
                      <w:i/>
                    </w:rPr>
                  </m:ctrlPr>
                </m:num>
                <m:den>
                  <m:r>
                    <m:rPr/>
                    <w:rPr>
                      <w:rFonts w:ascii="Cambria Math" w:hAnsi="Cambria Math"/>
                    </w:rPr>
                    <m:t>n</m:t>
                  </m:r>
                  <m:ctrlPr>
                    <w:rPr>
                      <w:rFonts w:ascii="Cambria Math" w:hAnsi="Cambria Math"/>
                      <w:i/>
                    </w:rPr>
                  </m:ctrlPr>
                </m:den>
              </m:f>
              <m:nary>
                <m:naryPr>
                  <m:chr m:val="∑"/>
                  <m:ctrlPr>
                    <w:rPr>
                      <w:rFonts w:ascii="Cambria Math" w:hAnsi="Cambria Math"/>
                      <w:i/>
                    </w:rPr>
                  </m:ctrlPr>
                </m:naryPr>
                <m:sub>
                  <m:r>
                    <m:rPr/>
                    <w:rPr>
                      <w:rFonts w:ascii="Cambria Math" w:hAnsi="Cambria Math"/>
                    </w:rPr>
                    <m:t>i=1</m:t>
                  </m:r>
                  <m:ctrlPr>
                    <w:rPr>
                      <w:rFonts w:ascii="Cambria Math" w:hAnsi="Cambria Math"/>
                      <w:i/>
                    </w:rPr>
                  </m:ctrlPr>
                </m:sub>
                <m:sup>
                  <m:r>
                    <m:rPr/>
                    <w:rPr>
                      <w:rFonts w:ascii="Cambria Math" w:hAnsi="Cambria Math"/>
                    </w:rPr>
                    <m:t>n</m:t>
                  </m:r>
                  <m:ctrlPr>
                    <w:rPr>
                      <w:rFonts w:ascii="Cambria Math" w:hAnsi="Cambria Math"/>
                      <w:i/>
                    </w:rPr>
                  </m:ctrlP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m:rPr/>
                                <w:rPr>
                                  <w:rFonts w:ascii="Cambria Math" w:hAnsi="Cambria Math"/>
                                </w:rPr>
                                <m:t>y</m:t>
                              </m:r>
                              <m:ctrlPr>
                                <w:rPr>
                                  <w:rFonts w:ascii="Cambria Math" w:hAnsi="Cambria Math"/>
                                  <w:i/>
                                </w:rPr>
                              </m:ctrlPr>
                            </m:e>
                            <m:sub>
                              <m:r>
                                <m:rPr/>
                                <w:rPr>
                                  <w:rFonts w:ascii="Cambria Math" w:hAnsi="Cambria Math"/>
                                </w:rPr>
                                <m:t>i</m:t>
                              </m:r>
                              <m:ctrlPr>
                                <w:rPr>
                                  <w:rFonts w:ascii="Cambria Math" w:hAnsi="Cambria Math"/>
                                  <w:i/>
                                </w:rPr>
                              </m:ctrlPr>
                            </m:sub>
                          </m:sSub>
                          <m:r>
                            <m:rPr/>
                            <w:rPr>
                              <w:rFonts w:ascii="Cambria Math" w:hAnsi="Cambria Math"/>
                            </w:rPr>
                            <m:t>−</m:t>
                          </m:r>
                          <m:sSub>
                            <m:sSubPr>
                              <m:ctrlPr>
                                <w:rPr>
                                  <w:rFonts w:ascii="Cambria Math" w:hAnsi="Cambria Math"/>
                                  <w:i/>
                                </w:rPr>
                              </m:ctrlPr>
                            </m:sSubPr>
                            <m:e>
                              <m:acc>
                                <m:accPr>
                                  <m:ctrlPr>
                                    <w:rPr>
                                      <w:rFonts w:ascii="Cambria Math" w:hAnsi="Cambria Math"/>
                                      <w:i/>
                                    </w:rPr>
                                  </m:ctrlPr>
                                </m:accPr>
                                <m:e>
                                  <m:r>
                                    <m:rPr/>
                                    <w:rPr>
                                      <w:rFonts w:ascii="Cambria Math" w:hAnsi="Cambria Math"/>
                                    </w:rPr>
                                    <m:t>y</m:t>
                                  </m:r>
                                  <m:ctrlPr>
                                    <w:rPr>
                                      <w:rFonts w:ascii="Cambria Math" w:hAnsi="Cambria Math"/>
                                      <w:i/>
                                    </w:rPr>
                                  </m:ctrlPr>
                                </m:e>
                              </m:acc>
                              <m:ctrlPr>
                                <w:rPr>
                                  <w:rFonts w:ascii="Cambria Math" w:hAnsi="Cambria Math"/>
                                  <w:i/>
                                </w:rPr>
                              </m:ctrlPr>
                            </m:e>
                            <m:sub>
                              <m:r>
                                <m:rPr/>
                                <w:rPr>
                                  <w:rFonts w:ascii="Cambria Math" w:hAnsi="Cambria Math"/>
                                </w:rPr>
                                <m:t>i</m:t>
                              </m:r>
                              <m:ctrlPr>
                                <w:rPr>
                                  <w:rFonts w:ascii="Cambria Math" w:hAnsi="Cambria Math"/>
                                  <w:i/>
                                </w:rPr>
                              </m:ctrlPr>
                            </m:sub>
                          </m:sSub>
                          <m:ctrlPr>
                            <w:rPr>
                              <w:rFonts w:ascii="Cambria Math" w:hAnsi="Cambria Math"/>
                              <w:i/>
                            </w:rPr>
                          </m:ctrlPr>
                        </m:e>
                      </m:d>
                      <m:ctrlPr>
                        <w:rPr>
                          <w:rFonts w:ascii="Cambria Math" w:hAnsi="Cambria Math"/>
                          <w:i/>
                        </w:rPr>
                      </m:ctrlPr>
                    </m:e>
                    <m:sup>
                      <m:r>
                        <m:rPr/>
                        <w:rPr>
                          <w:rFonts w:ascii="Cambria Math" w:hAnsi="Cambria Math"/>
                        </w:rPr>
                        <m:t>2</m:t>
                      </m:r>
                      <m:ctrlPr>
                        <w:rPr>
                          <w:rFonts w:ascii="Cambria Math" w:hAnsi="Cambria Math"/>
                          <w:i/>
                        </w:rPr>
                      </m:ctrlPr>
                    </m:sup>
                  </m:sSup>
                  <m:ctrlPr>
                    <w:rPr>
                      <w:rFonts w:ascii="Cambria Math" w:hAnsi="Cambria Math"/>
                      <w:i/>
                    </w:rPr>
                  </m:ctrlPr>
                </m:e>
              </m:nary>
              <m:ctrlPr>
                <w:rPr>
                  <w:rFonts w:ascii="Cambria Math" w:hAnsi="Cambria Math"/>
                  <w:i/>
                </w:rPr>
              </m:ctrlPr>
            </m:e>
          </m:rad>
        </m:oMath>
      </m:oMathPara>
    </w:p>
    <w:p w14:paraId="572F75B3">
      <w:pPr>
        <w:ind w:firstLine="480"/>
      </w:pPr>
      <w:r>
        <w:t>Spearman</w:t>
      </w:r>
      <w:r>
        <w:rPr>
          <w:rFonts w:hint="eastAsia"/>
        </w:rPr>
        <w:t>：全称为</w:t>
      </w:r>
      <w:r>
        <w:t>斯皮尔曼等级相关系数</w:t>
      </w:r>
      <w:r>
        <w:rPr>
          <w:rFonts w:hint="eastAsia"/>
        </w:rPr>
        <w:t>（</w:t>
      </w:r>
      <w:r>
        <w:t>Spearman's Rank Correlation Coefficient</w:t>
      </w:r>
      <w:r>
        <w:rPr>
          <w:rFonts w:hint="eastAsia"/>
        </w:rPr>
        <w:t>），与MAE不同的是</w:t>
      </w:r>
      <w:r>
        <w:t>Spearman</w:t>
      </w:r>
      <w:r>
        <w:rPr>
          <w:rFonts w:hint="eastAsia"/>
        </w:rPr>
        <w:t>关注排序能力即预测值的相对大小关系是否正确。一个模型可能 MAE 较大但 Spearman 系数很高，这说明虽然预测的绝对数值不够精确，但能够正确区分样本之间的相对高低。在药物筛选的实际应用中，通常需要从大量候选分子中筛选出性质最优的一批分子，此时排序的准确性往往比绝对数值的精度更具实际价值，因此 Spearman 系数在 ADMET 基准评估中具有重要意义。</w:t>
      </w:r>
    </w:p>
    <w:p w14:paraId="52C332F6">
      <w:pPr>
        <w:pStyle w:val="4"/>
        <w:rPr>
          <w:rFonts w:hint="default"/>
        </w:rPr>
      </w:pPr>
      <w:r>
        <w:t>对比模型</w:t>
      </w:r>
    </w:p>
    <w:p w14:paraId="2586E687">
      <w:pPr>
        <w:ind w:firstLine="480"/>
      </w:pPr>
      <w:r>
        <w:rPr>
          <w:rFonts w:hint="eastAsia"/>
        </w:rPr>
        <w:t>为了客观评估 CoT-CMP 框架在 ADMET 预测任务中的性能优势，本研究精选了 4 个 在图表示学习领域具有里程碑意义的模型作为基准。这些模型覆盖了从“理论上限”到“工业级应用”的不同技术范式，构筑了严密的性能参照系。</w:t>
      </w:r>
    </w:p>
    <w:p w14:paraId="434696BE">
      <w:pPr>
        <w:ind w:firstLine="480"/>
      </w:pPr>
      <w:r>
        <w:t>1. AttentiveFP (Attention-based GNN)</w:t>
      </w:r>
    </w:p>
    <w:p w14:paraId="0611DEBA">
      <w:pPr>
        <w:ind w:firstLine="480"/>
      </w:pPr>
      <w:r>
        <w:rPr>
          <w:rFonts w:hint="eastAsia"/>
        </w:rPr>
        <w:t>AttentiveFP 是基于注意力机制的经典图神经网络，旨在解决传统 GCN 在处理长程依赖时的局限性。该模型通过在原子节点层面引入图注意力网络（Graph Attention Network），能够动态学习不同邻居节点对中心原子的贡献权重。将其作为基准，主要用于评估本研究模型在捕捉关键药效团（如氢键供受体、特定环系）方面的特征提取能力。</w:t>
      </w:r>
    </w:p>
    <w:p w14:paraId="769A4807">
      <w:pPr>
        <w:ind w:firstLine="480"/>
      </w:pPr>
      <w:r>
        <w:t>2. DMPNN (Directed Message Passing Neural Network)</w:t>
      </w:r>
    </w:p>
    <w:p w14:paraId="17CA392B">
      <w:pPr>
        <w:ind w:firstLine="480"/>
      </w:pPr>
      <w:r>
        <w:rPr>
          <w:rFonts w:hint="eastAsia"/>
        </w:rPr>
        <w:t>DMPNN（即 Chemprop 平台的核心算法）是目前 ADMET 性质预测领域的工业级黄金标准。不同于传统的在原子间传递消息，DMPNN 创新性地提出了基于**有向化学键（Directed Bond）**的消息传递机制，有效避免了信息在相邻节点间产生的“回流（Flow-back）”与冗余震荡。选取 DMPNN 作为强基线，旨在验证本研究提出的方法是否能够超越当前业界主流的纯图模态算法。</w:t>
      </w:r>
    </w:p>
    <w:p w14:paraId="43FFED94">
      <w:pPr>
        <w:ind w:firstLine="480"/>
      </w:pPr>
      <w:r>
        <w:t>3. CMPNN (Communicative Message Passing Neural Network)</w:t>
      </w:r>
    </w:p>
    <w:p w14:paraId="4C4A2121">
      <w:pPr>
        <w:ind w:firstLine="480"/>
      </w:pPr>
      <w:r>
        <w:rPr>
          <w:rFonts w:hint="eastAsia"/>
        </w:rPr>
        <w:t>CMPNN 是本研究图编码模块的基础架构，也是目前 SOTA 级别的图表示学习方法。它在 DMPNN 的基础上进一步引入了“通信核（Communicative Kernel）”，强制原子特征与化学键特征在消息传递前进行深度交互。在本实验中，CMPNN 扮演了最重要的“消融参照”角色：由于 CoT-CMP 的图塔正是基于 CMPNN 构建的，二者在图特征提取能力上同源。因此，CoT-CMP 相对 CMPNN 的任何性能提升，均可直接归因于思维链（CoT）文本推理与多模态交叉融合**所带来的增量价值。</w:t>
      </w:r>
    </w:p>
    <w:p w14:paraId="52E5CB13">
      <w:pPr>
        <w:ind w:firstLine="480"/>
      </w:pPr>
      <w:r>
        <w:t>4. GIN (Graph Isomorphism Network)</w:t>
      </w:r>
    </w:p>
    <w:p w14:paraId="54AC7ACF">
      <w:pPr>
        <w:ind w:firstLine="480"/>
      </w:pPr>
      <w:r>
        <w:rPr>
          <w:rFonts w:hint="eastAsia"/>
        </w:rPr>
        <w:t>GIN 是图神经网络理论研究中的代表性工作，被证明在区分图结构的能力上能够达到 Weisfeiler-Lehman (WL) 图同构测试的理论上限。不同于其他 GNN 采用的平均（Mean）或最大（Max）池化，GIN 采用求和（Sum）聚合器并结合多层感知机（MLP），最大程度地保留了图的拓扑结构特征。选取 GIN 作为基准，旨在验证在面对复杂的药物分子构效关系时，单纯追求拓扑结构的“区分能力（Discriminative Power）”是否足以替代“语义推理能力（Reasoning Capability）”。</w:t>
      </w:r>
    </w:p>
    <w:p w14:paraId="77F0280B">
      <w:pPr>
        <w:pStyle w:val="3"/>
      </w:pPr>
      <w:r>
        <w:rPr>
          <w:rFonts w:hint="eastAsia"/>
        </w:rPr>
        <w:t>实验及结果分析</w:t>
      </w:r>
    </w:p>
    <w:p w14:paraId="533D2DD3">
      <w:pPr>
        <w:pStyle w:val="4"/>
        <w:rPr>
          <w:rFonts w:hint="default"/>
        </w:rPr>
      </w:pPr>
      <w:r>
        <w:t>对比实验</w:t>
      </w:r>
    </w:p>
    <w:tbl>
      <w:tblPr>
        <w:tblStyle w:val="1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804"/>
        <w:gridCol w:w="1354"/>
        <w:gridCol w:w="1515"/>
        <w:gridCol w:w="1102"/>
        <w:gridCol w:w="1189"/>
        <w:gridCol w:w="1440"/>
      </w:tblGrid>
      <w:tr w14:paraId="5FD383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04" w:type="dxa"/>
            <w:vAlign w:val="center"/>
          </w:tcPr>
          <w:p w14:paraId="6D13CCFE">
            <w:pPr>
              <w:ind w:firstLine="0" w:firstLineChars="0"/>
              <w:jc w:val="center"/>
            </w:pPr>
            <w:r>
              <w:rPr>
                <w:rFonts w:hint="eastAsia"/>
              </w:rPr>
              <w:t>数据集</w:t>
            </w:r>
          </w:p>
        </w:tc>
        <w:tc>
          <w:tcPr>
            <w:tcW w:w="1354" w:type="dxa"/>
            <w:vAlign w:val="center"/>
          </w:tcPr>
          <w:p w14:paraId="2BAC2835">
            <w:pPr>
              <w:ind w:firstLine="0" w:firstLineChars="0"/>
              <w:jc w:val="center"/>
            </w:pPr>
            <w:r>
              <w:rPr>
                <w:rFonts w:hint="eastAsia"/>
              </w:rPr>
              <w:t>GCN</w:t>
            </w:r>
          </w:p>
        </w:tc>
        <w:tc>
          <w:tcPr>
            <w:tcW w:w="1515" w:type="dxa"/>
            <w:vAlign w:val="center"/>
          </w:tcPr>
          <w:p w14:paraId="068F3D84">
            <w:pPr>
              <w:ind w:firstLine="0" w:firstLineChars="0"/>
              <w:jc w:val="center"/>
            </w:pPr>
            <w:r>
              <w:t>AttentiveFP</w:t>
            </w:r>
          </w:p>
        </w:tc>
        <w:tc>
          <w:tcPr>
            <w:tcW w:w="1102" w:type="dxa"/>
            <w:vAlign w:val="center"/>
          </w:tcPr>
          <w:p w14:paraId="4037B6A3">
            <w:pPr>
              <w:ind w:firstLine="0" w:firstLineChars="0"/>
              <w:jc w:val="center"/>
            </w:pPr>
            <w:r>
              <w:rPr>
                <w:rFonts w:hint="eastAsia"/>
              </w:rPr>
              <w:t>DMPNN</w:t>
            </w:r>
          </w:p>
        </w:tc>
        <w:tc>
          <w:tcPr>
            <w:tcW w:w="1189" w:type="dxa"/>
            <w:vAlign w:val="center"/>
          </w:tcPr>
          <w:p w14:paraId="34666235">
            <w:pPr>
              <w:ind w:firstLine="0" w:firstLineChars="0"/>
              <w:jc w:val="center"/>
            </w:pPr>
            <w:r>
              <w:rPr>
                <w:rFonts w:hint="eastAsia"/>
              </w:rPr>
              <w:t>CMPNN</w:t>
            </w:r>
          </w:p>
        </w:tc>
        <w:tc>
          <w:tcPr>
            <w:tcW w:w="1440" w:type="dxa"/>
          </w:tcPr>
          <w:p w14:paraId="56D260AC">
            <w:pPr>
              <w:ind w:firstLine="0" w:firstLineChars="0"/>
              <w:jc w:val="center"/>
            </w:pPr>
            <w:r>
              <w:t>M</w:t>
            </w:r>
            <w:r>
              <w:rPr>
                <w:rFonts w:hint="eastAsia"/>
              </w:rPr>
              <w:t>ymodel</w:t>
            </w:r>
          </w:p>
        </w:tc>
      </w:tr>
      <w:tr w14:paraId="7D97A2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04" w:type="dxa"/>
            <w:vAlign w:val="center"/>
          </w:tcPr>
          <w:p w14:paraId="50563D2B">
            <w:pPr>
              <w:ind w:firstLine="0" w:firstLineChars="0"/>
              <w:jc w:val="center"/>
            </w:pPr>
            <w:r>
              <w:rPr>
                <w:rFonts w:hint="eastAsia"/>
              </w:rPr>
              <w:t>Caco2</w:t>
            </w:r>
          </w:p>
        </w:tc>
        <w:tc>
          <w:tcPr>
            <w:tcW w:w="1354" w:type="dxa"/>
            <w:vAlign w:val="center"/>
          </w:tcPr>
          <w:p w14:paraId="1775791C">
            <w:pPr>
              <w:ind w:firstLine="0" w:firstLineChars="0"/>
            </w:pPr>
            <w:r>
              <w:t>0.599</w:t>
            </w:r>
            <w:r>
              <w:rPr>
                <w:rFonts w:hint="eastAsia"/>
                <w:vertAlign w:val="subscript"/>
              </w:rPr>
              <w:t>(</w:t>
            </w:r>
            <w:r>
              <w:rPr>
                <w:vertAlign w:val="subscript"/>
              </w:rPr>
              <w:t>0.104</w:t>
            </w:r>
            <w:r>
              <w:rPr>
                <w:rFonts w:hint="eastAsia"/>
                <w:vertAlign w:val="subscript"/>
              </w:rPr>
              <w:t>)</w:t>
            </w:r>
          </w:p>
        </w:tc>
        <w:tc>
          <w:tcPr>
            <w:tcW w:w="1515" w:type="dxa"/>
            <w:vAlign w:val="center"/>
          </w:tcPr>
          <w:p w14:paraId="10B3DC86">
            <w:pPr>
              <w:ind w:firstLine="0" w:firstLineChars="0"/>
              <w:jc w:val="center"/>
            </w:pPr>
            <w:r>
              <w:t>0.401</w:t>
            </w:r>
            <w:r>
              <w:rPr>
                <w:rFonts w:hint="eastAsia"/>
                <w:vertAlign w:val="subscript"/>
              </w:rPr>
              <w:t>(</w:t>
            </w:r>
            <w:r>
              <w:rPr>
                <w:vertAlign w:val="subscript"/>
              </w:rPr>
              <w:t>0.032</w:t>
            </w:r>
            <w:r>
              <w:rPr>
                <w:rFonts w:hint="eastAsia"/>
                <w:vertAlign w:val="subscript"/>
              </w:rPr>
              <w:t>)</w:t>
            </w:r>
          </w:p>
        </w:tc>
        <w:tc>
          <w:tcPr>
            <w:tcW w:w="1102" w:type="dxa"/>
            <w:vAlign w:val="center"/>
          </w:tcPr>
          <w:p w14:paraId="5F1FC0BE">
            <w:pPr>
              <w:ind w:firstLine="0" w:firstLineChars="0"/>
              <w:jc w:val="center"/>
            </w:pPr>
            <w:r>
              <w:t>MAE</w:t>
            </w:r>
          </w:p>
        </w:tc>
        <w:tc>
          <w:tcPr>
            <w:tcW w:w="1189" w:type="dxa"/>
            <w:vAlign w:val="center"/>
          </w:tcPr>
          <w:p w14:paraId="60321E7A">
            <w:pPr>
              <w:ind w:firstLine="0" w:firstLineChars="0"/>
              <w:jc w:val="center"/>
            </w:pPr>
            <w:r>
              <w:t>Scaffold</w:t>
            </w:r>
          </w:p>
        </w:tc>
        <w:tc>
          <w:tcPr>
            <w:tcW w:w="1440" w:type="dxa"/>
          </w:tcPr>
          <w:p w14:paraId="7DC805E8">
            <w:pPr>
              <w:ind w:firstLine="0" w:firstLineChars="0"/>
              <w:jc w:val="center"/>
            </w:pPr>
          </w:p>
        </w:tc>
      </w:tr>
      <w:tr w14:paraId="78C53D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04" w:type="dxa"/>
            <w:vAlign w:val="center"/>
          </w:tcPr>
          <w:p w14:paraId="3D3FD159">
            <w:pPr>
              <w:ind w:firstLine="0" w:firstLineChars="0"/>
              <w:jc w:val="center"/>
            </w:pPr>
            <w:r>
              <w:rPr>
                <w:rFonts w:hint="eastAsia"/>
              </w:rPr>
              <w:t>HIA</w:t>
            </w:r>
          </w:p>
        </w:tc>
        <w:tc>
          <w:tcPr>
            <w:tcW w:w="1354" w:type="dxa"/>
            <w:vAlign w:val="center"/>
          </w:tcPr>
          <w:p w14:paraId="544F0664">
            <w:pPr>
              <w:ind w:firstLine="0" w:firstLineChars="0"/>
            </w:pPr>
            <w:r>
              <w:t>0.936</w:t>
            </w:r>
            <w:r>
              <w:rPr>
                <w:rFonts w:hint="eastAsia"/>
                <w:vertAlign w:val="subscript"/>
              </w:rPr>
              <w:t>(</w:t>
            </w:r>
            <w:r>
              <w:rPr>
                <w:vertAlign w:val="subscript"/>
              </w:rPr>
              <w:t>0.024</w:t>
            </w:r>
            <w:r>
              <w:rPr>
                <w:rFonts w:hint="eastAsia"/>
                <w:vertAlign w:val="subscript"/>
              </w:rPr>
              <w:t>)</w:t>
            </w:r>
          </w:p>
        </w:tc>
        <w:tc>
          <w:tcPr>
            <w:tcW w:w="1515" w:type="dxa"/>
            <w:vAlign w:val="center"/>
          </w:tcPr>
          <w:p w14:paraId="76B519F8">
            <w:pPr>
              <w:ind w:firstLine="0" w:firstLineChars="0"/>
              <w:jc w:val="center"/>
            </w:pPr>
            <w:r>
              <w:t>0.974</w:t>
            </w:r>
            <w:r>
              <w:rPr>
                <w:rFonts w:hint="eastAsia"/>
                <w:vertAlign w:val="subscript"/>
              </w:rPr>
              <w:t>(</w:t>
            </w:r>
            <w:r>
              <w:rPr>
                <w:vertAlign w:val="subscript"/>
              </w:rPr>
              <w:t>0.007</w:t>
            </w:r>
            <w:r>
              <w:rPr>
                <w:rFonts w:hint="eastAsia"/>
                <w:vertAlign w:val="subscript"/>
              </w:rPr>
              <w:t>)</w:t>
            </w:r>
          </w:p>
        </w:tc>
        <w:tc>
          <w:tcPr>
            <w:tcW w:w="1102" w:type="dxa"/>
            <w:vAlign w:val="center"/>
          </w:tcPr>
          <w:p w14:paraId="1CB231A9">
            <w:pPr>
              <w:ind w:firstLine="0" w:firstLineChars="0"/>
              <w:jc w:val="center"/>
            </w:pPr>
            <w:r>
              <w:t>AUROC</w:t>
            </w:r>
          </w:p>
        </w:tc>
        <w:tc>
          <w:tcPr>
            <w:tcW w:w="1189" w:type="dxa"/>
            <w:vAlign w:val="center"/>
          </w:tcPr>
          <w:p w14:paraId="7B27EFE4">
            <w:pPr>
              <w:ind w:firstLine="0" w:firstLineChars="0"/>
              <w:jc w:val="center"/>
            </w:pPr>
            <w:r>
              <w:t>Scaffold</w:t>
            </w:r>
          </w:p>
        </w:tc>
        <w:tc>
          <w:tcPr>
            <w:tcW w:w="1440" w:type="dxa"/>
          </w:tcPr>
          <w:p w14:paraId="462AF351">
            <w:pPr>
              <w:ind w:firstLine="0" w:firstLineChars="0"/>
              <w:jc w:val="center"/>
            </w:pPr>
          </w:p>
        </w:tc>
      </w:tr>
      <w:tr w14:paraId="131B87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04" w:type="dxa"/>
            <w:vAlign w:val="center"/>
          </w:tcPr>
          <w:p w14:paraId="41C4C2CA">
            <w:pPr>
              <w:ind w:firstLine="0" w:firstLineChars="0"/>
              <w:jc w:val="center"/>
            </w:pPr>
            <w:r>
              <w:rPr>
                <w:rFonts w:hint="eastAsia"/>
              </w:rPr>
              <w:t>Pgp</w:t>
            </w:r>
          </w:p>
        </w:tc>
        <w:tc>
          <w:tcPr>
            <w:tcW w:w="1354" w:type="dxa"/>
            <w:vAlign w:val="center"/>
          </w:tcPr>
          <w:p w14:paraId="3471A4E9">
            <w:pPr>
              <w:ind w:firstLine="0" w:firstLineChars="0"/>
            </w:pPr>
            <w:r>
              <w:t>0.895</w:t>
            </w:r>
            <w:r>
              <w:rPr>
                <w:rFonts w:hint="eastAsia"/>
                <w:vertAlign w:val="subscript"/>
              </w:rPr>
              <w:t>(</w:t>
            </w:r>
            <w:r>
              <w:rPr>
                <w:vertAlign w:val="subscript"/>
              </w:rPr>
              <w:t>0.021</w:t>
            </w:r>
            <w:r>
              <w:rPr>
                <w:rFonts w:hint="eastAsia"/>
                <w:vertAlign w:val="subscript"/>
              </w:rPr>
              <w:t>)</w:t>
            </w:r>
          </w:p>
        </w:tc>
        <w:tc>
          <w:tcPr>
            <w:tcW w:w="1515" w:type="dxa"/>
            <w:vAlign w:val="center"/>
          </w:tcPr>
          <w:p w14:paraId="06D05D35">
            <w:pPr>
              <w:ind w:firstLine="0" w:firstLineChars="0"/>
              <w:jc w:val="center"/>
            </w:pPr>
            <w:r>
              <w:t>0.892</w:t>
            </w:r>
            <w:r>
              <w:rPr>
                <w:rFonts w:hint="eastAsia"/>
                <w:vertAlign w:val="subscript"/>
              </w:rPr>
              <w:t>(</w:t>
            </w:r>
            <w:r>
              <w:rPr>
                <w:vertAlign w:val="subscript"/>
              </w:rPr>
              <w:t>0.012</w:t>
            </w:r>
            <w:r>
              <w:rPr>
                <w:rFonts w:hint="eastAsia"/>
                <w:vertAlign w:val="subscript"/>
              </w:rPr>
              <w:t>)</w:t>
            </w:r>
          </w:p>
        </w:tc>
        <w:tc>
          <w:tcPr>
            <w:tcW w:w="1102" w:type="dxa"/>
            <w:vAlign w:val="center"/>
          </w:tcPr>
          <w:p w14:paraId="02947693">
            <w:pPr>
              <w:ind w:firstLine="0" w:firstLineChars="0"/>
              <w:jc w:val="center"/>
            </w:pPr>
            <w:r>
              <w:t>AUROC</w:t>
            </w:r>
          </w:p>
        </w:tc>
        <w:tc>
          <w:tcPr>
            <w:tcW w:w="1189" w:type="dxa"/>
            <w:vAlign w:val="center"/>
          </w:tcPr>
          <w:p w14:paraId="1495A159">
            <w:pPr>
              <w:ind w:firstLine="0" w:firstLineChars="0"/>
              <w:jc w:val="center"/>
            </w:pPr>
            <w:r>
              <w:t>Scaffold</w:t>
            </w:r>
          </w:p>
        </w:tc>
        <w:tc>
          <w:tcPr>
            <w:tcW w:w="1440" w:type="dxa"/>
          </w:tcPr>
          <w:p w14:paraId="4B5B92CC">
            <w:pPr>
              <w:ind w:firstLine="0" w:firstLineChars="0"/>
              <w:jc w:val="center"/>
            </w:pPr>
          </w:p>
        </w:tc>
      </w:tr>
      <w:tr w14:paraId="3FC4D4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04" w:type="dxa"/>
            <w:vAlign w:val="center"/>
          </w:tcPr>
          <w:p w14:paraId="221DDF35">
            <w:pPr>
              <w:ind w:firstLine="0" w:firstLineChars="0"/>
              <w:jc w:val="center"/>
            </w:pPr>
            <w:r>
              <w:rPr>
                <w:rFonts w:hint="eastAsia"/>
              </w:rPr>
              <w:t>Bioav</w:t>
            </w:r>
          </w:p>
        </w:tc>
        <w:tc>
          <w:tcPr>
            <w:tcW w:w="1354" w:type="dxa"/>
            <w:vAlign w:val="center"/>
          </w:tcPr>
          <w:p w14:paraId="6F08B284">
            <w:pPr>
              <w:ind w:firstLine="0" w:firstLineChars="0"/>
            </w:pPr>
            <w:r>
              <w:t>0.895</w:t>
            </w:r>
            <w:r>
              <w:rPr>
                <w:rFonts w:hint="eastAsia"/>
                <w:vertAlign w:val="subscript"/>
              </w:rPr>
              <w:t>(</w:t>
            </w:r>
            <w:r>
              <w:rPr>
                <w:vertAlign w:val="subscript"/>
              </w:rPr>
              <w:t>0.021</w:t>
            </w:r>
            <w:r>
              <w:rPr>
                <w:rFonts w:hint="eastAsia"/>
                <w:vertAlign w:val="subscript"/>
              </w:rPr>
              <w:t>)</w:t>
            </w:r>
          </w:p>
        </w:tc>
        <w:tc>
          <w:tcPr>
            <w:tcW w:w="1515" w:type="dxa"/>
            <w:vAlign w:val="center"/>
          </w:tcPr>
          <w:p w14:paraId="3BB56FFC">
            <w:pPr>
              <w:ind w:firstLine="0" w:firstLineChars="0"/>
              <w:jc w:val="center"/>
            </w:pPr>
            <w:r>
              <w:t>0.892</w:t>
            </w:r>
            <w:r>
              <w:rPr>
                <w:rFonts w:hint="eastAsia"/>
                <w:vertAlign w:val="subscript"/>
              </w:rPr>
              <w:t>(</w:t>
            </w:r>
            <w:r>
              <w:rPr>
                <w:vertAlign w:val="subscript"/>
              </w:rPr>
              <w:t>0.012</w:t>
            </w:r>
            <w:r>
              <w:rPr>
                <w:rFonts w:hint="eastAsia"/>
                <w:vertAlign w:val="subscript"/>
              </w:rPr>
              <w:t>)</w:t>
            </w:r>
          </w:p>
        </w:tc>
        <w:tc>
          <w:tcPr>
            <w:tcW w:w="1102" w:type="dxa"/>
            <w:vAlign w:val="center"/>
          </w:tcPr>
          <w:p w14:paraId="3A95DE1B">
            <w:pPr>
              <w:ind w:firstLine="0" w:firstLineChars="0"/>
              <w:jc w:val="center"/>
            </w:pPr>
            <w:r>
              <w:t>AUROC</w:t>
            </w:r>
          </w:p>
        </w:tc>
        <w:tc>
          <w:tcPr>
            <w:tcW w:w="1189" w:type="dxa"/>
            <w:vAlign w:val="center"/>
          </w:tcPr>
          <w:p w14:paraId="22767732">
            <w:pPr>
              <w:ind w:firstLine="0" w:firstLineChars="0"/>
              <w:jc w:val="center"/>
            </w:pPr>
            <w:r>
              <w:t>Scaffold</w:t>
            </w:r>
          </w:p>
        </w:tc>
        <w:tc>
          <w:tcPr>
            <w:tcW w:w="1440" w:type="dxa"/>
          </w:tcPr>
          <w:p w14:paraId="35C77449">
            <w:pPr>
              <w:ind w:firstLine="0" w:firstLineChars="0"/>
              <w:jc w:val="center"/>
            </w:pPr>
          </w:p>
        </w:tc>
      </w:tr>
      <w:tr w14:paraId="676C95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04" w:type="dxa"/>
            <w:vAlign w:val="center"/>
          </w:tcPr>
          <w:p w14:paraId="7D081E7C">
            <w:pPr>
              <w:ind w:firstLine="0" w:firstLineChars="0"/>
              <w:jc w:val="center"/>
            </w:pPr>
            <w:r>
              <w:rPr>
                <w:rFonts w:hint="eastAsia"/>
              </w:rPr>
              <w:t>Lipo</w:t>
            </w:r>
          </w:p>
        </w:tc>
        <w:tc>
          <w:tcPr>
            <w:tcW w:w="1354" w:type="dxa"/>
            <w:vAlign w:val="center"/>
          </w:tcPr>
          <w:p w14:paraId="3B866F7C">
            <w:pPr>
              <w:ind w:firstLine="0" w:firstLineChars="0"/>
            </w:pPr>
            <w:r>
              <w:t>0.541</w:t>
            </w:r>
            <w:r>
              <w:rPr>
                <w:rFonts w:hint="eastAsia"/>
                <w:vertAlign w:val="subscript"/>
              </w:rPr>
              <w:t>(</w:t>
            </w:r>
            <w:r>
              <w:rPr>
                <w:vertAlign w:val="subscript"/>
              </w:rPr>
              <w:t>0.011</w:t>
            </w:r>
            <w:r>
              <w:rPr>
                <w:rFonts w:hint="eastAsia"/>
                <w:vertAlign w:val="subscript"/>
              </w:rPr>
              <w:t>)</w:t>
            </w:r>
          </w:p>
        </w:tc>
        <w:tc>
          <w:tcPr>
            <w:tcW w:w="1515" w:type="dxa"/>
            <w:vAlign w:val="center"/>
          </w:tcPr>
          <w:p w14:paraId="2F6FCC61">
            <w:pPr>
              <w:ind w:firstLine="0" w:firstLineChars="0"/>
              <w:jc w:val="center"/>
            </w:pPr>
            <w:r>
              <w:t>0.572</w:t>
            </w:r>
            <w:r>
              <w:rPr>
                <w:rFonts w:hint="eastAsia"/>
                <w:vertAlign w:val="subscript"/>
              </w:rPr>
              <w:t>(</w:t>
            </w:r>
            <w:r>
              <w:rPr>
                <w:vertAlign w:val="subscript"/>
              </w:rPr>
              <w:t>0.007</w:t>
            </w:r>
            <w:r>
              <w:rPr>
                <w:rFonts w:hint="eastAsia"/>
                <w:vertAlign w:val="subscript"/>
              </w:rPr>
              <w:t>)</w:t>
            </w:r>
          </w:p>
        </w:tc>
        <w:tc>
          <w:tcPr>
            <w:tcW w:w="1102" w:type="dxa"/>
            <w:vAlign w:val="center"/>
          </w:tcPr>
          <w:p w14:paraId="6F006107">
            <w:pPr>
              <w:ind w:firstLine="0" w:firstLineChars="0"/>
              <w:jc w:val="center"/>
            </w:pPr>
            <w:r>
              <w:t>MAE</w:t>
            </w:r>
          </w:p>
        </w:tc>
        <w:tc>
          <w:tcPr>
            <w:tcW w:w="1189" w:type="dxa"/>
            <w:vAlign w:val="center"/>
          </w:tcPr>
          <w:p w14:paraId="7C9747CB">
            <w:pPr>
              <w:ind w:firstLine="0" w:firstLineChars="0"/>
              <w:jc w:val="center"/>
            </w:pPr>
            <w:r>
              <w:t>Scaffold</w:t>
            </w:r>
          </w:p>
        </w:tc>
        <w:tc>
          <w:tcPr>
            <w:tcW w:w="1440" w:type="dxa"/>
          </w:tcPr>
          <w:p w14:paraId="52AA397F">
            <w:pPr>
              <w:ind w:firstLine="0" w:firstLineChars="0"/>
              <w:jc w:val="center"/>
            </w:pPr>
          </w:p>
        </w:tc>
      </w:tr>
      <w:tr w14:paraId="1EEE2D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04" w:type="dxa"/>
            <w:vAlign w:val="center"/>
          </w:tcPr>
          <w:p w14:paraId="4BB508D2">
            <w:pPr>
              <w:ind w:firstLine="0" w:firstLineChars="0"/>
              <w:jc w:val="center"/>
            </w:pPr>
            <w:r>
              <w:rPr>
                <w:rFonts w:hint="eastAsia"/>
              </w:rPr>
              <w:t>BBB</w:t>
            </w:r>
          </w:p>
        </w:tc>
        <w:tc>
          <w:tcPr>
            <w:tcW w:w="1354" w:type="dxa"/>
            <w:vAlign w:val="center"/>
          </w:tcPr>
          <w:p w14:paraId="7B203721">
            <w:pPr>
              <w:ind w:firstLine="0" w:firstLineChars="0"/>
              <w:jc w:val="center"/>
            </w:pPr>
            <w:r>
              <w:t>0.842</w:t>
            </w:r>
            <w:r>
              <w:rPr>
                <w:rFonts w:hint="eastAsia"/>
                <w:vertAlign w:val="subscript"/>
              </w:rPr>
              <w:t>(</w:t>
            </w:r>
            <w:r>
              <w:rPr>
                <w:vertAlign w:val="subscript"/>
              </w:rPr>
              <w:t>0.016</w:t>
            </w:r>
            <w:r>
              <w:rPr>
                <w:rFonts w:hint="eastAsia"/>
                <w:vertAlign w:val="subscript"/>
              </w:rPr>
              <w:t>)</w:t>
            </w:r>
          </w:p>
        </w:tc>
        <w:tc>
          <w:tcPr>
            <w:tcW w:w="1515" w:type="dxa"/>
            <w:vAlign w:val="center"/>
          </w:tcPr>
          <w:p w14:paraId="1DEFDAD6">
            <w:pPr>
              <w:ind w:firstLine="0" w:firstLineChars="0"/>
              <w:jc w:val="center"/>
            </w:pPr>
            <w:r>
              <w:t>0.855</w:t>
            </w:r>
            <w:r>
              <w:rPr>
                <w:rFonts w:hint="eastAsia"/>
                <w:vertAlign w:val="subscript"/>
              </w:rPr>
              <w:t>(</w:t>
            </w:r>
            <w:r>
              <w:rPr>
                <w:vertAlign w:val="subscript"/>
              </w:rPr>
              <w:t>0.011</w:t>
            </w:r>
            <w:r>
              <w:rPr>
                <w:rFonts w:hint="eastAsia"/>
                <w:vertAlign w:val="subscript"/>
              </w:rPr>
              <w:t>)</w:t>
            </w:r>
          </w:p>
        </w:tc>
        <w:tc>
          <w:tcPr>
            <w:tcW w:w="1102" w:type="dxa"/>
            <w:vAlign w:val="center"/>
          </w:tcPr>
          <w:p w14:paraId="15AB024F">
            <w:pPr>
              <w:ind w:firstLine="0" w:firstLineChars="0"/>
              <w:jc w:val="center"/>
            </w:pPr>
            <w:r>
              <w:t>AUROC</w:t>
            </w:r>
          </w:p>
        </w:tc>
        <w:tc>
          <w:tcPr>
            <w:tcW w:w="1189" w:type="dxa"/>
            <w:vAlign w:val="center"/>
          </w:tcPr>
          <w:p w14:paraId="5C845DE0">
            <w:pPr>
              <w:ind w:firstLine="0" w:firstLineChars="0"/>
              <w:jc w:val="center"/>
            </w:pPr>
            <w:r>
              <w:t>Scaffold</w:t>
            </w:r>
          </w:p>
        </w:tc>
        <w:tc>
          <w:tcPr>
            <w:tcW w:w="1440" w:type="dxa"/>
          </w:tcPr>
          <w:p w14:paraId="5D1237A9">
            <w:pPr>
              <w:ind w:firstLine="0" w:firstLineChars="0"/>
              <w:jc w:val="center"/>
            </w:pPr>
          </w:p>
        </w:tc>
      </w:tr>
      <w:tr w14:paraId="035C4D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04" w:type="dxa"/>
            <w:vAlign w:val="center"/>
          </w:tcPr>
          <w:p w14:paraId="325C2E07">
            <w:pPr>
              <w:ind w:firstLine="0" w:firstLineChars="0"/>
              <w:jc w:val="center"/>
            </w:pPr>
            <w:r>
              <w:rPr>
                <w:rFonts w:hint="eastAsia"/>
              </w:rPr>
              <w:t>PPBR</w:t>
            </w:r>
          </w:p>
        </w:tc>
        <w:tc>
          <w:tcPr>
            <w:tcW w:w="1354" w:type="dxa"/>
            <w:vAlign w:val="center"/>
          </w:tcPr>
          <w:p w14:paraId="155EA201">
            <w:pPr>
              <w:ind w:firstLine="0" w:firstLineChars="0"/>
            </w:pPr>
            <w:r>
              <w:t>10.194</w:t>
            </w:r>
            <w:r>
              <w:rPr>
                <w:rFonts w:hint="eastAsia"/>
                <w:vertAlign w:val="subscript"/>
              </w:rPr>
              <w:t>(</w:t>
            </w:r>
            <w:r>
              <w:rPr>
                <w:vertAlign w:val="subscript"/>
              </w:rPr>
              <w:t>0.373</w:t>
            </w:r>
            <w:r>
              <w:rPr>
                <w:rFonts w:hint="eastAsia"/>
                <w:vertAlign w:val="subscript"/>
              </w:rPr>
              <w:t>)</w:t>
            </w:r>
          </w:p>
        </w:tc>
        <w:tc>
          <w:tcPr>
            <w:tcW w:w="1515" w:type="dxa"/>
            <w:vAlign w:val="center"/>
          </w:tcPr>
          <w:p w14:paraId="6A79C392">
            <w:pPr>
              <w:ind w:firstLine="0" w:firstLineChars="0"/>
              <w:jc w:val="center"/>
            </w:pPr>
            <w:r>
              <w:t>9.373</w:t>
            </w:r>
            <w:r>
              <w:rPr>
                <w:rFonts w:hint="eastAsia"/>
                <w:vertAlign w:val="subscript"/>
              </w:rPr>
              <w:t>(</w:t>
            </w:r>
            <w:r>
              <w:rPr>
                <w:vertAlign w:val="subscript"/>
              </w:rPr>
              <w:t>0.335</w:t>
            </w:r>
            <w:r>
              <w:rPr>
                <w:rFonts w:hint="eastAsia"/>
                <w:vertAlign w:val="subscript"/>
              </w:rPr>
              <w:t>)</w:t>
            </w:r>
          </w:p>
        </w:tc>
        <w:tc>
          <w:tcPr>
            <w:tcW w:w="1102" w:type="dxa"/>
            <w:vAlign w:val="center"/>
          </w:tcPr>
          <w:p w14:paraId="5C50B59E">
            <w:pPr>
              <w:ind w:firstLine="0" w:firstLineChars="0"/>
              <w:jc w:val="center"/>
            </w:pPr>
            <w:r>
              <w:t>MAE</w:t>
            </w:r>
          </w:p>
        </w:tc>
        <w:tc>
          <w:tcPr>
            <w:tcW w:w="1189" w:type="dxa"/>
            <w:vAlign w:val="center"/>
          </w:tcPr>
          <w:p w14:paraId="1F5458B9">
            <w:pPr>
              <w:ind w:firstLine="0" w:firstLineChars="0"/>
              <w:jc w:val="center"/>
            </w:pPr>
            <w:r>
              <w:t>Scaffold</w:t>
            </w:r>
          </w:p>
        </w:tc>
        <w:tc>
          <w:tcPr>
            <w:tcW w:w="1440" w:type="dxa"/>
          </w:tcPr>
          <w:p w14:paraId="01DC8162">
            <w:pPr>
              <w:ind w:firstLine="0" w:firstLineChars="0"/>
              <w:jc w:val="center"/>
            </w:pPr>
          </w:p>
        </w:tc>
      </w:tr>
      <w:tr w14:paraId="2D6B89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04" w:type="dxa"/>
            <w:vAlign w:val="center"/>
          </w:tcPr>
          <w:p w14:paraId="071E3968">
            <w:pPr>
              <w:ind w:firstLine="0" w:firstLineChars="0"/>
              <w:jc w:val="center"/>
            </w:pPr>
            <w:r>
              <w:rPr>
                <w:rFonts w:hint="eastAsia"/>
              </w:rPr>
              <w:t>VDss</w:t>
            </w:r>
          </w:p>
        </w:tc>
        <w:tc>
          <w:tcPr>
            <w:tcW w:w="1354" w:type="dxa"/>
            <w:vAlign w:val="center"/>
          </w:tcPr>
          <w:p w14:paraId="2D8CFFAC">
            <w:pPr>
              <w:ind w:firstLine="0" w:firstLineChars="0"/>
              <w:jc w:val="center"/>
            </w:pPr>
            <w:r>
              <w:t>0.457</w:t>
            </w:r>
            <w:r>
              <w:rPr>
                <w:rFonts w:hint="eastAsia"/>
                <w:vertAlign w:val="subscript"/>
              </w:rPr>
              <w:t>(</w:t>
            </w:r>
            <w:r>
              <w:rPr>
                <w:vertAlign w:val="subscript"/>
              </w:rPr>
              <w:t>0.050</w:t>
            </w:r>
            <w:r>
              <w:rPr>
                <w:rFonts w:hint="eastAsia"/>
                <w:vertAlign w:val="subscript"/>
              </w:rPr>
              <w:t>)</w:t>
            </w:r>
          </w:p>
        </w:tc>
        <w:tc>
          <w:tcPr>
            <w:tcW w:w="1515" w:type="dxa"/>
            <w:vAlign w:val="center"/>
          </w:tcPr>
          <w:p w14:paraId="15393D36">
            <w:pPr>
              <w:ind w:firstLine="0" w:firstLineChars="0"/>
              <w:jc w:val="center"/>
            </w:pPr>
            <w:r>
              <w:t>0.241</w:t>
            </w:r>
            <w:r>
              <w:rPr>
                <w:rFonts w:hint="eastAsia"/>
                <w:vertAlign w:val="subscript"/>
              </w:rPr>
              <w:t>(</w:t>
            </w:r>
            <w:r>
              <w:rPr>
                <w:vertAlign w:val="subscript"/>
              </w:rPr>
              <w:t>0.145</w:t>
            </w:r>
            <w:r>
              <w:rPr>
                <w:rFonts w:hint="eastAsia"/>
                <w:vertAlign w:val="subscript"/>
              </w:rPr>
              <w:t>)</w:t>
            </w:r>
          </w:p>
        </w:tc>
        <w:tc>
          <w:tcPr>
            <w:tcW w:w="1102" w:type="dxa"/>
            <w:vAlign w:val="center"/>
          </w:tcPr>
          <w:p w14:paraId="4FEDF764">
            <w:pPr>
              <w:ind w:firstLine="0" w:firstLineChars="0"/>
              <w:jc w:val="center"/>
            </w:pPr>
            <w:r>
              <w:t>Spearman</w:t>
            </w:r>
          </w:p>
        </w:tc>
        <w:tc>
          <w:tcPr>
            <w:tcW w:w="1189" w:type="dxa"/>
            <w:vAlign w:val="center"/>
          </w:tcPr>
          <w:p w14:paraId="773888B2">
            <w:pPr>
              <w:ind w:firstLine="0" w:firstLineChars="0"/>
              <w:jc w:val="center"/>
            </w:pPr>
            <w:r>
              <w:t>Scaffold</w:t>
            </w:r>
          </w:p>
        </w:tc>
        <w:tc>
          <w:tcPr>
            <w:tcW w:w="1440" w:type="dxa"/>
          </w:tcPr>
          <w:p w14:paraId="4EE11EE8">
            <w:pPr>
              <w:ind w:firstLine="0" w:firstLineChars="0"/>
              <w:jc w:val="center"/>
            </w:pPr>
          </w:p>
        </w:tc>
      </w:tr>
      <w:tr w14:paraId="16F134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04" w:type="dxa"/>
            <w:vAlign w:val="center"/>
          </w:tcPr>
          <w:p w14:paraId="11762267">
            <w:pPr>
              <w:ind w:firstLine="0" w:firstLineChars="0"/>
              <w:jc w:val="center"/>
            </w:pPr>
            <w:r>
              <w:rPr>
                <w:rFonts w:hint="eastAsia"/>
              </w:rPr>
              <w:t>CYP2C9 Inhibition</w:t>
            </w:r>
          </w:p>
        </w:tc>
        <w:tc>
          <w:tcPr>
            <w:tcW w:w="1354" w:type="dxa"/>
            <w:vAlign w:val="center"/>
          </w:tcPr>
          <w:p w14:paraId="7C1278FE">
            <w:pPr>
              <w:ind w:firstLine="0" w:firstLineChars="0"/>
              <w:jc w:val="center"/>
            </w:pPr>
            <w:r>
              <w:t>0.735</w:t>
            </w:r>
            <w:r>
              <w:rPr>
                <w:rFonts w:hint="eastAsia"/>
                <w:vertAlign w:val="subscript"/>
              </w:rPr>
              <w:t>(</w:t>
            </w:r>
            <w:r>
              <w:rPr>
                <w:vertAlign w:val="subscript"/>
              </w:rPr>
              <w:t>0.004</w:t>
            </w:r>
            <w:r>
              <w:rPr>
                <w:rFonts w:hint="eastAsia"/>
                <w:vertAlign w:val="subscript"/>
              </w:rPr>
              <w:t>)</w:t>
            </w:r>
          </w:p>
        </w:tc>
        <w:tc>
          <w:tcPr>
            <w:tcW w:w="1515" w:type="dxa"/>
            <w:vAlign w:val="center"/>
          </w:tcPr>
          <w:p w14:paraId="6BB8B596">
            <w:pPr>
              <w:ind w:firstLine="0" w:firstLineChars="0"/>
              <w:jc w:val="center"/>
            </w:pPr>
            <w:r>
              <w:t>0.749</w:t>
            </w:r>
            <w:r>
              <w:rPr>
                <w:rFonts w:hint="eastAsia"/>
                <w:vertAlign w:val="subscript"/>
              </w:rPr>
              <w:t>(</w:t>
            </w:r>
            <w:r>
              <w:rPr>
                <w:vertAlign w:val="subscript"/>
              </w:rPr>
              <w:t>0.004</w:t>
            </w:r>
            <w:r>
              <w:rPr>
                <w:rFonts w:hint="eastAsia"/>
                <w:vertAlign w:val="subscript"/>
              </w:rPr>
              <w:t>)</w:t>
            </w:r>
          </w:p>
        </w:tc>
        <w:tc>
          <w:tcPr>
            <w:tcW w:w="1102" w:type="dxa"/>
            <w:vAlign w:val="center"/>
          </w:tcPr>
          <w:p w14:paraId="281B2B83">
            <w:pPr>
              <w:ind w:firstLine="0" w:firstLineChars="0"/>
              <w:jc w:val="center"/>
            </w:pPr>
            <w:r>
              <w:t>AUPRC</w:t>
            </w:r>
          </w:p>
        </w:tc>
        <w:tc>
          <w:tcPr>
            <w:tcW w:w="1189" w:type="dxa"/>
            <w:vAlign w:val="center"/>
          </w:tcPr>
          <w:p w14:paraId="35610959">
            <w:pPr>
              <w:ind w:firstLine="0" w:firstLineChars="0"/>
              <w:jc w:val="center"/>
            </w:pPr>
            <w:r>
              <w:t>Scaffold</w:t>
            </w:r>
          </w:p>
        </w:tc>
        <w:tc>
          <w:tcPr>
            <w:tcW w:w="1440" w:type="dxa"/>
          </w:tcPr>
          <w:p w14:paraId="66B05D1E">
            <w:pPr>
              <w:ind w:firstLine="0" w:firstLineChars="0"/>
              <w:jc w:val="center"/>
            </w:pPr>
          </w:p>
        </w:tc>
      </w:tr>
      <w:tr w14:paraId="6B6AAC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04" w:type="dxa"/>
            <w:vAlign w:val="center"/>
          </w:tcPr>
          <w:p w14:paraId="3E6B4185">
            <w:pPr>
              <w:ind w:firstLine="0" w:firstLineChars="0"/>
              <w:jc w:val="center"/>
            </w:pPr>
            <w:r>
              <w:rPr>
                <w:rFonts w:hint="eastAsia"/>
              </w:rPr>
              <w:t>CYP2D6 Inhibition</w:t>
            </w:r>
          </w:p>
        </w:tc>
        <w:tc>
          <w:tcPr>
            <w:tcW w:w="1354" w:type="dxa"/>
            <w:vAlign w:val="center"/>
          </w:tcPr>
          <w:p w14:paraId="33BD545F">
            <w:pPr>
              <w:ind w:firstLine="0" w:firstLineChars="0"/>
              <w:jc w:val="center"/>
            </w:pPr>
            <w:r>
              <w:t>0.616</w:t>
            </w:r>
            <w:r>
              <w:rPr>
                <w:rFonts w:hint="eastAsia"/>
                <w:vertAlign w:val="subscript"/>
              </w:rPr>
              <w:t>(</w:t>
            </w:r>
            <w:r>
              <w:rPr>
                <w:vertAlign w:val="subscript"/>
              </w:rPr>
              <w:t>0.020</w:t>
            </w:r>
            <w:r>
              <w:rPr>
                <w:rFonts w:hint="eastAsia"/>
                <w:vertAlign w:val="subscript"/>
              </w:rPr>
              <w:t>)</w:t>
            </w:r>
          </w:p>
        </w:tc>
        <w:tc>
          <w:tcPr>
            <w:tcW w:w="1515" w:type="dxa"/>
            <w:vAlign w:val="center"/>
          </w:tcPr>
          <w:p w14:paraId="015A9E2D">
            <w:pPr>
              <w:ind w:firstLine="0" w:firstLineChars="0"/>
              <w:jc w:val="center"/>
            </w:pPr>
            <w:r>
              <w:t>0.646</w:t>
            </w:r>
            <w:r>
              <w:rPr>
                <w:rFonts w:hint="eastAsia"/>
                <w:vertAlign w:val="subscript"/>
              </w:rPr>
              <w:t>(</w:t>
            </w:r>
            <w:r>
              <w:rPr>
                <w:vertAlign w:val="subscript"/>
              </w:rPr>
              <w:t>0.014</w:t>
            </w:r>
            <w:r>
              <w:rPr>
                <w:rFonts w:hint="eastAsia"/>
                <w:vertAlign w:val="subscript"/>
              </w:rPr>
              <w:t>)</w:t>
            </w:r>
          </w:p>
        </w:tc>
        <w:tc>
          <w:tcPr>
            <w:tcW w:w="1102" w:type="dxa"/>
            <w:vAlign w:val="center"/>
          </w:tcPr>
          <w:p w14:paraId="0C72D9C6">
            <w:pPr>
              <w:ind w:firstLine="0" w:firstLineChars="0"/>
              <w:jc w:val="center"/>
            </w:pPr>
            <w:r>
              <w:t>AUPRC</w:t>
            </w:r>
          </w:p>
        </w:tc>
        <w:tc>
          <w:tcPr>
            <w:tcW w:w="1189" w:type="dxa"/>
            <w:vAlign w:val="center"/>
          </w:tcPr>
          <w:p w14:paraId="2D1947F7">
            <w:pPr>
              <w:ind w:firstLine="0" w:firstLineChars="0"/>
              <w:jc w:val="center"/>
            </w:pPr>
            <w:r>
              <w:t>Scaffold</w:t>
            </w:r>
          </w:p>
        </w:tc>
        <w:tc>
          <w:tcPr>
            <w:tcW w:w="1440" w:type="dxa"/>
          </w:tcPr>
          <w:p w14:paraId="3DEA9533">
            <w:pPr>
              <w:ind w:firstLine="0" w:firstLineChars="0"/>
              <w:jc w:val="center"/>
            </w:pPr>
          </w:p>
        </w:tc>
      </w:tr>
      <w:tr w14:paraId="65B0EA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04" w:type="dxa"/>
            <w:vAlign w:val="center"/>
          </w:tcPr>
          <w:p w14:paraId="765AC4BB">
            <w:pPr>
              <w:ind w:firstLine="0" w:firstLineChars="0"/>
              <w:jc w:val="center"/>
            </w:pPr>
            <w:r>
              <w:rPr>
                <w:rFonts w:hint="eastAsia"/>
              </w:rPr>
              <w:t>CYP3A4 Inhibition</w:t>
            </w:r>
          </w:p>
        </w:tc>
        <w:tc>
          <w:tcPr>
            <w:tcW w:w="1354" w:type="dxa"/>
            <w:vAlign w:val="center"/>
          </w:tcPr>
          <w:p w14:paraId="133A2A41">
            <w:pPr>
              <w:ind w:firstLine="0" w:firstLineChars="0"/>
              <w:jc w:val="center"/>
            </w:pPr>
            <w:r>
              <w:t>0.840</w:t>
            </w:r>
            <w:r>
              <w:rPr>
                <w:rFonts w:hint="eastAsia"/>
                <w:vertAlign w:val="subscript"/>
              </w:rPr>
              <w:t>(</w:t>
            </w:r>
            <w:r>
              <w:rPr>
                <w:vertAlign w:val="subscript"/>
              </w:rPr>
              <w:t>0.010</w:t>
            </w:r>
            <w:r>
              <w:rPr>
                <w:rFonts w:hint="eastAsia"/>
                <w:vertAlign w:val="subscript"/>
              </w:rPr>
              <w:t>)</w:t>
            </w:r>
          </w:p>
        </w:tc>
        <w:tc>
          <w:tcPr>
            <w:tcW w:w="1515" w:type="dxa"/>
            <w:vAlign w:val="center"/>
          </w:tcPr>
          <w:p w14:paraId="3973BDE1">
            <w:pPr>
              <w:ind w:firstLine="0" w:firstLineChars="0"/>
              <w:jc w:val="center"/>
            </w:pPr>
            <w:r>
              <w:t>0.851</w:t>
            </w:r>
            <w:r>
              <w:rPr>
                <w:rFonts w:hint="eastAsia"/>
                <w:vertAlign w:val="subscript"/>
              </w:rPr>
              <w:t>(</w:t>
            </w:r>
            <w:r>
              <w:rPr>
                <w:vertAlign w:val="subscript"/>
              </w:rPr>
              <w:t>0.006</w:t>
            </w:r>
            <w:r>
              <w:rPr>
                <w:rFonts w:hint="eastAsia"/>
                <w:vertAlign w:val="subscript"/>
              </w:rPr>
              <w:t>)</w:t>
            </w:r>
          </w:p>
        </w:tc>
        <w:tc>
          <w:tcPr>
            <w:tcW w:w="1102" w:type="dxa"/>
            <w:vAlign w:val="center"/>
          </w:tcPr>
          <w:p w14:paraId="28483868">
            <w:pPr>
              <w:ind w:firstLine="0" w:firstLineChars="0"/>
              <w:jc w:val="center"/>
            </w:pPr>
            <w:r>
              <w:t>AUPRC</w:t>
            </w:r>
          </w:p>
        </w:tc>
        <w:tc>
          <w:tcPr>
            <w:tcW w:w="1189" w:type="dxa"/>
            <w:vAlign w:val="center"/>
          </w:tcPr>
          <w:p w14:paraId="75A8B52F">
            <w:pPr>
              <w:ind w:firstLine="0" w:firstLineChars="0"/>
              <w:jc w:val="center"/>
            </w:pPr>
            <w:r>
              <w:t>Scaffold</w:t>
            </w:r>
          </w:p>
        </w:tc>
        <w:tc>
          <w:tcPr>
            <w:tcW w:w="1440" w:type="dxa"/>
          </w:tcPr>
          <w:p w14:paraId="643BD03F">
            <w:pPr>
              <w:ind w:firstLine="0" w:firstLineChars="0"/>
              <w:jc w:val="center"/>
            </w:pPr>
          </w:p>
        </w:tc>
      </w:tr>
      <w:tr w14:paraId="14F278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04" w:type="dxa"/>
            <w:vAlign w:val="center"/>
          </w:tcPr>
          <w:p w14:paraId="4F2547D3">
            <w:pPr>
              <w:ind w:firstLine="0" w:firstLineChars="0"/>
              <w:jc w:val="center"/>
            </w:pPr>
            <w:r>
              <w:rPr>
                <w:rFonts w:hint="eastAsia"/>
              </w:rPr>
              <w:t>CYP2C9 Substrate</w:t>
            </w:r>
          </w:p>
        </w:tc>
        <w:tc>
          <w:tcPr>
            <w:tcW w:w="1354" w:type="dxa"/>
            <w:vAlign w:val="center"/>
          </w:tcPr>
          <w:p w14:paraId="64414BBB">
            <w:pPr>
              <w:ind w:firstLine="0" w:firstLineChars="0"/>
              <w:jc w:val="center"/>
            </w:pPr>
            <w:r>
              <w:t>0.344</w:t>
            </w:r>
            <w:r>
              <w:rPr>
                <w:rFonts w:hint="eastAsia"/>
                <w:vertAlign w:val="subscript"/>
              </w:rPr>
              <w:t>(</w:t>
            </w:r>
            <w:r>
              <w:rPr>
                <w:vertAlign w:val="subscript"/>
              </w:rPr>
              <w:t>0.051</w:t>
            </w:r>
            <w:r>
              <w:rPr>
                <w:rFonts w:hint="eastAsia"/>
                <w:vertAlign w:val="subscript"/>
              </w:rPr>
              <w:t>)</w:t>
            </w:r>
          </w:p>
        </w:tc>
        <w:tc>
          <w:tcPr>
            <w:tcW w:w="1515" w:type="dxa"/>
            <w:vAlign w:val="center"/>
          </w:tcPr>
          <w:p w14:paraId="38033C38">
            <w:pPr>
              <w:ind w:firstLine="0" w:firstLineChars="0"/>
              <w:jc w:val="center"/>
            </w:pPr>
            <w:r>
              <w:t>0.375</w:t>
            </w:r>
            <w:r>
              <w:rPr>
                <w:rFonts w:hint="eastAsia"/>
                <w:vertAlign w:val="subscript"/>
              </w:rPr>
              <w:t>(</w:t>
            </w:r>
            <w:r>
              <w:rPr>
                <w:vertAlign w:val="subscript"/>
              </w:rPr>
              <w:t>0.032</w:t>
            </w:r>
            <w:r>
              <w:rPr>
                <w:rFonts w:hint="eastAsia"/>
                <w:vertAlign w:val="subscript"/>
              </w:rPr>
              <w:t>)</w:t>
            </w:r>
          </w:p>
        </w:tc>
        <w:tc>
          <w:tcPr>
            <w:tcW w:w="1102" w:type="dxa"/>
            <w:vAlign w:val="center"/>
          </w:tcPr>
          <w:p w14:paraId="6F2A10C6">
            <w:pPr>
              <w:ind w:firstLine="0" w:firstLineChars="0"/>
              <w:jc w:val="center"/>
            </w:pPr>
            <w:r>
              <w:t>AUPRC</w:t>
            </w:r>
          </w:p>
        </w:tc>
        <w:tc>
          <w:tcPr>
            <w:tcW w:w="1189" w:type="dxa"/>
            <w:vAlign w:val="center"/>
          </w:tcPr>
          <w:p w14:paraId="3BD2735E">
            <w:pPr>
              <w:ind w:firstLine="0" w:firstLineChars="0"/>
              <w:jc w:val="center"/>
            </w:pPr>
            <w:r>
              <w:t>Scaffold</w:t>
            </w:r>
          </w:p>
        </w:tc>
        <w:tc>
          <w:tcPr>
            <w:tcW w:w="1440" w:type="dxa"/>
          </w:tcPr>
          <w:p w14:paraId="13A0A54F">
            <w:pPr>
              <w:ind w:firstLine="0" w:firstLineChars="0"/>
              <w:jc w:val="center"/>
            </w:pPr>
          </w:p>
        </w:tc>
      </w:tr>
      <w:tr w14:paraId="2F2689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04" w:type="dxa"/>
            <w:vAlign w:val="center"/>
          </w:tcPr>
          <w:p w14:paraId="34F66453">
            <w:pPr>
              <w:ind w:firstLine="0" w:firstLineChars="0"/>
              <w:jc w:val="center"/>
            </w:pPr>
            <w:r>
              <w:rPr>
                <w:rFonts w:hint="eastAsia"/>
              </w:rPr>
              <w:t>CYP2D6 Substrate</w:t>
            </w:r>
          </w:p>
        </w:tc>
        <w:tc>
          <w:tcPr>
            <w:tcW w:w="1354" w:type="dxa"/>
            <w:vAlign w:val="center"/>
          </w:tcPr>
          <w:p w14:paraId="6B7386B0">
            <w:pPr>
              <w:ind w:firstLine="0" w:firstLineChars="0"/>
              <w:jc w:val="center"/>
            </w:pPr>
            <w:r>
              <w:t>0.617</w:t>
            </w:r>
            <w:r>
              <w:rPr>
                <w:rFonts w:hint="eastAsia"/>
                <w:vertAlign w:val="subscript"/>
              </w:rPr>
              <w:t>(</w:t>
            </w:r>
            <w:r>
              <w:rPr>
                <w:vertAlign w:val="subscript"/>
              </w:rPr>
              <w:t>0.039</w:t>
            </w:r>
            <w:r>
              <w:rPr>
                <w:rFonts w:hint="eastAsia"/>
                <w:vertAlign w:val="subscript"/>
              </w:rPr>
              <w:t>)</w:t>
            </w:r>
          </w:p>
        </w:tc>
        <w:tc>
          <w:tcPr>
            <w:tcW w:w="1515" w:type="dxa"/>
            <w:vAlign w:val="center"/>
          </w:tcPr>
          <w:p w14:paraId="4A02F32A">
            <w:pPr>
              <w:ind w:firstLine="0" w:firstLineChars="0"/>
              <w:jc w:val="center"/>
            </w:pPr>
            <w:r>
              <w:t>0.574</w:t>
            </w:r>
            <w:r>
              <w:rPr>
                <w:rFonts w:hint="eastAsia"/>
                <w:vertAlign w:val="subscript"/>
              </w:rPr>
              <w:t>(</w:t>
            </w:r>
            <w:r>
              <w:rPr>
                <w:vertAlign w:val="subscript"/>
              </w:rPr>
              <w:t>0.030</w:t>
            </w:r>
            <w:r>
              <w:rPr>
                <w:rFonts w:hint="eastAsia"/>
                <w:vertAlign w:val="subscript"/>
              </w:rPr>
              <w:t>)</w:t>
            </w:r>
          </w:p>
        </w:tc>
        <w:tc>
          <w:tcPr>
            <w:tcW w:w="1102" w:type="dxa"/>
            <w:vAlign w:val="center"/>
          </w:tcPr>
          <w:p w14:paraId="6E377B61">
            <w:pPr>
              <w:ind w:firstLine="0" w:firstLineChars="0"/>
              <w:jc w:val="center"/>
            </w:pPr>
            <w:r>
              <w:t>AUPRC</w:t>
            </w:r>
          </w:p>
        </w:tc>
        <w:tc>
          <w:tcPr>
            <w:tcW w:w="1189" w:type="dxa"/>
            <w:vAlign w:val="center"/>
          </w:tcPr>
          <w:p w14:paraId="6185325F">
            <w:pPr>
              <w:ind w:firstLine="0" w:firstLineChars="0"/>
              <w:jc w:val="center"/>
            </w:pPr>
            <w:r>
              <w:t>Scaffold</w:t>
            </w:r>
          </w:p>
        </w:tc>
        <w:tc>
          <w:tcPr>
            <w:tcW w:w="1440" w:type="dxa"/>
          </w:tcPr>
          <w:p w14:paraId="4DEA4359">
            <w:pPr>
              <w:ind w:firstLine="0" w:firstLineChars="0"/>
              <w:jc w:val="center"/>
            </w:pPr>
          </w:p>
        </w:tc>
      </w:tr>
      <w:tr w14:paraId="2879F4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04" w:type="dxa"/>
            <w:vAlign w:val="center"/>
          </w:tcPr>
          <w:p w14:paraId="746A1129">
            <w:pPr>
              <w:ind w:firstLine="0" w:firstLineChars="0"/>
              <w:jc w:val="center"/>
            </w:pPr>
            <w:r>
              <w:rPr>
                <w:rFonts w:hint="eastAsia"/>
              </w:rPr>
              <w:t>CYP3A4 Substrate</w:t>
            </w:r>
          </w:p>
        </w:tc>
        <w:tc>
          <w:tcPr>
            <w:tcW w:w="1354" w:type="dxa"/>
            <w:vAlign w:val="center"/>
          </w:tcPr>
          <w:p w14:paraId="24215578">
            <w:pPr>
              <w:ind w:firstLine="0" w:firstLineChars="0"/>
              <w:jc w:val="center"/>
            </w:pPr>
            <w:r>
              <w:t>0.590</w:t>
            </w:r>
            <w:r>
              <w:rPr>
                <w:rFonts w:hint="eastAsia"/>
                <w:vertAlign w:val="subscript"/>
              </w:rPr>
              <w:t>(</w:t>
            </w:r>
            <w:r>
              <w:rPr>
                <w:vertAlign w:val="subscript"/>
              </w:rPr>
              <w:t>0.023</w:t>
            </w:r>
            <w:r>
              <w:rPr>
                <w:rFonts w:hint="eastAsia"/>
                <w:vertAlign w:val="subscript"/>
              </w:rPr>
              <w:t>)</w:t>
            </w:r>
          </w:p>
        </w:tc>
        <w:tc>
          <w:tcPr>
            <w:tcW w:w="1515" w:type="dxa"/>
            <w:vAlign w:val="center"/>
          </w:tcPr>
          <w:p w14:paraId="2DD8B4F0">
            <w:pPr>
              <w:ind w:firstLine="0" w:firstLineChars="0"/>
              <w:jc w:val="center"/>
            </w:pPr>
            <w:r>
              <w:t>0.576</w:t>
            </w:r>
            <w:r>
              <w:rPr>
                <w:rFonts w:hint="eastAsia"/>
                <w:vertAlign w:val="subscript"/>
              </w:rPr>
              <w:t>(</w:t>
            </w:r>
            <w:r>
              <w:rPr>
                <w:vertAlign w:val="subscript"/>
              </w:rPr>
              <w:t>0.025</w:t>
            </w:r>
            <w:r>
              <w:rPr>
                <w:rFonts w:hint="eastAsia"/>
                <w:vertAlign w:val="subscript"/>
              </w:rPr>
              <w:t>)</w:t>
            </w:r>
          </w:p>
        </w:tc>
        <w:tc>
          <w:tcPr>
            <w:tcW w:w="1102" w:type="dxa"/>
            <w:vAlign w:val="center"/>
          </w:tcPr>
          <w:p w14:paraId="6DA21495">
            <w:pPr>
              <w:ind w:firstLine="0" w:firstLineChars="0"/>
              <w:jc w:val="center"/>
            </w:pPr>
            <w:r>
              <w:t>AUPRC</w:t>
            </w:r>
          </w:p>
        </w:tc>
        <w:tc>
          <w:tcPr>
            <w:tcW w:w="1189" w:type="dxa"/>
            <w:vAlign w:val="center"/>
          </w:tcPr>
          <w:p w14:paraId="7DFC7736">
            <w:pPr>
              <w:tabs>
                <w:tab w:val="center" w:pos="564"/>
              </w:tabs>
              <w:ind w:firstLine="0" w:firstLineChars="0"/>
              <w:jc w:val="center"/>
            </w:pPr>
            <w:r>
              <w:t>Scaffold</w:t>
            </w:r>
          </w:p>
        </w:tc>
        <w:tc>
          <w:tcPr>
            <w:tcW w:w="1440" w:type="dxa"/>
          </w:tcPr>
          <w:p w14:paraId="59763FC9">
            <w:pPr>
              <w:tabs>
                <w:tab w:val="center" w:pos="564"/>
              </w:tabs>
              <w:ind w:firstLine="0" w:firstLineChars="0"/>
              <w:jc w:val="center"/>
            </w:pPr>
          </w:p>
        </w:tc>
      </w:tr>
      <w:tr w14:paraId="5F3BB6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04" w:type="dxa"/>
            <w:vAlign w:val="center"/>
          </w:tcPr>
          <w:p w14:paraId="69B46D66">
            <w:pPr>
              <w:ind w:firstLine="0" w:firstLineChars="0"/>
              <w:jc w:val="center"/>
            </w:pPr>
            <w:r>
              <w:rPr>
                <w:rFonts w:hint="eastAsia"/>
              </w:rPr>
              <w:t>Half life</w:t>
            </w:r>
          </w:p>
        </w:tc>
        <w:tc>
          <w:tcPr>
            <w:tcW w:w="1354" w:type="dxa"/>
            <w:vAlign w:val="center"/>
          </w:tcPr>
          <w:p w14:paraId="49D5C017">
            <w:pPr>
              <w:ind w:firstLine="0" w:firstLineChars="0"/>
              <w:jc w:val="center"/>
            </w:pPr>
            <w:r>
              <w:t>0.239</w:t>
            </w:r>
            <w:r>
              <w:rPr>
                <w:rFonts w:hint="eastAsia"/>
                <w:vertAlign w:val="subscript"/>
              </w:rPr>
              <w:t>(</w:t>
            </w:r>
            <w:r>
              <w:rPr>
                <w:vertAlign w:val="subscript"/>
              </w:rPr>
              <w:t>0.100</w:t>
            </w:r>
            <w:r>
              <w:rPr>
                <w:rFonts w:hint="eastAsia"/>
                <w:vertAlign w:val="subscript"/>
              </w:rPr>
              <w:t>)</w:t>
            </w:r>
          </w:p>
        </w:tc>
        <w:tc>
          <w:tcPr>
            <w:tcW w:w="1515" w:type="dxa"/>
            <w:vAlign w:val="center"/>
          </w:tcPr>
          <w:p w14:paraId="28370A9F">
            <w:pPr>
              <w:ind w:firstLine="0" w:firstLineChars="0"/>
              <w:jc w:val="center"/>
            </w:pPr>
            <w:r>
              <w:t>0.085</w:t>
            </w:r>
            <w:r>
              <w:rPr>
                <w:rFonts w:hint="eastAsia"/>
                <w:vertAlign w:val="subscript"/>
              </w:rPr>
              <w:t>(</w:t>
            </w:r>
            <w:r>
              <w:rPr>
                <w:vertAlign w:val="subscript"/>
              </w:rPr>
              <w:t>0.068</w:t>
            </w:r>
            <w:r>
              <w:rPr>
                <w:rFonts w:hint="eastAsia"/>
                <w:vertAlign w:val="subscript"/>
              </w:rPr>
              <w:t>)</w:t>
            </w:r>
          </w:p>
        </w:tc>
        <w:tc>
          <w:tcPr>
            <w:tcW w:w="1102" w:type="dxa"/>
            <w:vAlign w:val="center"/>
          </w:tcPr>
          <w:p w14:paraId="629F4E8D">
            <w:pPr>
              <w:ind w:firstLine="0" w:firstLineChars="0"/>
              <w:jc w:val="center"/>
            </w:pPr>
            <w:r>
              <w:t>Spearman</w:t>
            </w:r>
          </w:p>
        </w:tc>
        <w:tc>
          <w:tcPr>
            <w:tcW w:w="1189" w:type="dxa"/>
            <w:vAlign w:val="center"/>
          </w:tcPr>
          <w:p w14:paraId="14955A6E">
            <w:pPr>
              <w:ind w:firstLine="0" w:firstLineChars="0"/>
              <w:jc w:val="center"/>
            </w:pPr>
            <w:r>
              <w:t>Scaffold</w:t>
            </w:r>
          </w:p>
        </w:tc>
        <w:tc>
          <w:tcPr>
            <w:tcW w:w="1440" w:type="dxa"/>
          </w:tcPr>
          <w:p w14:paraId="40BAF452">
            <w:pPr>
              <w:ind w:firstLine="0" w:firstLineChars="0"/>
              <w:jc w:val="center"/>
            </w:pPr>
          </w:p>
        </w:tc>
      </w:tr>
      <w:tr w14:paraId="3D2E20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04" w:type="dxa"/>
            <w:vAlign w:val="center"/>
          </w:tcPr>
          <w:p w14:paraId="10DF7A43">
            <w:pPr>
              <w:ind w:firstLine="0" w:firstLineChars="0"/>
              <w:jc w:val="center"/>
            </w:pPr>
            <w:r>
              <w:rPr>
                <w:rFonts w:hint="eastAsia"/>
              </w:rPr>
              <w:t>CL-Hepa</w:t>
            </w:r>
          </w:p>
        </w:tc>
        <w:tc>
          <w:tcPr>
            <w:tcW w:w="1354" w:type="dxa"/>
            <w:vAlign w:val="center"/>
          </w:tcPr>
          <w:p w14:paraId="686215E2">
            <w:pPr>
              <w:ind w:firstLine="0" w:firstLineChars="0"/>
              <w:jc w:val="center"/>
            </w:pPr>
            <w:r>
              <w:t>0.366</w:t>
            </w:r>
            <w:r>
              <w:rPr>
                <w:rFonts w:hint="eastAsia"/>
                <w:vertAlign w:val="subscript"/>
              </w:rPr>
              <w:t>(</w:t>
            </w:r>
            <w:r>
              <w:rPr>
                <w:vertAlign w:val="subscript"/>
              </w:rPr>
              <w:t>0.063</w:t>
            </w:r>
            <w:r>
              <w:rPr>
                <w:rFonts w:hint="eastAsia"/>
                <w:vertAlign w:val="subscript"/>
              </w:rPr>
              <w:t>)</w:t>
            </w:r>
          </w:p>
        </w:tc>
        <w:tc>
          <w:tcPr>
            <w:tcW w:w="1515" w:type="dxa"/>
            <w:vAlign w:val="center"/>
          </w:tcPr>
          <w:p w14:paraId="15EE6C20">
            <w:pPr>
              <w:ind w:firstLine="0" w:firstLineChars="0"/>
              <w:jc w:val="center"/>
            </w:pPr>
            <w:r>
              <w:t>0.289</w:t>
            </w:r>
            <w:r>
              <w:rPr>
                <w:rFonts w:hint="eastAsia"/>
                <w:vertAlign w:val="subscript"/>
              </w:rPr>
              <w:t>(</w:t>
            </w:r>
            <w:r>
              <w:rPr>
                <w:vertAlign w:val="subscript"/>
              </w:rPr>
              <w:t>0.022</w:t>
            </w:r>
            <w:r>
              <w:rPr>
                <w:rFonts w:hint="eastAsia"/>
                <w:vertAlign w:val="subscript"/>
              </w:rPr>
              <w:t>)</w:t>
            </w:r>
          </w:p>
        </w:tc>
        <w:tc>
          <w:tcPr>
            <w:tcW w:w="1102" w:type="dxa"/>
            <w:vAlign w:val="center"/>
          </w:tcPr>
          <w:p w14:paraId="76B6C61D">
            <w:pPr>
              <w:ind w:firstLine="0" w:firstLineChars="0"/>
              <w:jc w:val="center"/>
            </w:pPr>
            <w:r>
              <w:t>Spearman</w:t>
            </w:r>
          </w:p>
        </w:tc>
        <w:tc>
          <w:tcPr>
            <w:tcW w:w="1189" w:type="dxa"/>
            <w:vAlign w:val="center"/>
          </w:tcPr>
          <w:p w14:paraId="5CDB331B">
            <w:pPr>
              <w:ind w:firstLine="0" w:firstLineChars="0"/>
              <w:jc w:val="center"/>
            </w:pPr>
            <w:r>
              <w:t>Scaffold</w:t>
            </w:r>
          </w:p>
        </w:tc>
        <w:tc>
          <w:tcPr>
            <w:tcW w:w="1440" w:type="dxa"/>
          </w:tcPr>
          <w:p w14:paraId="6044744A">
            <w:pPr>
              <w:ind w:firstLine="0" w:firstLineChars="0"/>
              <w:jc w:val="center"/>
            </w:pPr>
          </w:p>
        </w:tc>
      </w:tr>
      <w:tr w14:paraId="4978B8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04" w:type="dxa"/>
            <w:vAlign w:val="center"/>
          </w:tcPr>
          <w:p w14:paraId="2DAC9A0F">
            <w:pPr>
              <w:ind w:firstLine="0" w:firstLineChars="0"/>
              <w:jc w:val="center"/>
            </w:pPr>
            <w:r>
              <w:rPr>
                <w:rFonts w:hint="eastAsia"/>
              </w:rPr>
              <w:t>CL-Micro</w:t>
            </w:r>
          </w:p>
        </w:tc>
        <w:tc>
          <w:tcPr>
            <w:tcW w:w="1354" w:type="dxa"/>
            <w:vAlign w:val="center"/>
          </w:tcPr>
          <w:p w14:paraId="519EFF86">
            <w:pPr>
              <w:ind w:firstLine="0" w:firstLineChars="0"/>
              <w:jc w:val="center"/>
            </w:pPr>
            <w:r>
              <w:t>0.532</w:t>
            </w:r>
            <w:r>
              <w:rPr>
                <w:rFonts w:hint="eastAsia"/>
                <w:vertAlign w:val="subscript"/>
              </w:rPr>
              <w:t>(</w:t>
            </w:r>
            <w:r>
              <w:rPr>
                <w:vertAlign w:val="subscript"/>
              </w:rPr>
              <w:t>0.033</w:t>
            </w:r>
            <w:r>
              <w:rPr>
                <w:rFonts w:hint="eastAsia"/>
                <w:vertAlign w:val="subscript"/>
              </w:rPr>
              <w:t>)</w:t>
            </w:r>
          </w:p>
        </w:tc>
        <w:tc>
          <w:tcPr>
            <w:tcW w:w="1515" w:type="dxa"/>
            <w:vAlign w:val="center"/>
          </w:tcPr>
          <w:p w14:paraId="5BBD9BDC">
            <w:pPr>
              <w:ind w:firstLine="0" w:firstLineChars="0"/>
              <w:jc w:val="center"/>
            </w:pPr>
            <w:r>
              <w:t>0.365</w:t>
            </w:r>
            <w:r>
              <w:rPr>
                <w:rFonts w:hint="eastAsia"/>
                <w:vertAlign w:val="subscript"/>
              </w:rPr>
              <w:t>(</w:t>
            </w:r>
            <w:r>
              <w:rPr>
                <w:vertAlign w:val="subscript"/>
              </w:rPr>
              <w:t>0.055</w:t>
            </w:r>
            <w:r>
              <w:rPr>
                <w:rFonts w:hint="eastAsia"/>
                <w:vertAlign w:val="subscript"/>
              </w:rPr>
              <w:t>)</w:t>
            </w:r>
          </w:p>
        </w:tc>
        <w:tc>
          <w:tcPr>
            <w:tcW w:w="1102" w:type="dxa"/>
            <w:vAlign w:val="center"/>
          </w:tcPr>
          <w:p w14:paraId="14111B25">
            <w:pPr>
              <w:ind w:firstLine="0" w:firstLineChars="0"/>
              <w:jc w:val="center"/>
            </w:pPr>
            <w:r>
              <w:t>Spearman</w:t>
            </w:r>
          </w:p>
        </w:tc>
        <w:tc>
          <w:tcPr>
            <w:tcW w:w="1189" w:type="dxa"/>
            <w:vAlign w:val="center"/>
          </w:tcPr>
          <w:p w14:paraId="6F4B1435">
            <w:pPr>
              <w:ind w:firstLine="0" w:firstLineChars="0"/>
              <w:jc w:val="center"/>
            </w:pPr>
            <w:r>
              <w:t>Scaffold</w:t>
            </w:r>
          </w:p>
        </w:tc>
        <w:tc>
          <w:tcPr>
            <w:tcW w:w="1440" w:type="dxa"/>
          </w:tcPr>
          <w:p w14:paraId="2E53372E">
            <w:pPr>
              <w:ind w:firstLine="0" w:firstLineChars="0"/>
              <w:jc w:val="center"/>
            </w:pPr>
          </w:p>
        </w:tc>
      </w:tr>
      <w:tr w14:paraId="3AE864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04" w:type="dxa"/>
            <w:vAlign w:val="center"/>
          </w:tcPr>
          <w:p w14:paraId="374529F7">
            <w:pPr>
              <w:ind w:firstLine="0" w:firstLineChars="0"/>
              <w:jc w:val="center"/>
            </w:pPr>
            <w:r>
              <w:rPr>
                <w:rFonts w:hint="eastAsia"/>
              </w:rPr>
              <w:t>LD50</w:t>
            </w:r>
          </w:p>
        </w:tc>
        <w:tc>
          <w:tcPr>
            <w:tcW w:w="1354" w:type="dxa"/>
            <w:vAlign w:val="center"/>
          </w:tcPr>
          <w:p w14:paraId="7367B754">
            <w:pPr>
              <w:ind w:firstLine="0" w:firstLineChars="0"/>
              <w:jc w:val="center"/>
            </w:pPr>
            <w:r>
              <w:t>0.649</w:t>
            </w:r>
            <w:r>
              <w:rPr>
                <w:rFonts w:hint="eastAsia"/>
                <w:vertAlign w:val="subscript"/>
              </w:rPr>
              <w:t>(</w:t>
            </w:r>
            <w:r>
              <w:rPr>
                <w:vertAlign w:val="subscript"/>
              </w:rPr>
              <w:t>0.026</w:t>
            </w:r>
            <w:r>
              <w:rPr>
                <w:rFonts w:hint="eastAsia"/>
                <w:vertAlign w:val="subscript"/>
              </w:rPr>
              <w:t>)</w:t>
            </w:r>
          </w:p>
        </w:tc>
        <w:tc>
          <w:tcPr>
            <w:tcW w:w="1515" w:type="dxa"/>
            <w:vAlign w:val="center"/>
          </w:tcPr>
          <w:p w14:paraId="6CF1001B">
            <w:pPr>
              <w:ind w:firstLine="0" w:firstLineChars="0"/>
              <w:jc w:val="center"/>
            </w:pPr>
            <w:r>
              <w:t>0.678</w:t>
            </w:r>
            <w:r>
              <w:rPr>
                <w:rFonts w:hint="eastAsia"/>
                <w:vertAlign w:val="subscript"/>
              </w:rPr>
              <w:t>(</w:t>
            </w:r>
            <w:r>
              <w:rPr>
                <w:vertAlign w:val="subscript"/>
              </w:rPr>
              <w:t>0.012</w:t>
            </w:r>
            <w:r>
              <w:rPr>
                <w:rFonts w:hint="eastAsia"/>
                <w:vertAlign w:val="subscript"/>
              </w:rPr>
              <w:t>)</w:t>
            </w:r>
          </w:p>
        </w:tc>
        <w:tc>
          <w:tcPr>
            <w:tcW w:w="1102" w:type="dxa"/>
            <w:vAlign w:val="center"/>
          </w:tcPr>
          <w:p w14:paraId="749E0FE7">
            <w:pPr>
              <w:ind w:firstLine="0" w:firstLineChars="0"/>
              <w:jc w:val="center"/>
            </w:pPr>
            <w:r>
              <w:t>MAE</w:t>
            </w:r>
          </w:p>
        </w:tc>
        <w:tc>
          <w:tcPr>
            <w:tcW w:w="1189" w:type="dxa"/>
            <w:vAlign w:val="center"/>
          </w:tcPr>
          <w:p w14:paraId="6ED51A1C">
            <w:pPr>
              <w:ind w:firstLine="0" w:firstLineChars="0"/>
              <w:jc w:val="center"/>
            </w:pPr>
            <w:r>
              <w:t>Scaffold</w:t>
            </w:r>
          </w:p>
        </w:tc>
        <w:tc>
          <w:tcPr>
            <w:tcW w:w="1440" w:type="dxa"/>
          </w:tcPr>
          <w:p w14:paraId="0057947E">
            <w:pPr>
              <w:ind w:firstLine="0" w:firstLineChars="0"/>
              <w:jc w:val="center"/>
            </w:pPr>
          </w:p>
        </w:tc>
      </w:tr>
      <w:tr w14:paraId="2F9323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04" w:type="dxa"/>
            <w:vAlign w:val="center"/>
          </w:tcPr>
          <w:p w14:paraId="0052AB4E">
            <w:pPr>
              <w:ind w:firstLine="0" w:firstLineChars="0"/>
              <w:jc w:val="center"/>
            </w:pPr>
            <w:r>
              <w:rPr>
                <w:rFonts w:hint="eastAsia"/>
              </w:rPr>
              <w:t>hERG</w:t>
            </w:r>
          </w:p>
        </w:tc>
        <w:tc>
          <w:tcPr>
            <w:tcW w:w="1354" w:type="dxa"/>
            <w:vAlign w:val="center"/>
          </w:tcPr>
          <w:p w14:paraId="7E827EC3">
            <w:pPr>
              <w:ind w:firstLine="0" w:firstLineChars="0"/>
              <w:jc w:val="center"/>
            </w:pPr>
            <w:r>
              <w:t>0.738</w:t>
            </w:r>
            <w:r>
              <w:rPr>
                <w:rFonts w:hint="eastAsia"/>
                <w:vertAlign w:val="subscript"/>
              </w:rPr>
              <w:t>(</w:t>
            </w:r>
            <w:r>
              <w:rPr>
                <w:vertAlign w:val="subscript"/>
              </w:rPr>
              <w:t>0.038</w:t>
            </w:r>
            <w:r>
              <w:rPr>
                <w:rFonts w:hint="eastAsia"/>
                <w:vertAlign w:val="subscript"/>
              </w:rPr>
              <w:t>)</w:t>
            </w:r>
          </w:p>
        </w:tc>
        <w:tc>
          <w:tcPr>
            <w:tcW w:w="1515" w:type="dxa"/>
            <w:vAlign w:val="center"/>
          </w:tcPr>
          <w:p w14:paraId="6F45FE38">
            <w:pPr>
              <w:ind w:firstLine="0" w:firstLineChars="0"/>
              <w:jc w:val="center"/>
            </w:pPr>
            <w:r>
              <w:t>0.825</w:t>
            </w:r>
            <w:r>
              <w:rPr>
                <w:rFonts w:hint="eastAsia"/>
                <w:vertAlign w:val="subscript"/>
              </w:rPr>
              <w:t>(</w:t>
            </w:r>
            <w:r>
              <w:rPr>
                <w:vertAlign w:val="subscript"/>
              </w:rPr>
              <w:t>0.007</w:t>
            </w:r>
            <w:r>
              <w:rPr>
                <w:rFonts w:hint="eastAsia"/>
                <w:vertAlign w:val="subscript"/>
              </w:rPr>
              <w:t>)</w:t>
            </w:r>
          </w:p>
        </w:tc>
        <w:tc>
          <w:tcPr>
            <w:tcW w:w="1102" w:type="dxa"/>
            <w:vAlign w:val="center"/>
          </w:tcPr>
          <w:p w14:paraId="6B368A79">
            <w:pPr>
              <w:ind w:firstLine="0" w:firstLineChars="0"/>
              <w:jc w:val="center"/>
            </w:pPr>
            <w:r>
              <w:t>AUROC</w:t>
            </w:r>
          </w:p>
        </w:tc>
        <w:tc>
          <w:tcPr>
            <w:tcW w:w="1189" w:type="dxa"/>
            <w:vAlign w:val="center"/>
          </w:tcPr>
          <w:p w14:paraId="266B45F6">
            <w:pPr>
              <w:ind w:firstLine="0" w:firstLineChars="0"/>
              <w:jc w:val="center"/>
            </w:pPr>
            <w:r>
              <w:t>Scaffold</w:t>
            </w:r>
          </w:p>
        </w:tc>
        <w:tc>
          <w:tcPr>
            <w:tcW w:w="1440" w:type="dxa"/>
          </w:tcPr>
          <w:p w14:paraId="7C67A789">
            <w:pPr>
              <w:ind w:firstLine="0" w:firstLineChars="0"/>
              <w:jc w:val="center"/>
            </w:pPr>
          </w:p>
        </w:tc>
      </w:tr>
      <w:tr w14:paraId="399B9D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04" w:type="dxa"/>
            <w:vAlign w:val="center"/>
          </w:tcPr>
          <w:p w14:paraId="3ABE874F">
            <w:pPr>
              <w:ind w:firstLine="0" w:firstLineChars="0"/>
              <w:jc w:val="center"/>
            </w:pPr>
            <w:r>
              <w:rPr>
                <w:rFonts w:hint="eastAsia"/>
              </w:rPr>
              <w:t>Ames</w:t>
            </w:r>
          </w:p>
        </w:tc>
        <w:tc>
          <w:tcPr>
            <w:tcW w:w="1354" w:type="dxa"/>
            <w:vAlign w:val="center"/>
          </w:tcPr>
          <w:p w14:paraId="3A59B3F9">
            <w:pPr>
              <w:ind w:firstLine="0" w:firstLineChars="0"/>
              <w:jc w:val="center"/>
            </w:pPr>
            <w:r>
              <w:t>0.818</w:t>
            </w:r>
            <w:r>
              <w:rPr>
                <w:rFonts w:hint="eastAsia"/>
                <w:vertAlign w:val="subscript"/>
              </w:rPr>
              <w:t>(</w:t>
            </w:r>
            <w:r>
              <w:rPr>
                <w:vertAlign w:val="subscript"/>
              </w:rPr>
              <w:t>0.010</w:t>
            </w:r>
            <w:r>
              <w:rPr>
                <w:rFonts w:hint="eastAsia"/>
                <w:vertAlign w:val="subscript"/>
              </w:rPr>
              <w:t>)</w:t>
            </w:r>
          </w:p>
        </w:tc>
        <w:tc>
          <w:tcPr>
            <w:tcW w:w="1515" w:type="dxa"/>
            <w:vAlign w:val="center"/>
          </w:tcPr>
          <w:p w14:paraId="1E5A1BDE">
            <w:pPr>
              <w:ind w:firstLine="0" w:firstLineChars="0"/>
              <w:jc w:val="center"/>
            </w:pPr>
            <w:r>
              <w:t>0.814</w:t>
            </w:r>
            <w:r>
              <w:rPr>
                <w:rFonts w:hint="eastAsia"/>
                <w:vertAlign w:val="subscript"/>
              </w:rPr>
              <w:t>(</w:t>
            </w:r>
            <w:r>
              <w:rPr>
                <w:vertAlign w:val="subscript"/>
              </w:rPr>
              <w:t>0.008</w:t>
            </w:r>
            <w:r>
              <w:rPr>
                <w:rFonts w:hint="eastAsia"/>
                <w:vertAlign w:val="subscript"/>
              </w:rPr>
              <w:t>)</w:t>
            </w:r>
          </w:p>
        </w:tc>
        <w:tc>
          <w:tcPr>
            <w:tcW w:w="1102" w:type="dxa"/>
            <w:vAlign w:val="center"/>
          </w:tcPr>
          <w:p w14:paraId="01EBE746">
            <w:pPr>
              <w:ind w:firstLine="0" w:firstLineChars="0"/>
              <w:jc w:val="center"/>
            </w:pPr>
            <w:r>
              <w:t>AUROC</w:t>
            </w:r>
          </w:p>
        </w:tc>
        <w:tc>
          <w:tcPr>
            <w:tcW w:w="1189" w:type="dxa"/>
            <w:vAlign w:val="center"/>
          </w:tcPr>
          <w:p w14:paraId="521410D1">
            <w:pPr>
              <w:ind w:firstLine="0" w:firstLineChars="0"/>
              <w:jc w:val="center"/>
            </w:pPr>
            <w:r>
              <w:t>Scaffold</w:t>
            </w:r>
          </w:p>
        </w:tc>
        <w:tc>
          <w:tcPr>
            <w:tcW w:w="1440" w:type="dxa"/>
          </w:tcPr>
          <w:p w14:paraId="66D5F818">
            <w:pPr>
              <w:ind w:firstLine="0" w:firstLineChars="0"/>
              <w:jc w:val="center"/>
            </w:pPr>
          </w:p>
        </w:tc>
      </w:tr>
      <w:tr w14:paraId="4433DD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04" w:type="dxa"/>
            <w:vAlign w:val="center"/>
          </w:tcPr>
          <w:p w14:paraId="21EB216C">
            <w:pPr>
              <w:ind w:firstLine="0" w:firstLineChars="0"/>
              <w:jc w:val="center"/>
            </w:pPr>
            <w:r>
              <w:rPr>
                <w:rFonts w:hint="eastAsia"/>
              </w:rPr>
              <w:t>DILI</w:t>
            </w:r>
          </w:p>
        </w:tc>
        <w:tc>
          <w:tcPr>
            <w:tcW w:w="1354" w:type="dxa"/>
            <w:vAlign w:val="center"/>
          </w:tcPr>
          <w:p w14:paraId="546DE8ED">
            <w:pPr>
              <w:ind w:firstLine="0" w:firstLineChars="0"/>
              <w:jc w:val="center"/>
            </w:pPr>
            <w:r>
              <w:t>0.859</w:t>
            </w:r>
            <w:r>
              <w:rPr>
                <w:rFonts w:hint="eastAsia"/>
                <w:vertAlign w:val="subscript"/>
              </w:rPr>
              <w:t>(</w:t>
            </w:r>
            <w:r>
              <w:rPr>
                <w:vertAlign w:val="subscript"/>
              </w:rPr>
              <w:t>0.033</w:t>
            </w:r>
            <w:r>
              <w:rPr>
                <w:rFonts w:hint="eastAsia"/>
                <w:vertAlign w:val="subscript"/>
              </w:rPr>
              <w:t>)</w:t>
            </w:r>
          </w:p>
        </w:tc>
        <w:tc>
          <w:tcPr>
            <w:tcW w:w="1515" w:type="dxa"/>
            <w:vAlign w:val="center"/>
          </w:tcPr>
          <w:p w14:paraId="178DAAE2">
            <w:pPr>
              <w:ind w:firstLine="0" w:firstLineChars="0"/>
              <w:jc w:val="center"/>
            </w:pPr>
            <w:r>
              <w:t>0.886</w:t>
            </w:r>
            <w:r>
              <w:rPr>
                <w:rFonts w:hint="eastAsia"/>
                <w:vertAlign w:val="subscript"/>
              </w:rPr>
              <w:t>(</w:t>
            </w:r>
            <w:r>
              <w:rPr>
                <w:vertAlign w:val="subscript"/>
              </w:rPr>
              <w:t>0.015</w:t>
            </w:r>
            <w:r>
              <w:rPr>
                <w:rFonts w:hint="eastAsia"/>
                <w:vertAlign w:val="subscript"/>
              </w:rPr>
              <w:t>)</w:t>
            </w:r>
          </w:p>
        </w:tc>
        <w:tc>
          <w:tcPr>
            <w:tcW w:w="1102" w:type="dxa"/>
            <w:vAlign w:val="center"/>
          </w:tcPr>
          <w:p w14:paraId="30E17153">
            <w:pPr>
              <w:ind w:firstLine="0" w:firstLineChars="0"/>
              <w:jc w:val="center"/>
            </w:pPr>
            <w:r>
              <w:t>AUROC</w:t>
            </w:r>
          </w:p>
        </w:tc>
        <w:tc>
          <w:tcPr>
            <w:tcW w:w="1189" w:type="dxa"/>
            <w:vAlign w:val="center"/>
          </w:tcPr>
          <w:p w14:paraId="53C55318">
            <w:pPr>
              <w:ind w:firstLine="0" w:firstLineChars="0"/>
              <w:jc w:val="center"/>
            </w:pPr>
            <w:r>
              <w:t>Scaffold</w:t>
            </w:r>
          </w:p>
        </w:tc>
        <w:tc>
          <w:tcPr>
            <w:tcW w:w="1440" w:type="dxa"/>
          </w:tcPr>
          <w:p w14:paraId="5411A6AB">
            <w:pPr>
              <w:ind w:firstLine="0" w:firstLineChars="0"/>
              <w:jc w:val="center"/>
            </w:pPr>
          </w:p>
        </w:tc>
      </w:tr>
    </w:tbl>
    <w:p w14:paraId="14D81405">
      <w:pPr>
        <w:pStyle w:val="4"/>
        <w:rPr>
          <w:rFonts w:hint="default"/>
        </w:rPr>
      </w:pPr>
      <w:r>
        <w:t>消融实验</w:t>
      </w:r>
    </w:p>
    <w:p w14:paraId="4084C6E1">
      <w:pPr>
        <w:ind w:firstLine="480"/>
      </w:pPr>
      <w:r>
        <w:rPr>
          <w:rFonts w:hint="eastAsia"/>
        </w:rPr>
        <w:t>为系统解构 CoT-CMP 框架中各核心模块的独立贡献与协同效应，特别是探究大语言模型内部机制以及多模态融合方式对 ADMET 最终预测性能的影响，本节在统一的实验配置下，设计了五种渐进式的消融变体进行严谨的对比分析。</w:t>
      </w:r>
    </w:p>
    <w:p w14:paraId="40CE6F05">
      <w:pPr>
        <w:ind w:firstLine="480"/>
      </w:pPr>
      <w:r>
        <w:rPr>
          <w:rFonts w:hint="eastAsia"/>
        </w:rPr>
        <w:t>本研究以完整的 CoT-CMP (Full) 模型为基准上限，向下拆分特定的架构模块或优化策略，各个变体的具体定义如下：</w:t>
      </w:r>
    </w:p>
    <w:p w14:paraId="4A85DF05">
      <w:pPr>
        <w:ind w:firstLine="480"/>
      </w:pPr>
      <w:r>
        <w:rPr>
          <w:rFonts w:hint="eastAsia"/>
        </w:rPr>
        <w:t>w/o Text (纯图编码基线)：完全移除大语言模型及其对应的文本编码链路，仅保留 CMPNN 图编码器提取分子的二维拓扑特征，并通过全连接层直接输出预测结果。</w:t>
      </w:r>
    </w:p>
    <w:p w14:paraId="0CC9923E">
      <w:pPr>
        <w:ind w:firstLine="480"/>
      </w:pPr>
      <w:r>
        <w:rPr>
          <w:rFonts w:hint="eastAsia"/>
        </w:rPr>
        <w:t>w/o CMPNN (纯文本语义基线)：移除 CMPNN 图交互模块，仅依赖 LLaMA-3.1 提取的文本特征（包含 SMILES 与思维链文本）进行预测。</w:t>
      </w:r>
    </w:p>
    <w:p w14:paraId="2BFC1CAE">
      <w:pPr>
        <w:ind w:firstLine="480"/>
      </w:pPr>
      <w:r>
        <w:rPr>
          <w:rFonts w:hint="eastAsia"/>
        </w:rPr>
        <w:t>w/o LoRA (冻结 LLM 参数)：保留双塔架构与融合模块，但在训练过程中完全冻结 LLaMA-3.1 的所有预训练权重，不使用低秩自适应（LoRA）微调，仅将大模型作为静态的特征提取器。</w:t>
      </w:r>
    </w:p>
    <w:p w14:paraId="01E515FB">
      <w:pPr>
        <w:ind w:firstLine="480"/>
      </w:pPr>
      <w:r>
        <w:rPr>
          <w:rFonts w:hint="eastAsia"/>
        </w:rPr>
        <w:t>w/o CoT (无思维链推理)：保留所有的模型权重微调与双塔架构，但对提示词（Prompt）工程进行“降维”打击。具体而言，删除了提示模板中包含“Let's think step by step”的引导指令，仅输入 SMILES 序列和原始的理化描述文本。</w:t>
      </w:r>
    </w:p>
    <w:p w14:paraId="4C88FEB2">
      <w:pPr>
        <w:ind w:firstLine="480"/>
      </w:pPr>
      <w:r>
        <w:rPr>
          <w:rFonts w:hint="eastAsia"/>
        </w:rPr>
        <w:t>w/o Cross-Attn (静态拼接融合)：保留完整的图文特征提取链路，但在多模态对齐阶段，移除动态交叉注意力（Cross-Attention）模块，转而采用简单粗暴的特征拼接（Concatenation）方式将图向量与文本向量合并。</w:t>
      </w:r>
    </w:p>
    <w:p w14:paraId="3E9FDB91">
      <w:pPr>
        <w:ind w:firstLine="482"/>
        <w:rPr>
          <w:b/>
          <w:bCs/>
          <w:color w:val="C00000"/>
        </w:rPr>
      </w:pPr>
      <w:r>
        <w:rPr>
          <w:rFonts w:hint="eastAsia"/>
          <w:b/>
          <w:bCs/>
          <w:color w:val="C00000"/>
        </w:rPr>
        <w:t>这里有一个表格</w:t>
      </w:r>
    </w:p>
    <w:p w14:paraId="15B71F8C">
      <w:pPr>
        <w:ind w:firstLine="480"/>
      </w:pPr>
    </w:p>
    <w:p w14:paraId="2D41F77B">
      <w:pPr>
        <w:ind w:firstLine="480"/>
      </w:pPr>
      <w:r>
        <w:rPr>
          <w:rFonts w:hint="eastAsia"/>
        </w:rPr>
        <w:t>实验结果与模块贡献分析</w:t>
      </w:r>
    </w:p>
    <w:p w14:paraId="56BFF74F">
      <w:pPr>
        <w:ind w:firstLine="480"/>
      </w:pPr>
      <w:r>
        <w:rPr>
          <w:rFonts w:hint="eastAsia"/>
        </w:rPr>
        <w:t>基于上述五种变体在核心 ADMET 部分数据集上的实验结果（如表 3-Z 及图 3-W 所示），我们可以清晰地观测到各模块的边际贡献，并得出以下关键性结论：</w:t>
      </w:r>
    </w:p>
    <w:p w14:paraId="1D7F726F">
      <w:pPr>
        <w:ind w:firstLine="480"/>
      </w:pPr>
    </w:p>
    <w:p w14:paraId="3D55D2E8">
      <w:pPr>
        <w:ind w:firstLine="480"/>
      </w:pPr>
      <w:r>
        <w:rPr>
          <w:rFonts w:hint="eastAsia"/>
        </w:rPr>
        <w:t>第一，结构与语义的不可替代性。在所有变体中，w/o Text 和 w/o CMPNN 的整体预测性能垫底。这充分表明，仅靠分子图的拓扑连接无法跨越到复杂的体内生物活性（如 BBB 穿透性），而仅靠 LLaMA 的文本序列也无法精准感知微观的空间位阻与电子效应。双模态架构是实现高精度预测的必要基石。</w:t>
      </w:r>
    </w:p>
    <w:p w14:paraId="2088EC2B">
      <w:pPr>
        <w:ind w:firstLine="480"/>
      </w:pPr>
    </w:p>
    <w:p w14:paraId="3FD8F7F3">
      <w:pPr>
        <w:ind w:firstLine="480"/>
      </w:pPr>
      <w:r>
        <w:rPr>
          <w:rFonts w:hint="eastAsia"/>
        </w:rPr>
        <w:t>第二，大模型领域微调的必要性。对比发现，w/o LoRA 变体在 Tox21 等复杂毒理学任务上的表现出现了显著的性能坍塌。这说明，尽管开源大模型吸收了海量互联网语料，但其内部潜藏的广义化学知识是发散且缺乏针对性的。如果不通过 LoRA 将其参数空间向特定的 ADMET 预测目标进行拉拽与对齐，大模型容易输出与特定构效关系无关的冗余特征。</w:t>
      </w:r>
    </w:p>
    <w:p w14:paraId="01AD0650">
      <w:pPr>
        <w:ind w:firstLine="480"/>
      </w:pPr>
    </w:p>
    <w:p w14:paraId="65D7E727">
      <w:pPr>
        <w:ind w:firstLine="480"/>
      </w:pPr>
      <w:r>
        <w:rPr>
          <w:rFonts w:hint="eastAsia"/>
        </w:rPr>
        <w:t>第三，思维链（CoT）推理的核心驱动力。这是消融实验中最具价值的发现：w/o CoT 变体的性能大幅落后于完整模型，甚至在部分任务上不及单纯的图网络基线。这一现象深刻揭示了，如果我们仅仅把大模型当作高级的“文本字典”（单纯输入静态描述），其能提供的增量信息极为有限；只有通过思维链激发其“逻辑推理器”的潜能，让其按照“理化属性分析—靶点/酶结合评估—宏观性质推导”的药理学思维范式进行显式推理，提取出的语义特征才具备强大的判别力与因果性。</w:t>
      </w:r>
    </w:p>
    <w:p w14:paraId="26CBB6F0">
      <w:pPr>
        <w:ind w:firstLine="480"/>
      </w:pPr>
    </w:p>
    <w:p w14:paraId="7035D1A7">
      <w:pPr>
        <w:ind w:firstLine="480"/>
      </w:pPr>
      <w:r>
        <w:rPr>
          <w:rFonts w:hint="eastAsia"/>
        </w:rPr>
        <w:t>第四，动态融合对冲语义冲突。w/o Cross-Attn 变体虽然拥有最完整的信息源，但其表现却逊色于完整模型。这证明了在面对不同性质预测时，分子图与专家文本的话语权应是动态倾斜的。例如，在预测溶解度（ESOL）时，CMPNN 提取的分子骨架拓扑信息更为关键；而在预测心脏毒性（hERG）时，LLaMA 总结的特定药效团规则可能占据主导。交叉注意力机制成功充当了这一“动态裁判”的角色，有效避免了强行拼接带来的特征排斥效应。</w:t>
      </w:r>
    </w:p>
    <w:p w14:paraId="5BB8E3E9">
      <w:pPr>
        <w:ind w:firstLine="480"/>
      </w:pPr>
    </w:p>
    <w:p w14:paraId="5F0C3F61">
      <w:pPr>
        <w:ind w:firstLine="480"/>
      </w:pPr>
      <w:r>
        <w:rPr>
          <w:rFonts w:hint="eastAsia"/>
        </w:rPr>
        <w:t>综合以上分析，CoT-CMP 框架并非多模块的简单堆砌，而是各组件在“拓扑捕获-逻辑推理-自适应对齐”链路上的深度契合。完整模型 CoT-CMP (Full) 在各项指标上取得的全面领先，是对本研究模型设计合理性的最有力证明。</w:t>
      </w:r>
    </w:p>
    <w:p w14:paraId="73E84EFE">
      <w:pPr>
        <w:pStyle w:val="4"/>
        <w:rPr>
          <w:rFonts w:hint="default"/>
        </w:rPr>
      </w:pPr>
      <w:r>
        <w:t>可视化分析</w:t>
      </w:r>
    </w:p>
    <w:p w14:paraId="322B4F8D">
      <w:pPr>
        <w:ind w:firstLine="480"/>
      </w:pPr>
    </w:p>
    <w:p w14:paraId="42978FA4">
      <w:pPr>
        <w:pStyle w:val="4"/>
        <w:rPr>
          <w:rFonts w:hint="default"/>
        </w:rPr>
      </w:pPr>
      <w:r>
        <w:t>参数敏感实验</w:t>
      </w:r>
    </w:p>
    <w:p w14:paraId="4B6E61FE">
      <w:pPr>
        <w:pStyle w:val="3"/>
      </w:pPr>
      <w:r>
        <w:rPr>
          <w:rFonts w:hint="eastAsia"/>
        </w:rPr>
        <w:t>本章小结</w:t>
      </w:r>
    </w:p>
    <w:p w14:paraId="64B217D3">
      <w:pPr>
        <w:ind w:firstLine="480"/>
      </w:pPr>
      <w:r>
        <w:rPr>
          <w:rFonts w:hint="eastAsia"/>
        </w:rPr>
        <w:t>本章针对药物分子 ADMET 性质预测任务中微观结构特征与宏观药理语义逻辑难以有效对齐的问题，提出了一种基于思维链增强与交互式消息传递图融合的端到端分子性质预测框架（CoT-CMP）。该框架摒弃了计算成本高昂的大规模通用预训练范式，转而采用面向下游特定任务的高效直接微调策略。</w:t>
      </w:r>
    </w:p>
    <w:p w14:paraId="1F48EF97">
      <w:pPr>
        <w:ind w:firstLine="480"/>
      </w:pPr>
      <w:r>
        <w:rPr>
          <w:rFonts w:hint="eastAsia"/>
        </w:rPr>
        <w:t>在模型架构设计方面，本章详细阐述了 CoT-CMP 框架的三大核心组件。在文本编码端，模型引入了 LLaMA-3.1 大语言模型，结合思维链（CoT）提示工程与低秩自适应（LoRA）微调技术，将分子的线性序列转化为包含显式理化分析与药效推导的逻辑文本表征，显著提升了预测过程的可解释性。在图编码端，模型采用了交互式消息传递图神经网络（CMPNN）。通过构建基于有向边的消息传递机制与引入通信核（Communicative Kernel）模块，该网络有效克服了传统图模型中的信息回流弊端，实现了原子与化学键特征的动态深度交互，从而精准捕获了复杂的分子全局拓扑依赖。在多模态融合端，模型部署了交叉注意力机制，以分子结构特征为查询锚点，动态聚合文本推理空间中的高价值语义信号。</w:t>
      </w:r>
    </w:p>
    <w:p w14:paraId="4C1C49F3">
      <w:pPr>
        <w:ind w:firstLine="480"/>
      </w:pPr>
      <w:r>
        <w:rPr>
          <w:rFonts w:hint="eastAsia"/>
        </w:rPr>
        <w:t>在实验设计方面，本章明确了模型评估的基准体系。实验选取了 Therapeutics Data Commons (TDC) 平台中涵盖吸收、分布、代谢、排泄与毒性五个维度的多项核心数据集。为真实反映模型在未知化学空间中的泛化性能，本章论证并确立了基于 Bemis-Murcko 骨架划分（Scaffold Split）的严格评估策略，并详细规定了包含 AUROC、AUPRC、RMSE 及 Spearman 相关系数在内的多维评价指标体系，同时选取了 AttentiveFP、DMPNN、CMPNN 及 GIN 四种具有代表性的图模型作为对比基线。本章的理论架构搭建与严密的实验流程设计，为后续验证 CoT-CMP 模型在复杂药物分子性质预测任务中的优越性奠定了坚实基础。</w:t>
      </w:r>
    </w:p>
    <w:p w14:paraId="744DBDCD">
      <w:pPr>
        <w:pStyle w:val="2"/>
      </w:pPr>
      <w:r>
        <w:t>基于知识增强</w:t>
      </w:r>
      <w:r>
        <w:rPr>
          <w:rFonts w:hint="eastAsia"/>
        </w:rPr>
        <w:t>与</w:t>
      </w:r>
      <w:r>
        <w:t>图对齐的分子性质预测方法</w:t>
      </w:r>
    </w:p>
    <w:p w14:paraId="65774919">
      <w:pPr>
        <w:pStyle w:val="3"/>
        <w:spacing w:beforeAutospacing="0" w:afterAutospacing="0"/>
        <w:ind w:left="567" w:hanging="567"/>
      </w:pPr>
      <w:r>
        <w:rPr>
          <w:rFonts w:hint="eastAsia"/>
        </w:rPr>
        <w:t>模型设计与描述</w:t>
      </w:r>
    </w:p>
    <w:p w14:paraId="2C3C2604">
      <w:pPr>
        <w:pStyle w:val="4"/>
        <w:rPr>
          <w:rFonts w:hint="default"/>
        </w:rPr>
      </w:pPr>
      <w:r>
        <w:t>KGAMA框架概述</w:t>
      </w:r>
    </w:p>
    <w:p w14:paraId="1A8B2A71">
      <w:pPr>
        <w:ind w:firstLine="480"/>
      </w:pPr>
      <w:r>
        <w:rPr>
          <w:rFonts w:hint="eastAsia"/>
        </w:rPr>
        <w:t>在本章节中我们提出了一个基于图表征为核心、多模态知识增强的分子预测架构，</w:t>
      </w:r>
      <w:r>
        <w:t>该框架的核心愿景在于突破多源异构数据的语义壁垒，构建一个能够将多通道数据高效对齐至统一高维空间的表征体系。</w:t>
      </w:r>
      <w:r>
        <w:rPr>
          <w:rFonts w:hint="eastAsia"/>
        </w:rPr>
        <w:t>本文框架采用预训练-微调范式，在预训练阶段，引入图中心对比学习策略，驱动各个模态在潜在空间内完成语义锚定对齐；而在面向特定下游任务的微调阶段，则使用交叉注意力模块与</w:t>
      </w:r>
      <w:r>
        <w:t>多层感知机（MLP），实现对任务敏感特征的动态捕捉与灵活预测。</w:t>
      </w:r>
    </w:p>
    <w:p w14:paraId="67E7F35C">
      <w:pPr>
        <w:ind w:firstLine="480"/>
      </w:pPr>
      <w:r>
        <w:rPr>
          <w:rFonts w:hint="eastAsia"/>
        </w:rPr>
        <w:t>该模型的详细架构图如图 3-1 所示，其总体结构可清晰划分为三大核心组件：多模态专属编码器：用于提取异构特征、统一嵌入空间映射模块：用于维度对齐，以及基于交叉注意力机制的融合模块：用于特征交互与预测。</w:t>
      </w:r>
    </w:p>
    <w:p w14:paraId="4870071C">
      <w:pPr>
        <w:ind w:firstLine="240" w:firstLineChars="100"/>
      </w:pPr>
      <w:r>
        <w:drawing>
          <wp:inline distT="0" distB="0" distL="0" distR="0">
            <wp:extent cx="5274310" cy="3197860"/>
            <wp:effectExtent l="0" t="0" r="2540" b="2540"/>
            <wp:docPr id="1054526972"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526972" name="图片 4"/>
                    <pic:cNvPicPr>
                      <a:picLocks noChangeAspect="1"/>
                    </pic:cNvPicPr>
                  </pic:nvPicPr>
                  <pic:blipFill>
                    <a:blip r:embed="rId9" cstate="print">
                      <a:extLst>
                        <a:ext uri="{28A0092B-C50C-407E-A947-70E740481C1C}">
                          <a14:useLocalDpi xmlns:a14="http://schemas.microsoft.com/office/drawing/2010/main" val="0"/>
                        </a:ext>
                      </a:extLst>
                    </a:blip>
                    <a:stretch>
                      <a:fillRect/>
                    </a:stretch>
                  </pic:blipFill>
                  <pic:spPr>
                    <a:xfrm>
                      <a:off x="0" y="0"/>
                      <a:ext cx="5274310" cy="3197860"/>
                    </a:xfrm>
                    <a:prstGeom prst="rect">
                      <a:avLst/>
                    </a:prstGeom>
                  </pic:spPr>
                </pic:pic>
              </a:graphicData>
            </a:graphic>
          </wp:inline>
        </w:drawing>
      </w:r>
    </w:p>
    <w:p w14:paraId="0CCD8C3A">
      <w:pPr>
        <w:pStyle w:val="4"/>
        <w:rPr>
          <w:rFonts w:hint="default"/>
        </w:rPr>
      </w:pPr>
      <w:r>
        <w:t>图编码器</w:t>
      </w:r>
    </w:p>
    <w:p w14:paraId="44893262">
      <w:pPr>
        <w:ind w:firstLine="480"/>
      </w:pPr>
      <w:r>
        <w:rPr>
          <w:rFonts w:hint="eastAsia"/>
        </w:rPr>
        <w:t xml:space="preserve">图编码器构成了本框架的语义核心（Anchor）。本研究使用Graphormer 架构，旨在从拓扑连接与几何空间两个维度对分子图进行深度解构。区别于传统图神经网络受限于局部感受野的缺陷，Graphormer 引入了三位一体的编码策略：中心性编码用于量化原子的节点重要度，空间编码负责记录原子间的最短路径距离，而边缘编码则精确描述化学键类型。经由多层 Graphormer Layer 的迭代处理，模型输出具备高度结构保真度的图表征向量 </w:t>
      </w:r>
      <m:oMath>
        <m:sSub>
          <m:sSubPr>
            <m:ctrlPr>
              <w:rPr>
                <w:rFonts w:ascii="Cambria Math" w:hAnsi="Cambria Math"/>
              </w:rPr>
            </m:ctrlPr>
          </m:sSubPr>
          <m:e>
            <m:r>
              <m:rPr/>
              <w:rPr>
                <w:rFonts w:ascii="Cambria Math"/>
              </w:rPr>
              <m:t>F</m:t>
            </m:r>
            <m:ctrlPr>
              <w:rPr>
                <w:rFonts w:ascii="Cambria Math" w:hAnsi="Cambria Math"/>
              </w:rPr>
            </m:ctrlPr>
          </m:e>
          <m:sub>
            <m:r>
              <m:rPr/>
              <w:rPr>
                <w:rFonts w:ascii="Cambria Math"/>
              </w:rPr>
              <m:t>g</m:t>
            </m:r>
            <m:ctrlPr>
              <w:rPr>
                <w:rFonts w:ascii="Cambria Math" w:hAnsi="Cambria Math"/>
              </w:rPr>
            </m:ctrlPr>
          </m:sub>
        </m:sSub>
      </m:oMath>
      <w:r>
        <w:rPr>
          <w:rFonts w:hint="eastAsia"/>
        </w:rPr>
        <w:t>，该向量在预训练阶段充当了其他模态对齐的“语义锚点”。</w:t>
      </w:r>
    </w:p>
    <w:p w14:paraId="5E5EC4F9">
      <w:pPr>
        <w:pStyle w:val="4"/>
        <w:rPr>
          <w:rFonts w:hint="default"/>
        </w:rPr>
      </w:pPr>
      <w:r>
        <w:t>指纹编码器</w:t>
      </w:r>
    </w:p>
    <w:p w14:paraId="74B76975">
      <w:pPr>
        <w:ind w:firstLine="480"/>
      </w:pPr>
      <w:r>
        <w:t>分子指纹作为一种将分子局部子结构转化为二进制代码的数字化表征手段，其核心机制在于依据既定规则判定分子特定结构是否存在，如图X所示。基于编码策略之差异，现有指纹技术主要涵盖AtomPairs、MACCS及Morgan三类。表XX详尽列示了各指纹</w:t>
      </w:r>
      <w:r>
        <w:rPr>
          <w:rFonts w:hint="eastAsia"/>
        </w:rPr>
        <w:t>所</w:t>
      </w:r>
      <w:r>
        <w:t>能承载的信息维度。</w:t>
      </w:r>
    </w:p>
    <w:p w14:paraId="3B55A803">
      <w:pPr>
        <w:ind w:firstLine="480"/>
      </w:pPr>
    </w:p>
    <w:tbl>
      <w:tblPr>
        <w:tblStyle w:val="18"/>
        <w:tblW w:w="0" w:type="auto"/>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86"/>
        <w:gridCol w:w="1638"/>
        <w:gridCol w:w="1574"/>
        <w:gridCol w:w="1575"/>
      </w:tblGrid>
      <w:tr w14:paraId="4589AC0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786" w:type="dxa"/>
            <w:tcBorders>
              <w:bottom w:val="single" w:color="auto" w:sz="8" w:space="0"/>
            </w:tcBorders>
          </w:tcPr>
          <w:p w14:paraId="601B5454">
            <w:pPr>
              <w:ind w:firstLine="480"/>
            </w:pPr>
            <w:r>
              <w:rPr>
                <w:rFonts w:hint="eastAsia"/>
              </w:rPr>
              <w:t>指纹类型</w:t>
            </w:r>
          </w:p>
        </w:tc>
        <w:tc>
          <w:tcPr>
            <w:tcW w:w="1638" w:type="dxa"/>
            <w:tcBorders>
              <w:bottom w:val="single" w:color="auto" w:sz="8" w:space="0"/>
            </w:tcBorders>
          </w:tcPr>
          <w:p w14:paraId="137F012C">
            <w:pPr>
              <w:ind w:firstLine="480"/>
            </w:pPr>
            <w:r>
              <w:rPr>
                <w:rFonts w:hint="eastAsia"/>
              </w:rPr>
              <w:t>结构信息</w:t>
            </w:r>
          </w:p>
        </w:tc>
        <w:tc>
          <w:tcPr>
            <w:tcW w:w="1574" w:type="dxa"/>
            <w:tcBorders>
              <w:bottom w:val="single" w:color="auto" w:sz="8" w:space="0"/>
            </w:tcBorders>
          </w:tcPr>
          <w:p w14:paraId="0A5CA29F">
            <w:pPr>
              <w:ind w:firstLine="480"/>
            </w:pPr>
            <w:r>
              <w:rPr>
                <w:rFonts w:hint="eastAsia"/>
              </w:rPr>
              <w:t>功能信息</w:t>
            </w:r>
          </w:p>
        </w:tc>
        <w:tc>
          <w:tcPr>
            <w:tcW w:w="1575" w:type="dxa"/>
            <w:tcBorders>
              <w:bottom w:val="single" w:color="auto" w:sz="8" w:space="0"/>
            </w:tcBorders>
          </w:tcPr>
          <w:p w14:paraId="1ED752A1">
            <w:pPr>
              <w:ind w:firstLine="480"/>
            </w:pPr>
            <w:r>
              <w:rPr>
                <w:rFonts w:hint="eastAsia"/>
              </w:rPr>
              <w:t>拓扑信息</w:t>
            </w:r>
          </w:p>
        </w:tc>
      </w:tr>
      <w:tr w14:paraId="0DBFB916">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786" w:type="dxa"/>
            <w:tcBorders>
              <w:top w:val="single" w:color="auto" w:sz="8" w:space="0"/>
              <w:tl2br w:val="nil"/>
              <w:tr2bl w:val="nil"/>
            </w:tcBorders>
          </w:tcPr>
          <w:p w14:paraId="4D9A4617">
            <w:pPr>
              <w:ind w:firstLine="480"/>
            </w:pPr>
            <w:r>
              <w:rPr>
                <w:rFonts w:hint="eastAsia"/>
              </w:rPr>
              <w:t xml:space="preserve">AtomPairs </w:t>
            </w:r>
          </w:p>
        </w:tc>
        <w:tc>
          <w:tcPr>
            <w:tcW w:w="1638" w:type="dxa"/>
            <w:tcBorders>
              <w:top w:val="single" w:color="auto" w:sz="8" w:space="0"/>
              <w:tl2br w:val="nil"/>
              <w:tr2bl w:val="nil"/>
            </w:tcBorders>
          </w:tcPr>
          <w:p w14:paraId="327FB241">
            <w:pPr>
              <w:ind w:firstLine="480"/>
            </w:pPr>
            <w:r>
              <w:rPr>
                <w:rFonts w:hint="eastAsia"/>
              </w:rPr>
              <w:t>√</w:t>
            </w:r>
          </w:p>
        </w:tc>
        <w:tc>
          <w:tcPr>
            <w:tcW w:w="1574" w:type="dxa"/>
            <w:tcBorders>
              <w:top w:val="single" w:color="auto" w:sz="8" w:space="0"/>
              <w:tl2br w:val="nil"/>
              <w:tr2bl w:val="nil"/>
            </w:tcBorders>
          </w:tcPr>
          <w:p w14:paraId="67E62F8B">
            <w:pPr>
              <w:ind w:firstLine="480"/>
            </w:pPr>
          </w:p>
        </w:tc>
        <w:tc>
          <w:tcPr>
            <w:tcW w:w="1575" w:type="dxa"/>
            <w:tcBorders>
              <w:top w:val="single" w:color="auto" w:sz="8" w:space="0"/>
              <w:tl2br w:val="nil"/>
              <w:tr2bl w:val="nil"/>
            </w:tcBorders>
          </w:tcPr>
          <w:p w14:paraId="04BACFBA">
            <w:pPr>
              <w:ind w:firstLine="480"/>
            </w:pPr>
            <w:r>
              <w:rPr>
                <w:rFonts w:hint="eastAsia"/>
              </w:rPr>
              <w:t>√</w:t>
            </w:r>
          </w:p>
        </w:tc>
      </w:tr>
      <w:tr w14:paraId="2863E774">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786" w:type="dxa"/>
            <w:tcBorders>
              <w:tl2br w:val="nil"/>
              <w:tr2bl w:val="nil"/>
            </w:tcBorders>
          </w:tcPr>
          <w:p w14:paraId="0F2C4268">
            <w:pPr>
              <w:ind w:firstLine="480"/>
            </w:pPr>
            <w:r>
              <w:rPr>
                <w:rFonts w:hint="eastAsia"/>
              </w:rPr>
              <w:t xml:space="preserve">MACCS </w:t>
            </w:r>
          </w:p>
        </w:tc>
        <w:tc>
          <w:tcPr>
            <w:tcW w:w="1638" w:type="dxa"/>
            <w:tcBorders>
              <w:tl2br w:val="nil"/>
              <w:tr2bl w:val="nil"/>
            </w:tcBorders>
          </w:tcPr>
          <w:p w14:paraId="2FFC5936">
            <w:pPr>
              <w:ind w:firstLine="480"/>
            </w:pPr>
            <w:r>
              <w:rPr>
                <w:rFonts w:hint="eastAsia"/>
              </w:rPr>
              <w:t>√</w:t>
            </w:r>
          </w:p>
        </w:tc>
        <w:tc>
          <w:tcPr>
            <w:tcW w:w="1574" w:type="dxa"/>
            <w:tcBorders>
              <w:tl2br w:val="nil"/>
              <w:tr2bl w:val="nil"/>
            </w:tcBorders>
          </w:tcPr>
          <w:p w14:paraId="7EF746C1">
            <w:pPr>
              <w:ind w:firstLine="480"/>
            </w:pPr>
            <w:r>
              <w:rPr>
                <w:rFonts w:hint="eastAsia"/>
              </w:rPr>
              <w:t>√</w:t>
            </w:r>
          </w:p>
        </w:tc>
        <w:tc>
          <w:tcPr>
            <w:tcW w:w="1575" w:type="dxa"/>
            <w:tcBorders>
              <w:tl2br w:val="nil"/>
              <w:tr2bl w:val="nil"/>
            </w:tcBorders>
          </w:tcPr>
          <w:p w14:paraId="6F6247A8">
            <w:pPr>
              <w:ind w:firstLine="480"/>
            </w:pPr>
          </w:p>
        </w:tc>
      </w:tr>
      <w:tr w14:paraId="4E2320E1">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786" w:type="dxa"/>
            <w:tcBorders>
              <w:tl2br w:val="nil"/>
              <w:tr2bl w:val="nil"/>
            </w:tcBorders>
          </w:tcPr>
          <w:p w14:paraId="1BB30484">
            <w:pPr>
              <w:ind w:firstLine="480"/>
            </w:pPr>
            <w:r>
              <w:t>Morgan</w:t>
            </w:r>
          </w:p>
        </w:tc>
        <w:tc>
          <w:tcPr>
            <w:tcW w:w="1638" w:type="dxa"/>
            <w:tcBorders>
              <w:tl2br w:val="nil"/>
              <w:tr2bl w:val="nil"/>
            </w:tcBorders>
          </w:tcPr>
          <w:p w14:paraId="3DC0F859">
            <w:pPr>
              <w:ind w:firstLine="480"/>
            </w:pPr>
            <w:r>
              <w:rPr>
                <w:rFonts w:hint="eastAsia"/>
              </w:rPr>
              <w:t>√</w:t>
            </w:r>
          </w:p>
        </w:tc>
        <w:tc>
          <w:tcPr>
            <w:tcW w:w="1574" w:type="dxa"/>
            <w:tcBorders>
              <w:tl2br w:val="nil"/>
              <w:tr2bl w:val="nil"/>
            </w:tcBorders>
          </w:tcPr>
          <w:p w14:paraId="2F04313F">
            <w:pPr>
              <w:ind w:firstLine="480"/>
            </w:pPr>
          </w:p>
        </w:tc>
        <w:tc>
          <w:tcPr>
            <w:tcW w:w="1575" w:type="dxa"/>
            <w:tcBorders>
              <w:tl2br w:val="nil"/>
              <w:tr2bl w:val="nil"/>
            </w:tcBorders>
          </w:tcPr>
          <w:p w14:paraId="4EE1F93B">
            <w:pPr>
              <w:ind w:firstLine="480"/>
            </w:pPr>
            <w:r>
              <w:rPr>
                <w:rFonts w:hint="eastAsia"/>
              </w:rPr>
              <w:t>√</w:t>
            </w:r>
          </w:p>
        </w:tc>
      </w:tr>
    </w:tbl>
    <w:p w14:paraId="34B1266A">
      <w:pPr>
        <w:ind w:firstLine="0" w:firstLineChars="0"/>
      </w:pPr>
    </w:p>
    <w:p w14:paraId="0B1B7FB6">
      <w:pPr>
        <w:ind w:firstLine="480"/>
      </w:pPr>
      <w:r>
        <w:t>AtomPairs指纹侧重于提取分子内全部非氢原子对的拓扑特征，该方法依照原子类型及原子间最短路径距离实施编码，进而有效捕捉分子内部空间关联与结构属性，尤为适宜表征分散官能团与整体构型间之关系。MACCS指纹则建立于166个结构密钥基础之上形成二进制序列，每一密钥均指向特定分子子结构或化学特性；若分子具备密钥定义之结构，对应位赋值为1，反之则置0。本研究中，Morgan算法参数设定为半径2，比特数2048。</w:t>
      </w:r>
    </w:p>
    <w:p w14:paraId="38FF1C5E">
      <w:pPr>
        <w:ind w:firstLine="480"/>
      </w:pPr>
      <w:r>
        <w:t>前述三种指纹凭借相异编码策略，实现了对分子结构信息的多维覆盖，有效规避了单一类型之局限。综合利用三者有助于构建更为精细的分子特征图谱，赋予模型训练强劲输入支撑。实验将三种指纹拼接并导入分子指纹编码器，借助包含激活函数的多层感知机（MLP）习得非线性映射关系，将其投影至统一向量空间。具体运算流程如下：</w:t>
      </w:r>
    </w:p>
    <w:p w14:paraId="2DF02548">
      <w:pPr>
        <w:ind w:firstLine="480"/>
        <w:rPr>
          <w:rFonts w:hAnsi="Cambria Math"/>
        </w:rPr>
      </w:pPr>
      <m:oMathPara>
        <m:oMath>
          <m:r>
            <m:rPr/>
            <w:rPr>
              <w:rFonts w:ascii="Cambria Math" w:hAnsi="Cambria Math" w:eastAsia="sans-serif"/>
            </w:rPr>
            <m:t>Output=σ(W⋅[</m:t>
          </m:r>
          <m:r>
            <m:rPr/>
            <w:rPr>
              <w:rFonts w:ascii="Cambria Math" w:hAnsi="Cambria Math"/>
            </w:rPr>
            <m:t>A</m:t>
          </m:r>
          <m:r>
            <m:rPr/>
            <w:rPr>
              <w:rFonts w:ascii="Cambria Math" w:hAnsi="Cambria Math" w:eastAsia="sans-serif"/>
            </w:rPr>
            <m:t>(x),B(x),C(x)]+b)</m:t>
          </m:r>
        </m:oMath>
      </m:oMathPara>
    </w:p>
    <w:p w14:paraId="70D2FA8B">
      <w:pPr>
        <w:ind w:firstLine="480"/>
      </w:pPr>
      <w:r>
        <w:t>式中：</w:t>
      </w:r>
      <m:oMath>
        <m:r>
          <m:rPr/>
          <w:rPr>
            <w:rFonts w:ascii="Cambria Math" w:hAnsi="Cambria Math"/>
          </w:rPr>
          <m:t>A</m:t>
        </m:r>
        <m:r>
          <m:rPr/>
          <w:rPr>
            <w:rFonts w:ascii="Cambria Math" w:hAnsi="Cambria Math" w:eastAsia="sans-serif"/>
          </w:rPr>
          <m:t>(x)</m:t>
        </m:r>
      </m:oMath>
      <w:r>
        <w:t>代表AtomPairs指纹，</w:t>
      </w:r>
      <m:oMath>
        <m:r>
          <m:rPr>
            <m:sty m:val="p"/>
          </m:rPr>
          <w:rPr>
            <w:rFonts w:ascii="Cambria Math" w:hAnsi="Cambria Math"/>
          </w:rPr>
          <m:t>B(x)</m:t>
        </m:r>
      </m:oMath>
      <w:r>
        <w:t>指代MACCS指纹，</w:t>
      </w:r>
      <m:oMath>
        <m:r>
          <m:rPr>
            <m:sty m:val="p"/>
          </m:rPr>
          <w:rPr>
            <w:rFonts w:ascii="Cambria Math" w:hAnsi="Cambria Math"/>
          </w:rPr>
          <m:t>C(x)</m:t>
        </m:r>
      </m:oMath>
      <w:r>
        <w:t>为Morgan指纹；</w:t>
      </w:r>
      <m:oMath>
        <m:r>
          <m:rPr>
            <m:sty m:val="p"/>
          </m:rPr>
          <w:rPr>
            <w:rFonts w:ascii="Cambria Math" w:hAnsi="Cambria Math"/>
          </w:rPr>
          <m:t>σ</m:t>
        </m:r>
      </m:oMath>
      <w:r>
        <w:t>表示ReLU激活函数，</w:t>
      </w:r>
      <m:oMath>
        <m:r>
          <m:rPr>
            <m:sty m:val="p"/>
          </m:rPr>
          <w:rPr>
            <w:rFonts w:ascii="Cambria Math" w:hAnsi="Cambria Math"/>
          </w:rPr>
          <m:t>W</m:t>
        </m:r>
      </m:oMath>
      <w:r>
        <w:t>与</w:t>
      </w:r>
      <m:oMath>
        <m:r>
          <m:rPr>
            <m:sty m:val="p"/>
          </m:rPr>
          <w:rPr>
            <w:rFonts w:ascii="Cambria Math" w:hAnsi="Cambria Math"/>
          </w:rPr>
          <m:t>b</m:t>
        </m:r>
      </m:oMath>
      <w:r>
        <w:t>分别对应权重矩阵及偏置向量。</w:t>
      </w:r>
    </w:p>
    <w:p w14:paraId="68E299F5">
      <w:pPr>
        <w:pStyle w:val="4"/>
        <w:rPr>
          <w:rFonts w:hint="default"/>
        </w:rPr>
      </w:pPr>
      <w:r>
        <w:t>序列编码器</w:t>
      </w:r>
    </w:p>
    <w:p w14:paraId="583948C2">
      <w:pPr>
        <w:ind w:firstLine="480"/>
      </w:pPr>
      <w:r>
        <w:t xml:space="preserve">SMILES 字符串虽以线性文本形式存在，其本质却蕴含着复杂的化学拓扑逻辑与层次化结构。鉴于此，本文摒弃了传统的循环神经网络（RNN）方案，转而采用RoBERTa 变体 Transformer 架构作为序列特征提取引擎。相较于 RNN 易受梯度消失困扰的固有缺陷，该架构凭借全局自注意力机制，具备跨越线性序列距离、直接锁定远端原子关联的能力。输入流处理：原始 SMILES 序列经由分词器离散化为 Token 流后，于序列首部植入全局表征符 [CLS]，以此作为整个分子序列信息的聚合锚点。长程依赖建模：如图 3-1（模块 3）所示，借助多头注意力层，模型能够穿透线性的字符间隔，精准捕捉支链末端或大环闭合点间的空间语义一致性。特征投影：最终层输出的 [CLS] 隐状态向量被提取为序列全局表征 </w:t>
      </w:r>
      <m:oMath>
        <m:sSub>
          <m:sSubPr>
            <m:ctrlPr>
              <w:rPr>
                <w:rFonts w:ascii="Cambria Math" w:hAnsi="Cambria Math"/>
              </w:rPr>
            </m:ctrlPr>
          </m:sSubPr>
          <m:e>
            <m:r>
              <m:rPr/>
              <w:rPr>
                <w:rFonts w:ascii="Cambria Math"/>
              </w:rPr>
              <m:t>F</m:t>
            </m:r>
            <m:ctrlPr>
              <w:rPr>
                <w:rFonts w:ascii="Cambria Math" w:hAnsi="Cambria Math"/>
              </w:rPr>
            </m:ctrlPr>
          </m:e>
          <m:sub>
            <m:r>
              <m:rPr/>
              <w:rPr>
                <w:rFonts w:ascii="Cambria Math"/>
              </w:rPr>
              <m:t>s</m:t>
            </m:r>
            <m:ctrlPr>
              <w:rPr>
                <w:rFonts w:ascii="Cambria Math" w:hAnsi="Cambria Math"/>
              </w:rPr>
            </m:ctrlPr>
          </m:sub>
        </m:sSub>
      </m:oMath>
      <w:r>
        <w:t xml:space="preserve">，随后经由全连接层映射至与图特征 </w:t>
      </w:r>
      <m:oMath>
        <m:sSub>
          <m:sSubPr>
            <m:ctrlPr>
              <w:rPr>
                <w:rFonts w:ascii="Cambria Math" w:hAnsi="Cambria Math"/>
              </w:rPr>
            </m:ctrlPr>
          </m:sSubPr>
          <m:e>
            <m:r>
              <m:rPr/>
              <w:rPr>
                <w:rFonts w:ascii="Cambria Math"/>
              </w:rPr>
              <m:t>F</m:t>
            </m:r>
            <m:ctrlPr>
              <w:rPr>
                <w:rFonts w:ascii="Cambria Math" w:hAnsi="Cambria Math"/>
              </w:rPr>
            </m:ctrlPr>
          </m:e>
          <m:sub>
            <m:r>
              <m:rPr/>
              <w:rPr>
                <w:rFonts w:ascii="Cambria Math"/>
              </w:rPr>
              <m:t>g</m:t>
            </m:r>
            <m:ctrlPr>
              <w:rPr>
                <w:rFonts w:ascii="Cambria Math" w:hAnsi="Cambria Math"/>
              </w:rPr>
            </m:ctrlPr>
          </m:sub>
        </m:sSub>
      </m:oMath>
      <w:r>
        <w:t>等维的语义空间，为后续的跨模态对齐奠定维度基础。</w:t>
      </w:r>
    </w:p>
    <w:p w14:paraId="28A924E0">
      <w:pPr>
        <w:pStyle w:val="4"/>
        <w:rPr>
          <w:rFonts w:hint="default"/>
        </w:rPr>
      </w:pPr>
      <w:r>
        <w:t>文本编码器</w:t>
      </w:r>
    </w:p>
    <w:p w14:paraId="7BF87C83">
      <w:pPr>
        <w:ind w:firstLine="480"/>
      </w:pPr>
      <w:r>
        <w:t>该模块实现了本文核心创新点之一：知识增强重写。</w:t>
      </w:r>
      <w:r>
        <w:rPr>
          <w:rFonts w:hint="eastAsia"/>
        </w:rPr>
        <w:t>针对原始数据库文本可能存在的噪声干扰与信息冗余，本文设计了如下处理链路：</w:t>
      </w:r>
    </w:p>
    <w:p w14:paraId="06CDB750">
      <w:pPr>
        <w:numPr>
          <w:ilvl w:val="0"/>
          <w:numId w:val="4"/>
        </w:numPr>
        <w:ind w:firstLine="480"/>
      </w:pPr>
      <w:r>
        <w:rPr>
          <w:rFonts w:hint="eastAsia"/>
        </w:rPr>
        <w:t>知识注入：利用 PubChem API 获取原始描述，并融合由 RDKit 计算得出的</w:t>
      </w:r>
      <w:r>
        <w:rPr>
          <w:rFonts w:hint="eastAsia"/>
          <w:color w:val="FF0000"/>
        </w:rPr>
        <w:t>12</w:t>
      </w:r>
      <w:r>
        <w:rPr>
          <w:rFonts w:hint="eastAsia"/>
        </w:rPr>
        <w:t>项关键理化指标（如 LogP、TPSA 等）。</w:t>
      </w:r>
    </w:p>
    <w:p w14:paraId="1CFE2625">
      <w:pPr>
        <w:numPr>
          <w:ilvl w:val="0"/>
          <w:numId w:val="4"/>
        </w:numPr>
        <w:ind w:firstLine="480"/>
      </w:pPr>
      <w:r>
        <w:rPr>
          <w:rFonts w:hint="eastAsia"/>
        </w:rPr>
        <w:t>LLM 重写：利用大语言模型充当领域专家，将定量的理化数值与定性的文本描述有机融合，生成逻辑严密、去噪后的高质量文本。</w:t>
      </w:r>
    </w:p>
    <w:p w14:paraId="5D0A281D">
      <w:pPr>
        <w:numPr>
          <w:ilvl w:val="0"/>
          <w:numId w:val="4"/>
        </w:numPr>
        <w:ind w:firstLine="480"/>
      </w:pPr>
      <w:r>
        <w:rPr>
          <w:rFonts w:hint="eastAsia"/>
        </w:rPr>
        <w:t xml:space="preserve">语义编码：重写后的文本被送入预训练 SciBERT 编码器。得益于其在海量科学文献上的预训练先验，SciBERT 能够敏锐捕捉分子描述中的专业术语语义，最终输出高密度的文本特征向量 </w:t>
      </w:r>
      <m:oMath>
        <m:sSub>
          <m:sSubPr>
            <m:ctrlPr>
              <w:rPr>
                <w:rFonts w:ascii="Cambria Math" w:hAnsi="Cambria Math"/>
              </w:rPr>
            </m:ctrlPr>
          </m:sSubPr>
          <m:e>
            <m:r>
              <m:rPr/>
              <w:rPr>
                <w:rFonts w:ascii="Cambria Math"/>
              </w:rPr>
              <m:t>F</m:t>
            </m:r>
            <m:ctrlPr>
              <w:rPr>
                <w:rFonts w:ascii="Cambria Math" w:hAnsi="Cambria Math"/>
              </w:rPr>
            </m:ctrlPr>
          </m:e>
          <m:sub>
            <m:r>
              <m:rPr/>
              <w:rPr>
                <w:rFonts w:ascii="Cambria Math"/>
              </w:rPr>
              <m:t>t</m:t>
            </m:r>
            <m:ctrlPr>
              <w:rPr>
                <w:rFonts w:ascii="Cambria Math" w:hAnsi="Cambria Math"/>
              </w:rPr>
            </m:ctrlPr>
          </m:sub>
        </m:sSub>
      </m:oMath>
      <w:r>
        <w:rPr>
          <w:rFonts w:hint="eastAsia"/>
        </w:rPr>
        <w:t>。</w:t>
      </w:r>
    </w:p>
    <w:p w14:paraId="69B1D618">
      <w:pPr>
        <w:ind w:left="480" w:leftChars="200" w:firstLine="0" w:firstLineChars="0"/>
      </w:pPr>
      <w:r>
        <w:rPr>
          <w:rFonts w:hint="eastAsia"/>
        </w:rPr>
        <w:t>具体的构建流程见实验设计预训练数据章节。</w:t>
      </w:r>
    </w:p>
    <w:p w14:paraId="666F56B2">
      <w:pPr>
        <w:pStyle w:val="4"/>
        <w:rPr>
          <w:rFonts w:hint="default"/>
        </w:rPr>
      </w:pPr>
      <w:r>
        <w:t>融合与预测</w:t>
      </w:r>
    </w:p>
    <w:p w14:paraId="585DCDCB">
      <w:pPr>
        <w:ind w:firstLine="480"/>
      </w:pPr>
      <w:r>
        <w:t>在下游任务微调阶段，模型通过交叉注意力机制实现多模态信息的自适应融合。动态加权融合</w:t>
      </w:r>
      <w:r>
        <w:rPr>
          <w:rFonts w:hint="eastAsia"/>
        </w:rPr>
        <w:t>机制允许</w:t>
      </w:r>
      <w:r>
        <w:t>模型根据不同性质预测任务的需求，自动学习不同模态特征</w:t>
      </w:r>
      <m:oMath>
        <m:r>
          <m:rPr>
            <m:sty m:val="p"/>
          </m:rPr>
          <w:rPr>
            <w:rFonts w:ascii="Cambria Math"/>
          </w:rPr>
          <m:t>（</m:t>
        </m:r>
        <m:sSub>
          <m:sSubPr>
            <m:ctrlPr>
              <w:rPr>
                <w:rFonts w:ascii="Cambria Math" w:hAnsi="Cambria Math"/>
              </w:rPr>
            </m:ctrlPr>
          </m:sSubPr>
          <m:e>
            <m:r>
              <m:rPr/>
              <w:rPr>
                <w:rFonts w:ascii="Cambria Math"/>
              </w:rPr>
              <m:t>F</m:t>
            </m:r>
            <m:ctrlPr>
              <w:rPr>
                <w:rFonts w:ascii="Cambria Math" w:hAnsi="Cambria Math"/>
              </w:rPr>
            </m:ctrlPr>
          </m:e>
          <m:sub>
            <m:r>
              <m:rPr/>
              <w:rPr>
                <w:rFonts w:ascii="Cambria Math"/>
              </w:rPr>
              <m:t>g</m:t>
            </m:r>
            <m:ctrlPr>
              <w:rPr>
                <w:rFonts w:ascii="Cambria Math" w:hAnsi="Cambria Math"/>
              </w:rPr>
            </m:ctrlPr>
          </m:sub>
        </m:sSub>
        <m:r>
          <m:rPr/>
          <w:rPr>
            <w:rFonts w:ascii="Cambria Math"/>
          </w:rPr>
          <m:t>,</m:t>
        </m:r>
        <m:sSub>
          <m:sSubPr>
            <m:ctrlPr>
              <w:rPr>
                <w:rFonts w:ascii="Cambria Math" w:hAnsi="Cambria Math"/>
              </w:rPr>
            </m:ctrlPr>
          </m:sSubPr>
          <m:e>
            <m:r>
              <m:rPr/>
              <w:rPr>
                <w:rFonts w:ascii="Cambria Math"/>
              </w:rPr>
              <m:t>F</m:t>
            </m:r>
            <m:ctrlPr>
              <w:rPr>
                <w:rFonts w:ascii="Cambria Math" w:hAnsi="Cambria Math"/>
              </w:rPr>
            </m:ctrlPr>
          </m:e>
          <m:sub>
            <m:r>
              <m:rPr/>
              <w:rPr>
                <w:rFonts w:ascii="Cambria Math"/>
              </w:rPr>
              <m:t>s</m:t>
            </m:r>
            <m:ctrlPr>
              <w:rPr>
                <w:rFonts w:ascii="Cambria Math" w:hAnsi="Cambria Math"/>
              </w:rPr>
            </m:ctrlPr>
          </m:sub>
        </m:sSub>
        <m:r>
          <m:rPr/>
          <w:rPr>
            <w:rFonts w:ascii="Cambria Math"/>
          </w:rPr>
          <m:t>,</m:t>
        </m:r>
        <m:sSub>
          <m:sSubPr>
            <m:ctrlPr>
              <w:rPr>
                <w:rFonts w:ascii="Cambria Math" w:hAnsi="Cambria Math"/>
              </w:rPr>
            </m:ctrlPr>
          </m:sSubPr>
          <m:e>
            <m:r>
              <m:rPr/>
              <w:rPr>
                <w:rFonts w:ascii="Cambria Math"/>
              </w:rPr>
              <m:t>F</m:t>
            </m:r>
            <m:ctrlPr>
              <w:rPr>
                <w:rFonts w:ascii="Cambria Math" w:hAnsi="Cambria Math"/>
              </w:rPr>
            </m:ctrlPr>
          </m:e>
          <m:sub>
            <m:r>
              <m:rPr/>
              <w:rPr>
                <w:rFonts w:ascii="Cambria Math"/>
              </w:rPr>
              <m:t>f</m:t>
            </m:r>
            <m:ctrlPr>
              <w:rPr>
                <w:rFonts w:ascii="Cambria Math" w:hAnsi="Cambria Math"/>
              </w:rPr>
            </m:ctrlPr>
          </m:sub>
        </m:sSub>
        <m:r>
          <m:rPr/>
          <w:rPr>
            <w:rFonts w:ascii="Cambria Math"/>
          </w:rPr>
          <m:t>,</m:t>
        </m:r>
        <m:sSub>
          <m:sSubPr>
            <m:ctrlPr>
              <w:rPr>
                <w:rFonts w:ascii="Cambria Math" w:hAnsi="Cambria Math"/>
              </w:rPr>
            </m:ctrlPr>
          </m:sSubPr>
          <m:e>
            <m:r>
              <m:rPr/>
              <w:rPr>
                <w:rFonts w:ascii="Cambria Math"/>
              </w:rPr>
              <m:t>F</m:t>
            </m:r>
            <m:ctrlPr>
              <w:rPr>
                <w:rFonts w:ascii="Cambria Math" w:hAnsi="Cambria Math"/>
              </w:rPr>
            </m:ctrlPr>
          </m:e>
          <m:sub>
            <m:r>
              <m:rPr/>
              <w:rPr>
                <w:rFonts w:ascii="Cambria Math"/>
              </w:rPr>
              <m:t>t</m:t>
            </m:r>
            <m:ctrlPr>
              <w:rPr>
                <w:rFonts w:ascii="Cambria Math" w:hAnsi="Cambria Math"/>
              </w:rPr>
            </m:ctrlPr>
          </m:sub>
        </m:sSub>
        <m:r>
          <m:rPr>
            <m:sty m:val="p"/>
          </m:rPr>
          <w:rPr>
            <w:rFonts w:ascii="Cambria Math"/>
          </w:rPr>
          <m:t>）</m:t>
        </m:r>
      </m:oMath>
      <w:r>
        <w:t>的重要性权重</w:t>
      </w:r>
      <m:oMath>
        <m:sSub>
          <m:sSubPr>
            <m:ctrlPr>
              <w:rPr>
                <w:rFonts w:ascii="Cambria Math" w:hAnsi="Cambria Math"/>
              </w:rPr>
            </m:ctrlPr>
          </m:sSubPr>
          <m:e>
            <m:r>
              <m:rPr/>
              <w:rPr>
                <w:rFonts w:ascii="Cambria Math"/>
              </w:rPr>
              <m:t>W</m:t>
            </m:r>
            <m:ctrlPr>
              <w:rPr>
                <w:rFonts w:ascii="Cambria Math" w:hAnsi="Cambria Math"/>
              </w:rPr>
            </m:ctrlPr>
          </m:e>
          <m:sub>
            <m:r>
              <m:rPr/>
              <w:rPr>
                <w:rFonts w:ascii="Cambria Math"/>
              </w:rPr>
              <m:t>m</m:t>
            </m:r>
            <m:ctrlPr>
              <w:rPr>
                <w:rFonts w:ascii="Cambria Math" w:hAnsi="Cambria Math"/>
              </w:rPr>
            </m:ctrlPr>
          </m:sub>
        </m:sSub>
      </m:oMath>
      <w:r>
        <w:t>。性质预测：融合后的全景分子表征被输入至由多层全连接网络构成的预测头（MLP Head），最终输出分子的理化性质或生物活性预测值</w:t>
      </w:r>
      <m:oMath>
        <m:sSub>
          <m:sSubPr>
            <m:ctrlPr>
              <w:rPr>
                <w:rFonts w:ascii="Cambria Math" w:hAnsi="Cambria Math"/>
              </w:rPr>
            </m:ctrlPr>
          </m:sSubPr>
          <m:e>
            <m:r>
              <m:rPr/>
              <w:rPr>
                <w:rFonts w:ascii="Cambria Math"/>
              </w:rPr>
              <m:t>Y</m:t>
            </m:r>
            <m:ctrlPr>
              <w:rPr>
                <w:rFonts w:ascii="Cambria Math" w:hAnsi="Cambria Math"/>
              </w:rPr>
            </m:ctrlPr>
          </m:e>
          <m:sub>
            <m:r>
              <m:rPr/>
              <w:rPr>
                <w:rFonts w:ascii="Cambria Math"/>
              </w:rPr>
              <m:t>pred</m:t>
            </m:r>
            <m:ctrlPr>
              <w:rPr>
                <w:rFonts w:ascii="Cambria Math" w:hAnsi="Cambria Math"/>
              </w:rPr>
            </m:ctrlPr>
          </m:sub>
        </m:sSub>
      </m:oMath>
      <w:r>
        <w:t>。</w:t>
      </w:r>
    </w:p>
    <w:p w14:paraId="21ACCA80">
      <w:pPr>
        <w:pStyle w:val="3"/>
        <w:spacing w:beforeAutospacing="0" w:afterAutospacing="0"/>
        <w:ind w:left="567" w:hanging="567"/>
      </w:pPr>
      <w:r>
        <w:rPr>
          <w:rFonts w:hint="eastAsia"/>
        </w:rPr>
        <w:t>实验设计</w:t>
      </w:r>
    </w:p>
    <w:p w14:paraId="7CE15D99">
      <w:pPr>
        <w:pStyle w:val="4"/>
        <w:rPr>
          <w:rFonts w:hint="default"/>
        </w:rPr>
      </w:pPr>
      <w:r>
        <w:t>预训练数据</w:t>
      </w:r>
    </w:p>
    <w:p w14:paraId="6CD0B343">
      <w:pPr>
        <w:ind w:firstLine="480"/>
      </w:pPr>
      <w:r>
        <w:t>为了克服现有分子文本数据集中存在的描述稀疏、噪声干扰大以及缺乏定量理化信息的问题，本文设计了一套包含“数据清洗—知识检索—属性计算—大模型重写”的自动化数据构建流水线。该流程旨在构建一个兼具高质量化学结构与高密度语义信息的分子—</w:t>
      </w:r>
      <w:r>
        <w:rPr>
          <w:rFonts w:hint="eastAsia"/>
        </w:rPr>
        <w:t>文本对</w:t>
      </w:r>
      <w:r>
        <w:t>数据集，</w:t>
      </w:r>
      <w:r>
        <w:rPr>
          <w:rFonts w:hint="eastAsia"/>
        </w:rPr>
        <w:t>并使用RDkit工具生成其他模态的数据，</w:t>
      </w:r>
      <w:r>
        <w:t>用于多模态预训练。具体构建流程如下：</w:t>
      </w:r>
    </w:p>
    <w:p w14:paraId="1D79F4C6">
      <w:pPr>
        <w:ind w:firstLine="480"/>
      </w:pPr>
      <w:r>
        <w:t>1.分子结构获取与标准化</w:t>
      </w:r>
      <w:r>
        <w:rPr>
          <w:rFonts w:hint="eastAsia"/>
        </w:rPr>
        <w:t>：</w:t>
      </w:r>
      <w:r>
        <w:t>本文选取PubChem数据库作为原始数据来源，随机抽取了约30万个药物分子SMILES序列。鉴于原始数据中存在异构体冗余及书写不规范等问题，本文使用RDKit工具包对所有SMILES进行了规范化处理，并去除了重复项</w:t>
      </w:r>
      <w:r>
        <w:rPr>
          <w:rFonts w:hint="eastAsia"/>
        </w:rPr>
        <w:t>等</w:t>
      </w:r>
      <w:r>
        <w:t>无法通过RDKit解析的异常分子。经过严格筛选，最终保留了约22万个具有高度代表性的独立分子结构，构成了预训练数据集的骨架。</w:t>
      </w:r>
    </w:p>
    <w:p w14:paraId="6AB004E7">
      <w:pPr>
        <w:ind w:firstLine="480"/>
      </w:pPr>
      <w:r>
        <w:t>2.基于API的专家知识检索</w:t>
      </w:r>
      <w:r>
        <w:rPr>
          <w:rFonts w:hint="eastAsia"/>
        </w:rPr>
        <w:t>：</w:t>
      </w:r>
      <w:r>
        <w:t>针对筛选出的分子，本文利用PubChem提供的PUG View API接口进行批量检索，重点提取JSON数据中“Names and Identifiers”及“Record Description”字段下的描述性文本。该部分数据通常包含分子的通用名称、药理作用机制及历史背景等专家知识。</w:t>
      </w:r>
    </w:p>
    <w:p w14:paraId="7DB8FBDD">
      <w:pPr>
        <w:ind w:firstLine="480"/>
      </w:pPr>
      <w:r>
        <w:t>然而，直接将API检索的原始文本用于训练存在显著的模态对齐障碍，主要体现在文本长度分布的极端不平衡与语义密度的不一致：</w:t>
      </w:r>
    </w:p>
    <w:p w14:paraId="3CA34758">
      <w:pPr>
        <w:ind w:firstLine="480"/>
      </w:pPr>
      <w:r>
        <w:t>噪声冗余与文本过长：部分知名药物分子的记录中包含了大量非结构化的冗余信息。例如，在检索阿司匹林（Aspirin, CID 2244）时，返回的原始文本不仅长达数千词，还夹杂着“1839年从绣线菊中分离”等历史轶事、过期的专利号引用以及数百个商业商品名的罗列。这些与分子构效关系无关的噪声数据会显著稀释核心语义，增加模型训练的显存开销并导致注意力分散。</w:t>
      </w:r>
    </w:p>
    <w:p w14:paraId="5EF4D0C3">
      <w:pPr>
        <w:ind w:firstLine="480"/>
      </w:pPr>
      <w:r>
        <w:t>描述稀疏与语义缺失：相反，大量非药物类化合物或中间体的描述极为匮乏。例如，在检索2-丙醇钠（Sodium isopropylate, CID 10920443）时，API仅能返回“白色至类白色粉末（White to off-white powder）”这一句简单的物理状态描述，甚至仅有IUPAC命名的重复。此类“短文本”缺乏对分子功能、反应活性或生物靶点的深层刻画，导致模型在对比学习中无法捕获足够的语义信号，从而产生模态坍塌。</w:t>
      </w:r>
    </w:p>
    <w:p w14:paraId="70F9A1DA">
      <w:pPr>
        <w:ind w:firstLine="480"/>
        <w:rPr>
          <w:color w:val="0000FF"/>
        </w:rPr>
      </w:pPr>
      <w:r>
        <w:t>上述“长尾分布”现象证明，仅依赖原始检索文本难以构建高质量的对齐空间，必须</w:t>
      </w:r>
      <w:r>
        <w:rPr>
          <w:rFonts w:hint="eastAsia"/>
        </w:rPr>
        <w:t>进一步</w:t>
      </w:r>
      <w:r>
        <w:t>对文本进行去噪压缩与语义补全。</w:t>
      </w:r>
    </w:p>
    <w:p w14:paraId="33C3204E">
      <w:pPr>
        <w:ind w:firstLine="480"/>
      </w:pPr>
      <w:r>
        <w:t>3.理化性质计算与上下文构建</w:t>
      </w:r>
      <w:r>
        <w:rPr>
          <w:rFonts w:hint="eastAsia"/>
        </w:rPr>
        <w:t>：</w:t>
      </w:r>
      <w:r>
        <w:t>为了弥补文本模态在定量信息上的缺失，本文利用RDKit计算了每个分子的12项关键理化性质</w:t>
      </w:r>
      <w:r>
        <w:rPr>
          <w:rFonts w:hint="eastAsia"/>
        </w:rPr>
        <w:t>，</w:t>
      </w:r>
      <w:r>
        <w:rPr>
          <w:rFonts w:hint="eastAsia"/>
          <w:color w:val="FF0000"/>
        </w:rPr>
        <w:t>具体的理化性质见表X</w:t>
      </w:r>
      <w:r>
        <w:t>。这些理化指标被格式化为结构化的文本上下文，作为后续大模型生成的“事实锚点”，确保生成的文本描述在物理化学属性上不仅定性准确，而且定量精确。</w:t>
      </w:r>
    </w:p>
    <w:tbl>
      <w:tblPr>
        <w:tblStyle w:val="18"/>
        <w:tblW w:w="0" w:type="auto"/>
        <w:tblInd w:w="0" w:type="dxa"/>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944"/>
        <w:gridCol w:w="2169"/>
        <w:gridCol w:w="4338"/>
      </w:tblGrid>
      <w:tr w14:paraId="6F1AC852">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Borders>
              <w:bottom w:val="single" w:color="auto" w:sz="8" w:space="0"/>
            </w:tcBorders>
            <w:vAlign w:val="center"/>
          </w:tcPr>
          <w:p w14:paraId="5FBB30C4">
            <w:pPr>
              <w:ind w:firstLine="0" w:firstLineChars="0"/>
              <w:jc w:val="center"/>
            </w:pPr>
            <w:r>
              <w:rPr>
                <w:rFonts w:hint="eastAsia"/>
              </w:rPr>
              <w:t>属性名称</w:t>
            </w:r>
          </w:p>
        </w:tc>
        <w:tc>
          <w:tcPr>
            <w:tcW w:w="2169" w:type="dxa"/>
            <w:tcBorders>
              <w:bottom w:val="single" w:color="auto" w:sz="8" w:space="0"/>
            </w:tcBorders>
            <w:vAlign w:val="center"/>
          </w:tcPr>
          <w:p w14:paraId="2B4AC6A4">
            <w:pPr>
              <w:ind w:firstLine="0" w:firstLineChars="0"/>
              <w:jc w:val="center"/>
            </w:pPr>
            <w:r>
              <w:rPr>
                <w:rFonts w:hint="eastAsia"/>
              </w:rPr>
              <w:t>英文标识</w:t>
            </w:r>
          </w:p>
        </w:tc>
        <w:tc>
          <w:tcPr>
            <w:tcW w:w="4338" w:type="dxa"/>
            <w:tcBorders>
              <w:bottom w:val="single" w:color="auto" w:sz="8" w:space="0"/>
            </w:tcBorders>
            <w:vAlign w:val="center"/>
          </w:tcPr>
          <w:p w14:paraId="6EB34995">
            <w:pPr>
              <w:ind w:firstLine="0" w:firstLineChars="0"/>
              <w:jc w:val="center"/>
            </w:pPr>
            <w:r>
              <w:rPr>
                <w:rFonts w:hint="eastAsia"/>
              </w:rPr>
              <w:t>含义描述</w:t>
            </w:r>
          </w:p>
        </w:tc>
      </w:tr>
      <w:tr w14:paraId="7D7B412A">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Borders>
              <w:top w:val="single" w:color="auto" w:sz="8" w:space="0"/>
              <w:tl2br w:val="nil"/>
              <w:tr2bl w:val="nil"/>
            </w:tcBorders>
            <w:vAlign w:val="center"/>
          </w:tcPr>
          <w:p w14:paraId="7183E0E8">
            <w:pPr>
              <w:ind w:firstLine="0" w:firstLineChars="0"/>
              <w:jc w:val="center"/>
              <w:rPr>
                <w:szCs w:val="21"/>
              </w:rPr>
            </w:pPr>
            <w:r>
              <w:rPr>
                <w:rFonts w:ascii="宋体" w:hAnsi="宋体" w:cs="宋体"/>
                <w:szCs w:val="21"/>
              </w:rPr>
              <w:t>平均分子量</w:t>
            </w:r>
          </w:p>
        </w:tc>
        <w:tc>
          <w:tcPr>
            <w:tcW w:w="2169" w:type="dxa"/>
            <w:tcBorders>
              <w:top w:val="single" w:color="auto" w:sz="8" w:space="0"/>
              <w:tl2br w:val="nil"/>
              <w:tr2bl w:val="nil"/>
            </w:tcBorders>
            <w:vAlign w:val="center"/>
          </w:tcPr>
          <w:p w14:paraId="6B580C81">
            <w:pPr>
              <w:ind w:firstLine="0" w:firstLineChars="0"/>
              <w:jc w:val="center"/>
              <w:rPr>
                <w:szCs w:val="21"/>
              </w:rPr>
            </w:pPr>
            <w:r>
              <w:rPr>
                <w:szCs w:val="21"/>
              </w:rPr>
              <w:t>MolWt</w:t>
            </w:r>
          </w:p>
        </w:tc>
        <w:tc>
          <w:tcPr>
            <w:tcW w:w="4338" w:type="dxa"/>
            <w:tcBorders>
              <w:top w:val="single" w:color="auto" w:sz="8" w:space="0"/>
              <w:tl2br w:val="nil"/>
              <w:tr2bl w:val="nil"/>
            </w:tcBorders>
            <w:vAlign w:val="center"/>
          </w:tcPr>
          <w:p w14:paraId="2BE4A42E">
            <w:pPr>
              <w:ind w:firstLine="0" w:firstLineChars="0"/>
              <w:jc w:val="center"/>
            </w:pPr>
            <w:r>
              <w:rPr>
                <w:rFonts w:ascii="宋体" w:hAnsi="宋体" w:cs="宋体"/>
              </w:rPr>
              <w:t>分子的平均相对质量</w:t>
            </w:r>
          </w:p>
        </w:tc>
      </w:tr>
      <w:tr w14:paraId="5B25F4DB">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Borders>
              <w:tl2br w:val="nil"/>
              <w:tr2bl w:val="nil"/>
            </w:tcBorders>
            <w:vAlign w:val="center"/>
          </w:tcPr>
          <w:p w14:paraId="7C7FDAE5">
            <w:pPr>
              <w:ind w:firstLine="0" w:firstLineChars="0"/>
              <w:jc w:val="center"/>
              <w:rPr>
                <w:szCs w:val="21"/>
              </w:rPr>
            </w:pPr>
            <w:r>
              <w:rPr>
                <w:rFonts w:ascii="宋体" w:hAnsi="宋体" w:cs="宋体"/>
                <w:szCs w:val="21"/>
              </w:rPr>
              <w:t>精确分子量</w:t>
            </w:r>
          </w:p>
        </w:tc>
        <w:tc>
          <w:tcPr>
            <w:tcW w:w="2169" w:type="dxa"/>
            <w:tcBorders>
              <w:tl2br w:val="nil"/>
              <w:tr2bl w:val="nil"/>
            </w:tcBorders>
            <w:vAlign w:val="center"/>
          </w:tcPr>
          <w:p w14:paraId="4FFD8019">
            <w:pPr>
              <w:ind w:firstLine="0" w:firstLineChars="0"/>
              <w:jc w:val="center"/>
              <w:rPr>
                <w:szCs w:val="21"/>
              </w:rPr>
            </w:pPr>
            <w:r>
              <w:rPr>
                <w:szCs w:val="21"/>
              </w:rPr>
              <w:t>ExactMolWt</w:t>
            </w:r>
          </w:p>
        </w:tc>
        <w:tc>
          <w:tcPr>
            <w:tcW w:w="4338" w:type="dxa"/>
            <w:tcBorders>
              <w:tl2br w:val="nil"/>
              <w:tr2bl w:val="nil"/>
            </w:tcBorders>
            <w:vAlign w:val="center"/>
          </w:tcPr>
          <w:p w14:paraId="4B281121">
            <w:pPr>
              <w:ind w:firstLine="0" w:firstLineChars="0"/>
              <w:jc w:val="center"/>
            </w:pPr>
            <w:r>
              <w:rPr>
                <w:rFonts w:ascii="宋体" w:hAnsi="宋体" w:cs="宋体"/>
              </w:rPr>
              <w:t>基于同位素质量计算的精确分子质量</w:t>
            </w:r>
          </w:p>
        </w:tc>
      </w:tr>
      <w:tr w14:paraId="56A52938">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Borders>
              <w:tl2br w:val="nil"/>
              <w:tr2bl w:val="nil"/>
            </w:tcBorders>
            <w:vAlign w:val="center"/>
          </w:tcPr>
          <w:p w14:paraId="5A2F558A">
            <w:pPr>
              <w:ind w:firstLine="0" w:firstLineChars="0"/>
              <w:jc w:val="center"/>
              <w:rPr>
                <w:rFonts w:hint="eastAsia" w:ascii="宋体" w:hAnsi="宋体" w:cs="宋体"/>
                <w:szCs w:val="21"/>
              </w:rPr>
            </w:pPr>
            <w:r>
              <w:rPr>
                <w:rFonts w:ascii="宋体" w:hAnsi="宋体" w:cs="宋体"/>
                <w:szCs w:val="21"/>
              </w:rPr>
              <w:t>脂水分配系数</w:t>
            </w:r>
          </w:p>
        </w:tc>
        <w:tc>
          <w:tcPr>
            <w:tcW w:w="2169" w:type="dxa"/>
            <w:tcBorders>
              <w:tl2br w:val="nil"/>
              <w:tr2bl w:val="nil"/>
            </w:tcBorders>
            <w:vAlign w:val="center"/>
          </w:tcPr>
          <w:p w14:paraId="64F1831F">
            <w:pPr>
              <w:ind w:firstLine="0" w:firstLineChars="0"/>
              <w:jc w:val="center"/>
              <w:rPr>
                <w:szCs w:val="21"/>
              </w:rPr>
            </w:pPr>
            <w:r>
              <w:rPr>
                <w:szCs w:val="21"/>
              </w:rPr>
              <w:t>LogP</w:t>
            </w:r>
          </w:p>
        </w:tc>
        <w:tc>
          <w:tcPr>
            <w:tcW w:w="4338" w:type="dxa"/>
            <w:tcBorders>
              <w:tl2br w:val="nil"/>
              <w:tr2bl w:val="nil"/>
            </w:tcBorders>
            <w:vAlign w:val="center"/>
          </w:tcPr>
          <w:p w14:paraId="20401CFF">
            <w:pPr>
              <w:ind w:firstLine="0" w:firstLineChars="0"/>
              <w:jc w:val="center"/>
            </w:pPr>
            <w:r>
              <w:rPr>
                <w:rFonts w:ascii="宋体" w:hAnsi="宋体" w:cs="宋体"/>
              </w:rPr>
              <w:t>衡量分子亲脂性的关键参数</w:t>
            </w:r>
          </w:p>
        </w:tc>
      </w:tr>
      <w:tr w14:paraId="6D578E77">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Borders>
              <w:tl2br w:val="nil"/>
              <w:tr2bl w:val="nil"/>
            </w:tcBorders>
            <w:vAlign w:val="center"/>
          </w:tcPr>
          <w:p w14:paraId="192B273B">
            <w:pPr>
              <w:ind w:firstLine="0" w:firstLineChars="0"/>
              <w:jc w:val="center"/>
              <w:rPr>
                <w:rFonts w:hint="eastAsia" w:ascii="宋体" w:hAnsi="宋体" w:cs="宋体"/>
                <w:szCs w:val="21"/>
              </w:rPr>
            </w:pPr>
            <w:r>
              <w:rPr>
                <w:rFonts w:ascii="宋体" w:hAnsi="宋体" w:cs="宋体"/>
                <w:szCs w:val="21"/>
              </w:rPr>
              <w:t>拓扑极性表面积</w:t>
            </w:r>
          </w:p>
        </w:tc>
        <w:tc>
          <w:tcPr>
            <w:tcW w:w="2169" w:type="dxa"/>
            <w:tcBorders>
              <w:tl2br w:val="nil"/>
              <w:tr2bl w:val="nil"/>
            </w:tcBorders>
            <w:vAlign w:val="center"/>
          </w:tcPr>
          <w:p w14:paraId="278CCCC4">
            <w:pPr>
              <w:ind w:firstLine="0" w:firstLineChars="0"/>
              <w:jc w:val="center"/>
              <w:rPr>
                <w:szCs w:val="21"/>
              </w:rPr>
            </w:pPr>
            <w:r>
              <w:rPr>
                <w:szCs w:val="21"/>
              </w:rPr>
              <w:t>TPSA</w:t>
            </w:r>
          </w:p>
        </w:tc>
        <w:tc>
          <w:tcPr>
            <w:tcW w:w="4338" w:type="dxa"/>
            <w:tcBorders>
              <w:tl2br w:val="nil"/>
              <w:tr2bl w:val="nil"/>
            </w:tcBorders>
            <w:vAlign w:val="center"/>
          </w:tcPr>
          <w:p w14:paraId="5F9835DF">
            <w:pPr>
              <w:ind w:firstLine="0" w:firstLineChars="0"/>
              <w:jc w:val="center"/>
            </w:pPr>
            <w:r>
              <w:rPr>
                <w:rFonts w:ascii="宋体" w:hAnsi="宋体" w:cs="宋体"/>
              </w:rPr>
              <w:t>分子表面极性原子的总面积</w:t>
            </w:r>
          </w:p>
        </w:tc>
      </w:tr>
      <w:tr w14:paraId="1C6A7501">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Borders>
              <w:tl2br w:val="nil"/>
              <w:tr2bl w:val="nil"/>
            </w:tcBorders>
            <w:vAlign w:val="center"/>
          </w:tcPr>
          <w:p w14:paraId="53015EFE">
            <w:pPr>
              <w:ind w:firstLine="0" w:firstLineChars="0"/>
              <w:jc w:val="center"/>
              <w:rPr>
                <w:rFonts w:hint="eastAsia" w:ascii="宋体" w:hAnsi="宋体" w:cs="宋体"/>
                <w:szCs w:val="21"/>
              </w:rPr>
            </w:pPr>
            <w:r>
              <w:rPr>
                <w:rFonts w:ascii="宋体" w:hAnsi="宋体" w:cs="宋体"/>
                <w:szCs w:val="21"/>
              </w:rPr>
              <w:t>重原子数</w:t>
            </w:r>
          </w:p>
        </w:tc>
        <w:tc>
          <w:tcPr>
            <w:tcW w:w="2169" w:type="dxa"/>
            <w:tcBorders>
              <w:tl2br w:val="nil"/>
              <w:tr2bl w:val="nil"/>
            </w:tcBorders>
            <w:vAlign w:val="center"/>
          </w:tcPr>
          <w:p w14:paraId="76A62889">
            <w:pPr>
              <w:ind w:firstLine="0" w:firstLineChars="0"/>
              <w:jc w:val="center"/>
              <w:rPr>
                <w:szCs w:val="21"/>
              </w:rPr>
            </w:pPr>
            <w:r>
              <w:rPr>
                <w:szCs w:val="21"/>
              </w:rPr>
              <w:t>Heavy_Atoms</w:t>
            </w:r>
          </w:p>
        </w:tc>
        <w:tc>
          <w:tcPr>
            <w:tcW w:w="4338" w:type="dxa"/>
            <w:tcBorders>
              <w:tl2br w:val="nil"/>
              <w:tr2bl w:val="nil"/>
            </w:tcBorders>
            <w:vAlign w:val="center"/>
          </w:tcPr>
          <w:p w14:paraId="5F6E100C">
            <w:pPr>
              <w:ind w:firstLine="0" w:firstLineChars="0"/>
              <w:jc w:val="center"/>
            </w:pPr>
            <w:r>
              <w:rPr>
                <w:rFonts w:ascii="宋体" w:hAnsi="宋体" w:cs="宋体"/>
              </w:rPr>
              <w:t>分子中非氢原子的总数量</w:t>
            </w:r>
          </w:p>
        </w:tc>
      </w:tr>
      <w:tr w14:paraId="669FDD6E">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Borders>
              <w:tl2br w:val="nil"/>
              <w:tr2bl w:val="nil"/>
            </w:tcBorders>
            <w:vAlign w:val="center"/>
          </w:tcPr>
          <w:p w14:paraId="3B175645">
            <w:pPr>
              <w:ind w:firstLine="0" w:firstLineChars="0"/>
              <w:jc w:val="center"/>
              <w:rPr>
                <w:rFonts w:hint="eastAsia" w:ascii="宋体" w:hAnsi="宋体" w:cs="宋体"/>
                <w:szCs w:val="21"/>
              </w:rPr>
            </w:pPr>
            <w:r>
              <w:rPr>
                <w:rFonts w:ascii="宋体" w:hAnsi="宋体" w:cs="宋体"/>
                <w:szCs w:val="21"/>
              </w:rPr>
              <w:t>氢键供体数</w:t>
            </w:r>
          </w:p>
        </w:tc>
        <w:tc>
          <w:tcPr>
            <w:tcW w:w="2169" w:type="dxa"/>
            <w:tcBorders>
              <w:tl2br w:val="nil"/>
              <w:tr2bl w:val="nil"/>
            </w:tcBorders>
            <w:vAlign w:val="center"/>
          </w:tcPr>
          <w:p w14:paraId="095563AB">
            <w:pPr>
              <w:ind w:firstLine="0" w:firstLineChars="0"/>
              <w:jc w:val="center"/>
              <w:rPr>
                <w:szCs w:val="21"/>
              </w:rPr>
            </w:pPr>
            <w:r>
              <w:rPr>
                <w:szCs w:val="21"/>
              </w:rPr>
              <w:t>H_Bond_Donors</w:t>
            </w:r>
          </w:p>
        </w:tc>
        <w:tc>
          <w:tcPr>
            <w:tcW w:w="4338" w:type="dxa"/>
            <w:tcBorders>
              <w:tl2br w:val="nil"/>
              <w:tr2bl w:val="nil"/>
            </w:tcBorders>
            <w:vAlign w:val="center"/>
          </w:tcPr>
          <w:p w14:paraId="2BDD5F5B">
            <w:pPr>
              <w:ind w:firstLine="0" w:firstLineChars="0"/>
              <w:jc w:val="center"/>
            </w:pPr>
            <w:r>
              <w:rPr>
                <w:rFonts w:ascii="宋体" w:hAnsi="宋体" w:cs="宋体"/>
              </w:rPr>
              <w:t>分子中能提供质子的基团数量</w:t>
            </w:r>
          </w:p>
        </w:tc>
      </w:tr>
      <w:tr w14:paraId="5FA6C5BB">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Borders>
              <w:tl2br w:val="nil"/>
              <w:tr2bl w:val="nil"/>
            </w:tcBorders>
            <w:vAlign w:val="center"/>
          </w:tcPr>
          <w:p w14:paraId="1DFEA7B8">
            <w:pPr>
              <w:ind w:firstLine="0" w:firstLineChars="0"/>
              <w:jc w:val="center"/>
              <w:rPr>
                <w:rFonts w:hint="eastAsia" w:ascii="宋体" w:hAnsi="宋体" w:cs="宋体"/>
                <w:szCs w:val="21"/>
              </w:rPr>
            </w:pPr>
            <w:r>
              <w:rPr>
                <w:rFonts w:ascii="宋体" w:hAnsi="宋体" w:cs="宋体"/>
                <w:szCs w:val="21"/>
              </w:rPr>
              <w:t>氢键受体数</w:t>
            </w:r>
          </w:p>
        </w:tc>
        <w:tc>
          <w:tcPr>
            <w:tcW w:w="2169" w:type="dxa"/>
            <w:tcBorders>
              <w:tl2br w:val="nil"/>
              <w:tr2bl w:val="nil"/>
            </w:tcBorders>
            <w:vAlign w:val="center"/>
          </w:tcPr>
          <w:p w14:paraId="4D7500C1">
            <w:pPr>
              <w:ind w:firstLine="0" w:firstLineChars="0"/>
              <w:jc w:val="center"/>
              <w:rPr>
                <w:szCs w:val="21"/>
              </w:rPr>
            </w:pPr>
            <w:r>
              <w:rPr>
                <w:szCs w:val="21"/>
              </w:rPr>
              <w:t>H_Bond_Acceptors</w:t>
            </w:r>
          </w:p>
        </w:tc>
        <w:tc>
          <w:tcPr>
            <w:tcW w:w="4338" w:type="dxa"/>
            <w:tcBorders>
              <w:tl2br w:val="nil"/>
              <w:tr2bl w:val="nil"/>
            </w:tcBorders>
            <w:vAlign w:val="center"/>
          </w:tcPr>
          <w:p w14:paraId="1CAACDD2">
            <w:pPr>
              <w:ind w:firstLine="0" w:firstLineChars="0"/>
              <w:jc w:val="center"/>
            </w:pPr>
            <w:r>
              <w:rPr>
                <w:rFonts w:ascii="宋体" w:hAnsi="宋体" w:cs="宋体"/>
              </w:rPr>
              <w:t>分子中能接受质子的原子数量</w:t>
            </w:r>
          </w:p>
        </w:tc>
      </w:tr>
      <w:tr w14:paraId="029DD913">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Borders>
              <w:tl2br w:val="nil"/>
              <w:tr2bl w:val="nil"/>
            </w:tcBorders>
            <w:vAlign w:val="center"/>
          </w:tcPr>
          <w:p w14:paraId="1BFC8BF9">
            <w:pPr>
              <w:ind w:firstLine="0" w:firstLineChars="0"/>
              <w:jc w:val="center"/>
              <w:rPr>
                <w:rFonts w:hint="eastAsia" w:ascii="宋体" w:hAnsi="宋体" w:cs="宋体"/>
                <w:szCs w:val="21"/>
              </w:rPr>
            </w:pPr>
            <w:r>
              <w:rPr>
                <w:rFonts w:ascii="宋体" w:hAnsi="宋体" w:cs="宋体"/>
                <w:szCs w:val="21"/>
              </w:rPr>
              <w:t>可旋转键数</w:t>
            </w:r>
          </w:p>
        </w:tc>
        <w:tc>
          <w:tcPr>
            <w:tcW w:w="2169" w:type="dxa"/>
            <w:tcBorders>
              <w:tl2br w:val="nil"/>
              <w:tr2bl w:val="nil"/>
            </w:tcBorders>
            <w:vAlign w:val="center"/>
          </w:tcPr>
          <w:p w14:paraId="42929EA8">
            <w:pPr>
              <w:ind w:firstLine="0" w:firstLineChars="0"/>
              <w:jc w:val="center"/>
              <w:rPr>
                <w:szCs w:val="21"/>
              </w:rPr>
            </w:pPr>
            <w:r>
              <w:rPr>
                <w:szCs w:val="21"/>
              </w:rPr>
              <w:t>Rotatable_Bonds</w:t>
            </w:r>
          </w:p>
        </w:tc>
        <w:tc>
          <w:tcPr>
            <w:tcW w:w="4338" w:type="dxa"/>
            <w:tcBorders>
              <w:tl2br w:val="nil"/>
              <w:tr2bl w:val="nil"/>
            </w:tcBorders>
            <w:vAlign w:val="center"/>
          </w:tcPr>
          <w:p w14:paraId="0DDD6CA6">
            <w:pPr>
              <w:ind w:firstLine="0" w:firstLineChars="0"/>
              <w:jc w:val="center"/>
            </w:pPr>
            <w:r>
              <w:rPr>
                <w:rFonts w:ascii="宋体" w:hAnsi="宋体" w:cs="宋体"/>
              </w:rPr>
              <w:t>单键旋转自由度的度量</w:t>
            </w:r>
          </w:p>
        </w:tc>
      </w:tr>
      <w:tr w14:paraId="181F3309">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Borders>
              <w:tl2br w:val="nil"/>
              <w:tr2bl w:val="nil"/>
            </w:tcBorders>
            <w:vAlign w:val="center"/>
          </w:tcPr>
          <w:p w14:paraId="7C9D6D4A">
            <w:pPr>
              <w:ind w:firstLine="0" w:firstLineChars="0"/>
              <w:jc w:val="center"/>
              <w:rPr>
                <w:rFonts w:hint="eastAsia" w:ascii="宋体" w:hAnsi="宋体" w:cs="宋体"/>
                <w:szCs w:val="21"/>
              </w:rPr>
            </w:pPr>
            <w:r>
              <w:rPr>
                <w:rFonts w:ascii="宋体" w:hAnsi="宋体" w:cs="宋体"/>
                <w:szCs w:val="21"/>
              </w:rPr>
              <w:t>环数量</w:t>
            </w:r>
          </w:p>
        </w:tc>
        <w:tc>
          <w:tcPr>
            <w:tcW w:w="2169" w:type="dxa"/>
            <w:tcBorders>
              <w:tl2br w:val="nil"/>
              <w:tr2bl w:val="nil"/>
            </w:tcBorders>
            <w:vAlign w:val="center"/>
          </w:tcPr>
          <w:p w14:paraId="3E76A35A">
            <w:pPr>
              <w:ind w:firstLine="0" w:firstLineChars="0"/>
              <w:jc w:val="center"/>
              <w:rPr>
                <w:szCs w:val="21"/>
              </w:rPr>
            </w:pPr>
            <w:r>
              <w:rPr>
                <w:szCs w:val="21"/>
              </w:rPr>
              <w:t>Ring_Count</w:t>
            </w:r>
          </w:p>
        </w:tc>
        <w:tc>
          <w:tcPr>
            <w:tcW w:w="4338" w:type="dxa"/>
            <w:tcBorders>
              <w:tl2br w:val="nil"/>
              <w:tr2bl w:val="nil"/>
            </w:tcBorders>
            <w:vAlign w:val="center"/>
          </w:tcPr>
          <w:p w14:paraId="68657AA6">
            <w:pPr>
              <w:ind w:firstLine="0" w:firstLineChars="0"/>
              <w:jc w:val="center"/>
            </w:pPr>
            <w:r>
              <w:rPr>
                <w:rFonts w:ascii="宋体" w:hAnsi="宋体" w:cs="宋体"/>
              </w:rPr>
              <w:t>分子中环状结构的总数</w:t>
            </w:r>
          </w:p>
        </w:tc>
      </w:tr>
      <w:tr w14:paraId="4EC4BC6A">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Borders>
              <w:tl2br w:val="nil"/>
              <w:tr2bl w:val="nil"/>
            </w:tcBorders>
            <w:vAlign w:val="center"/>
          </w:tcPr>
          <w:p w14:paraId="7FF595FD">
            <w:pPr>
              <w:ind w:firstLine="0" w:firstLineChars="0"/>
              <w:jc w:val="center"/>
              <w:rPr>
                <w:rFonts w:hint="eastAsia" w:ascii="宋体" w:hAnsi="宋体" w:cs="宋体"/>
                <w:szCs w:val="21"/>
              </w:rPr>
            </w:pPr>
            <w:r>
              <w:rPr>
                <w:rFonts w:ascii="宋体" w:hAnsi="宋体" w:cs="宋体"/>
                <w:szCs w:val="21"/>
              </w:rPr>
              <w:t>芳香环数量</w:t>
            </w:r>
          </w:p>
        </w:tc>
        <w:tc>
          <w:tcPr>
            <w:tcW w:w="2169" w:type="dxa"/>
            <w:tcBorders>
              <w:tl2br w:val="nil"/>
              <w:tr2bl w:val="nil"/>
            </w:tcBorders>
            <w:vAlign w:val="center"/>
          </w:tcPr>
          <w:p w14:paraId="0B88142F">
            <w:pPr>
              <w:ind w:firstLine="0" w:firstLineChars="0"/>
              <w:jc w:val="center"/>
              <w:rPr>
                <w:szCs w:val="21"/>
              </w:rPr>
            </w:pPr>
            <w:r>
              <w:rPr>
                <w:szCs w:val="21"/>
              </w:rPr>
              <w:t>Aromatic_Rings</w:t>
            </w:r>
          </w:p>
        </w:tc>
        <w:tc>
          <w:tcPr>
            <w:tcW w:w="4338" w:type="dxa"/>
            <w:tcBorders>
              <w:tl2br w:val="nil"/>
              <w:tr2bl w:val="nil"/>
            </w:tcBorders>
            <w:vAlign w:val="center"/>
          </w:tcPr>
          <w:p w14:paraId="7E7AF98E">
            <w:pPr>
              <w:widowControl/>
              <w:ind w:firstLine="0" w:firstLineChars="0"/>
              <w:jc w:val="center"/>
            </w:pPr>
            <w:r>
              <w:rPr>
                <w:rFonts w:ascii="宋体" w:hAnsi="宋体" w:cs="宋体"/>
                <w:kern w:val="0"/>
                <w:lang w:bidi="ar"/>
              </w:rPr>
              <w:t>具有芳香性的环结构数量</w:t>
            </w:r>
          </w:p>
        </w:tc>
      </w:tr>
      <w:tr w14:paraId="6AA1E0E9">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Borders>
              <w:tl2br w:val="nil"/>
              <w:tr2bl w:val="nil"/>
            </w:tcBorders>
            <w:vAlign w:val="center"/>
          </w:tcPr>
          <w:p w14:paraId="6C7D03D9">
            <w:pPr>
              <w:ind w:firstLine="0" w:firstLineChars="0"/>
              <w:jc w:val="center"/>
              <w:rPr>
                <w:rFonts w:hint="eastAsia" w:ascii="宋体" w:hAnsi="宋体" w:cs="宋体"/>
                <w:szCs w:val="21"/>
              </w:rPr>
            </w:pPr>
            <w:r>
              <w:rPr>
                <w:rFonts w:ascii="宋体" w:hAnsi="宋体" w:cs="宋体"/>
                <w:szCs w:val="21"/>
              </w:rPr>
              <w:t>手性中心数</w:t>
            </w:r>
          </w:p>
        </w:tc>
        <w:tc>
          <w:tcPr>
            <w:tcW w:w="2169" w:type="dxa"/>
            <w:tcBorders>
              <w:tl2br w:val="nil"/>
              <w:tr2bl w:val="nil"/>
            </w:tcBorders>
            <w:vAlign w:val="center"/>
          </w:tcPr>
          <w:p w14:paraId="130997C4">
            <w:pPr>
              <w:ind w:firstLine="0" w:firstLineChars="0"/>
              <w:jc w:val="center"/>
              <w:rPr>
                <w:szCs w:val="21"/>
              </w:rPr>
            </w:pPr>
            <w:r>
              <w:rPr>
                <w:szCs w:val="21"/>
              </w:rPr>
              <w:t>Stereocenters</w:t>
            </w:r>
          </w:p>
        </w:tc>
        <w:tc>
          <w:tcPr>
            <w:tcW w:w="4338" w:type="dxa"/>
            <w:tcBorders>
              <w:tl2br w:val="nil"/>
              <w:tr2bl w:val="nil"/>
            </w:tcBorders>
            <w:vAlign w:val="center"/>
          </w:tcPr>
          <w:p w14:paraId="720FFE76">
            <w:pPr>
              <w:ind w:firstLine="0" w:firstLineChars="0"/>
              <w:jc w:val="center"/>
            </w:pPr>
            <w:r>
              <w:rPr>
                <w:rFonts w:ascii="宋体" w:hAnsi="宋体" w:cs="宋体"/>
              </w:rPr>
              <w:t>分子中立体异构中心的数量</w:t>
            </w:r>
          </w:p>
        </w:tc>
      </w:tr>
    </w:tbl>
    <w:p w14:paraId="5F3E4826">
      <w:pPr>
        <w:ind w:firstLine="0" w:firstLineChars="0"/>
      </w:pPr>
    </w:p>
    <w:p w14:paraId="7362BD28">
      <w:pPr>
        <w:ind w:firstLine="480"/>
      </w:pPr>
      <w:r>
        <w:t>4.基于大模型的知识清洗与重写</w:t>
      </w:r>
      <w:r>
        <w:rPr>
          <w:rFonts w:hint="eastAsia"/>
        </w:rPr>
        <w:t>：</w:t>
      </w:r>
      <w:r>
        <w:t>本文引入大语言模型（LLM）作为文本生成代理，通过精心设计的提示词工程执行“清洗+融合”任务。具体而言，我们将API检索到的粗糙文本与RDKit计算的理化性质共同输入模型，要求模型去除原始文本中的噪声，并将理化指标自然地融入对分子的描述中。最终生成的文本呈现为“专家知识+理化属性”的混合描述形式，既保留了PubChem中的药理语义，又增强了对分子结构—性质关系的显式表达。</w:t>
      </w:r>
    </w:p>
    <w:p w14:paraId="2DFFA231">
      <w:pPr>
        <w:ind w:firstLine="480"/>
      </w:pPr>
      <w:r>
        <w:rPr>
          <w:rFonts w:hint="eastAsia"/>
        </w:rPr>
        <w:t>提示词的设计遵循以下三个核心原则：</w:t>
      </w:r>
    </w:p>
    <w:p w14:paraId="42FDF29D">
      <w:pPr>
        <w:ind w:firstLine="480"/>
      </w:pPr>
      <w:r>
        <w:rPr>
          <w:rFonts w:hint="eastAsia"/>
        </w:rPr>
        <w:t>角色定义与任务约束：明确指示模型扮演“资深药物化学家”的角色，并规定输出必须使用客观、学术的陈述语气，严禁使用第一人称或情感色彩词汇。</w:t>
      </w:r>
    </w:p>
    <w:p w14:paraId="23514F72">
      <w:pPr>
        <w:ind w:firstLine="480"/>
      </w:pPr>
      <w:r>
        <w:rPr>
          <w:rFonts w:hint="eastAsia"/>
        </w:rPr>
        <w:t>上下文注入：将检索到的原始文本与计算所得的理化性质列表作为两个独立的上下文块输入，强制模型在重写时必须参考这两部分信息。</w:t>
      </w:r>
    </w:p>
    <w:p w14:paraId="01619D29">
      <w:pPr>
        <w:ind w:firstLine="480"/>
      </w:pPr>
      <w:r>
        <w:rPr>
          <w:rFonts w:hint="eastAsia"/>
        </w:rPr>
        <w:t>负面约束：显式列出需要过滤的噪声类型（如专利号、历史轶事、商业名称），防止模型产生“幻觉”或保留冗余信息。具体的提示词模板如表3.2所示。</w:t>
      </w:r>
    </w:p>
    <w:tbl>
      <w:tblPr>
        <w:tblStyle w:val="18"/>
        <w:tblW w:w="0" w:type="auto"/>
        <w:tblInd w:w="0" w:type="dxa"/>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130"/>
        <w:gridCol w:w="6254"/>
      </w:tblGrid>
      <w:tr w14:paraId="0B25EC96">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2130" w:type="dxa"/>
            <w:tcBorders>
              <w:bottom w:val="single" w:color="auto" w:sz="8" w:space="0"/>
            </w:tcBorders>
          </w:tcPr>
          <w:p w14:paraId="18D6F215">
            <w:pPr>
              <w:ind w:firstLine="480"/>
            </w:pPr>
            <w:r>
              <w:rPr>
                <w:rFonts w:hint="eastAsia"/>
              </w:rPr>
              <w:t>模块</w:t>
            </w:r>
          </w:p>
        </w:tc>
        <w:tc>
          <w:tcPr>
            <w:tcW w:w="6254" w:type="dxa"/>
            <w:tcBorders>
              <w:bottom w:val="single" w:color="auto" w:sz="8" w:space="0"/>
            </w:tcBorders>
          </w:tcPr>
          <w:p w14:paraId="0911CE59">
            <w:pPr>
              <w:ind w:firstLine="480"/>
            </w:pPr>
            <w:r>
              <w:rPr>
                <w:rFonts w:hint="eastAsia"/>
              </w:rPr>
              <w:t>内容</w:t>
            </w:r>
          </w:p>
        </w:tc>
      </w:tr>
      <w:tr w14:paraId="42B4BD2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2130" w:type="dxa"/>
            <w:tcBorders>
              <w:top w:val="single" w:color="auto" w:sz="8" w:space="0"/>
              <w:tl2br w:val="nil"/>
              <w:tr2bl w:val="nil"/>
            </w:tcBorders>
          </w:tcPr>
          <w:p w14:paraId="48F1F3D2">
            <w:pPr>
              <w:ind w:firstLine="480"/>
            </w:pPr>
            <w:r>
              <w:rPr>
                <w:rFonts w:hint="eastAsia"/>
              </w:rPr>
              <w:t>系统指令</w:t>
            </w:r>
          </w:p>
        </w:tc>
        <w:tc>
          <w:tcPr>
            <w:tcW w:w="6254" w:type="dxa"/>
            <w:tcBorders>
              <w:top w:val="single" w:color="auto" w:sz="8" w:space="0"/>
              <w:tl2br w:val="nil"/>
              <w:tr2bl w:val="nil"/>
            </w:tcBorders>
          </w:tcPr>
          <w:p w14:paraId="05239FC3">
            <w:pPr>
              <w:ind w:firstLine="0" w:firstLineChars="0"/>
            </w:pPr>
            <w:r>
              <w:rPr>
                <w:rFonts w:hint="eastAsia"/>
              </w:rPr>
              <w:t>You are an expert scholar in pharmaceutical chemistry and drug discovery. Your task is to rewrite a noisy molecular description into a high-quality, scientifically accurate summary.</w:t>
            </w:r>
          </w:p>
        </w:tc>
      </w:tr>
      <w:tr w14:paraId="5B5618AF">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2130" w:type="dxa"/>
            <w:tcBorders>
              <w:tl2br w:val="nil"/>
              <w:tr2bl w:val="nil"/>
            </w:tcBorders>
          </w:tcPr>
          <w:p w14:paraId="2ACA502D">
            <w:pPr>
              <w:ind w:firstLine="480"/>
            </w:pPr>
            <w:r>
              <w:rPr>
                <w:rFonts w:hint="eastAsia"/>
              </w:rPr>
              <w:t>输入上下文</w:t>
            </w:r>
          </w:p>
        </w:tc>
        <w:tc>
          <w:tcPr>
            <w:tcW w:w="6254" w:type="dxa"/>
            <w:tcBorders>
              <w:tl2br w:val="nil"/>
              <w:tr2bl w:val="nil"/>
            </w:tcBorders>
          </w:tcPr>
          <w:p w14:paraId="2E72863F">
            <w:pPr>
              <w:ind w:firstLine="0" w:firstLineChars="0"/>
            </w:pPr>
            <w:r>
              <w:t>[Instruction]: Combine the following Raw Description (from PubChem) and Physicochemical Properties (calculated by RDKit) into a cohesive paragraph.</w:t>
            </w:r>
          </w:p>
          <w:p w14:paraId="7A94E5B1">
            <w:pPr>
              <w:ind w:firstLine="0" w:firstLineChars="0"/>
            </w:pPr>
            <w:r>
              <w:t>[Raw Description]: {raw_description_text}</w:t>
            </w:r>
          </w:p>
          <w:p w14:paraId="3D3CAA17">
            <w:pPr>
              <w:ind w:firstLine="0" w:firstLineChars="0"/>
            </w:pPr>
            <w:r>
              <w:t>[Physicochemical Properties]: {calculated_properties_list}</w:t>
            </w:r>
          </w:p>
        </w:tc>
      </w:tr>
      <w:tr w14:paraId="0A1620C2">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2130" w:type="dxa"/>
            <w:tcBorders>
              <w:tl2br w:val="nil"/>
              <w:tr2bl w:val="nil"/>
            </w:tcBorders>
          </w:tcPr>
          <w:p w14:paraId="10FDD3BC">
            <w:pPr>
              <w:ind w:firstLine="480"/>
            </w:pPr>
            <w:r>
              <w:rPr>
                <w:rFonts w:hint="eastAsia"/>
              </w:rPr>
              <w:t>生成约束</w:t>
            </w:r>
          </w:p>
        </w:tc>
        <w:tc>
          <w:tcPr>
            <w:tcW w:w="6254" w:type="dxa"/>
            <w:tcBorders>
              <w:tl2br w:val="nil"/>
              <w:tr2bl w:val="nil"/>
            </w:tcBorders>
          </w:tcPr>
          <w:p w14:paraId="74B084D2">
            <w:pPr>
              <w:ind w:firstLine="0" w:firstLineChars="0"/>
            </w:pPr>
            <w:r>
              <w:t>1. Noise Filtering: Remove all patent numbers (e.g., US12345), dates of discovery, historical anecdotes, commercial trade names, and CAS registry numbers.</w:t>
            </w:r>
          </w:p>
          <w:p w14:paraId="32E46EF7">
            <w:pPr>
              <w:ind w:firstLine="0" w:firstLineChars="0"/>
            </w:pPr>
            <w:r>
              <w:t>2. Property Integration: Naturally weave the quantitative properties (especially MW, LogP, TPSA, and H-bond counts) into the description to explain the molecule's solubility, permeability, or size. Do not just list the numbers.</w:t>
            </w:r>
          </w:p>
          <w:p w14:paraId="0081CB2F">
            <w:pPr>
              <w:ind w:firstLine="0" w:firstLineChars="0"/>
            </w:pPr>
            <w:r>
              <w:t>3. Handling Sparsity: If the Raw Description is empty or too short, rely on the Physicochemical Properties to describe the molecule's potential characteristics</w:t>
            </w:r>
            <w:r>
              <w:rPr>
                <w:rFonts w:hint="eastAsia"/>
              </w:rPr>
              <w:t>.</w:t>
            </w:r>
          </w:p>
          <w:p w14:paraId="0E5C6833">
            <w:pPr>
              <w:ind w:firstLine="0" w:firstLineChars="0"/>
            </w:pPr>
            <w:r>
              <w:t>4. Format: Start the paragraph strictly with "This molecu</w:t>
            </w:r>
            <w:r>
              <w:rPr>
                <w:b/>
                <w:bCs/>
              </w:rPr>
              <w:t>le is...</w:t>
            </w:r>
            <w:r>
              <w:t>". Keep it concise, under 200 words</w:t>
            </w:r>
            <w:r>
              <w:rPr>
                <w:rFonts w:hint="eastAsia"/>
              </w:rPr>
              <w:t>.</w:t>
            </w:r>
          </w:p>
        </w:tc>
      </w:tr>
    </w:tbl>
    <w:p w14:paraId="0DF3623F">
      <w:pPr>
        <w:pStyle w:val="34"/>
        <w:numPr>
          <w:ilvl w:val="0"/>
          <w:numId w:val="4"/>
        </w:numPr>
        <w:ind w:firstLineChars="0"/>
      </w:pPr>
      <w:r>
        <w:t>多模态输入视图构建</w:t>
      </w:r>
      <w:r>
        <w:rPr>
          <w:rFonts w:hint="eastAsia"/>
        </w:rPr>
        <w:t>：</w:t>
      </w:r>
      <w:r>
        <w:t>为了构建全方位的分子表征空间，除上述增强后的文本模态外，本文进一步基于清洗后的SMILES序列，利用RDKit工具包生成了分子的2D拓扑图结构（Graph）与分子指纹（Fingerprint），形成了“图—序列—指纹—文本”四位一体的</w:t>
      </w:r>
      <w:r>
        <w:rPr>
          <w:rFonts w:hint="eastAsia"/>
        </w:rPr>
        <w:t>多模态</w:t>
      </w:r>
      <w:r>
        <w:t>输入数据</w:t>
      </w:r>
      <w:r>
        <w:rPr>
          <w:rFonts w:hint="eastAsia"/>
        </w:rPr>
        <w:t>。</w:t>
      </w:r>
    </w:p>
    <w:p w14:paraId="4D0CC9B7">
      <w:pPr>
        <w:ind w:firstLine="480"/>
      </w:pPr>
      <w:r>
        <w:t>通过上述流程，本文成功构建了一个包含约22万个高质量</w:t>
      </w:r>
      <w:r>
        <w:rPr>
          <w:rFonts w:hint="eastAsia"/>
        </w:rPr>
        <w:t>多模态</w:t>
      </w:r>
      <w:r>
        <w:t>预训练数据集，为后续的多模态对比学习提供了坚实的数据基础。</w:t>
      </w:r>
    </w:p>
    <w:tbl>
      <w:tblPr>
        <w:tblStyle w:val="1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786"/>
        <w:gridCol w:w="3736"/>
      </w:tblGrid>
      <w:tr w14:paraId="4274A2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86" w:type="dxa"/>
          </w:tcPr>
          <w:p w14:paraId="7EA343DC">
            <w:pPr>
              <w:ind w:firstLine="0" w:firstLineChars="0"/>
            </w:pPr>
            <w:r>
              <w:rPr>
                <w:rFonts w:hint="eastAsia"/>
              </w:rPr>
              <w:t>原文</w:t>
            </w:r>
          </w:p>
        </w:tc>
        <w:tc>
          <w:tcPr>
            <w:tcW w:w="3736" w:type="dxa"/>
          </w:tcPr>
          <w:p w14:paraId="586F574A">
            <w:pPr>
              <w:ind w:firstLine="0" w:firstLineChars="0"/>
            </w:pPr>
            <w:r>
              <w:rPr>
                <w:rFonts w:hint="eastAsia"/>
              </w:rPr>
              <w:t>重写后</w:t>
            </w:r>
          </w:p>
        </w:tc>
      </w:tr>
      <w:tr w14:paraId="62857B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86" w:type="dxa"/>
          </w:tcPr>
          <w:p w14:paraId="0F7F6316">
            <w:pPr>
              <w:ind w:firstLine="0" w:firstLineChars="0"/>
            </w:pPr>
            <w:r>
              <w:t>Mexiletine is an aromatic ether which is 2,6-dimethylphenyl ether of 2-aminopropan-1-ol. It has a role as an anti-arrhythmia drug. It is an aromatic ether and a primary amino compound.Antiarrhythmic agent pharmacologically similar to lidocaine. It may have some anticonvulsant properties.Mexiletine is an Antiarrhythmic.Mexiletine is an oral antiarrhythmic agent that is used for suppression of ventricular arrhythmias. Long term mexiletine therapy is associated with a low rate of serum enzyme elevations and is a rare cause of clinically apparent acute liver injury.Mexiletine is a local anesthetic and antiarrhythmic (Class IB) agent structurally related to lidocaine. Mexiletine exerts its antiarrhythmic effect by inhibiting the inward sodium current in cardiac cells, thereby reducing the rate of rise of the cardiac action potential (phase 0) and decreases automaticity in the Purkinje fibers. This slows nerve impulses in the heart and stabilizes the heartbeat. Mexiletine's anesthetic activity is due to its ability to block sodium influx in peripheral nerves, thereby reducing the rate and intensity of pain impulses reaching the central nervous system.MEXILETINE is a small molecule drug with a maximum clinical trial phase of IV (across all indications) that was first approved in 1985 and has 3 approved and 12 investigational indications. This drug has a black box warning from the FDA.Antiarrhythmic agent pharmacologically similar to LIDOCAINE. It may have some anticonvulsant properties.See also: Mexiletine Hydrochloride (active moiety of).</w:t>
            </w:r>
          </w:p>
        </w:tc>
        <w:tc>
          <w:tcPr>
            <w:tcW w:w="3736" w:type="dxa"/>
          </w:tcPr>
          <w:p w14:paraId="2508ED54">
            <w:pPr>
              <w:ind w:firstLine="0" w:firstLineChars="0"/>
            </w:pPr>
            <w:r>
              <w:t>This molecule is an aromatic ether and primary amino compound, specifically the 2,6-dimethylphenyl ether of 2-aminopropan-1-ol. With a low molecular weight of 179.26 g/mol and a favorable lipophilicity (LogP of 2.03), it readily permeates lipid bilayers and is highly effective as an orally administered therapeutic. Its excellent membrane absorption profile is further explained by a low topological polar surface area of 35.25 Å², resulting from having just one hydrogen bond donor and two hydrogen bond acceptors. Structurally, the compound features a single aromatic benzene ring, an ether linkage, and a primary amine, along with one stereocenter and three rotatable bonds that allow for moderate structural flexibility.</w:t>
            </w:r>
            <w:r>
              <w:br w:type="textWrapping"/>
            </w:r>
            <w:r>
              <w:t>Pharmacologically, it acts as a Class IB antiarrhythmic agent and local anesthetic, exhibiting a mechanism of action that is structurally and functionally similar to lidocaine. It functions by selectively inhibiting the inward sodium current in cardiac cells and peripheral nerves. In the heart, this sodium blockade reduces the rate of rise of the cardiac action potential (phase 0) and decreases automaticity in the Purkinje fibers, effectively slowing abnormal nerve impulses and stabilizing the heartbeat to suppress ventricular arrhythmias. In peripheral nerves, the reduction of sodium influx blunts the transmission of pain signals to the central nervous system. It may also possess some anticonvulsant properties. While it is highly efficacious for long-term arrhythmia management, its use carries a rare risk of inducing clinically apparent acute liver injury.</w:t>
            </w:r>
          </w:p>
        </w:tc>
      </w:tr>
    </w:tbl>
    <w:p w14:paraId="35CE326F">
      <w:pPr>
        <w:ind w:firstLine="480"/>
      </w:pPr>
    </w:p>
    <w:p w14:paraId="42719335">
      <w:pPr>
        <w:pStyle w:val="4"/>
        <w:rPr>
          <w:rFonts w:hint="default"/>
        </w:rPr>
      </w:pPr>
      <w:r>
        <w:t>下游数据集</w:t>
      </w:r>
    </w:p>
    <w:p w14:paraId="1A292BA7">
      <w:pPr>
        <w:ind w:firstLine="480"/>
      </w:pPr>
      <w:r>
        <w:rPr>
          <w:rFonts w:hint="eastAsia"/>
        </w:rPr>
        <w:t>为评估本文预训练模型在下游分子性质预测任务中的泛化能力和迁移能力，本文选取了MoleculeNet数据集中9个具有代表性的数据集进行效果评估。</w:t>
      </w:r>
      <w:r>
        <w:rPr>
          <w:rFonts w:ascii="宋体" w:hAnsi="宋体" w:cs="宋体"/>
          <w:szCs w:val="21"/>
        </w:rPr>
        <w:t>MoleculeNet由Wu等于2018年提出，通过提供统一的数据划分策略、评价指标及实验协议，解决了过往研究中因基准不一致导致模型性能难以横向比较的问题。</w:t>
      </w:r>
      <w:r>
        <w:rPr>
          <w:rFonts w:hint="eastAsia" w:ascii="宋体" w:hAnsi="宋体" w:cs="宋体"/>
          <w:szCs w:val="21"/>
        </w:rPr>
        <w:t>本文选用的数据集涵盖了生物物理学、生理学及物理化学等多个领域，包含6个分类任务与3个回归任务。具体的数据集统计信息及划分方式如表3.3所示。</w:t>
      </w:r>
    </w:p>
    <w:tbl>
      <w:tblPr>
        <w:tblStyle w:val="18"/>
        <w:tblW w:w="0" w:type="auto"/>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395"/>
        <w:gridCol w:w="1173"/>
        <w:gridCol w:w="1199"/>
        <w:gridCol w:w="1314"/>
        <w:gridCol w:w="1208"/>
        <w:gridCol w:w="1128"/>
      </w:tblGrid>
      <w:tr w14:paraId="628299FC">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95" w:type="dxa"/>
            <w:tcBorders>
              <w:bottom w:val="single" w:color="auto" w:sz="8" w:space="0"/>
            </w:tcBorders>
          </w:tcPr>
          <w:p w14:paraId="387C5F83">
            <w:pPr>
              <w:ind w:firstLine="0" w:firstLineChars="0"/>
              <w:jc w:val="center"/>
            </w:pPr>
            <w:r>
              <w:rPr>
                <w:rFonts w:hint="eastAsia"/>
              </w:rPr>
              <w:t>数据集</w:t>
            </w:r>
          </w:p>
        </w:tc>
        <w:tc>
          <w:tcPr>
            <w:tcW w:w="1173" w:type="dxa"/>
            <w:tcBorders>
              <w:bottom w:val="single" w:color="auto" w:sz="8" w:space="0"/>
            </w:tcBorders>
          </w:tcPr>
          <w:p w14:paraId="16690720">
            <w:pPr>
              <w:ind w:firstLine="0" w:firstLineChars="0"/>
              <w:jc w:val="center"/>
            </w:pPr>
            <w:r>
              <w:rPr>
                <w:rFonts w:hint="eastAsia"/>
              </w:rPr>
              <w:t>任务类型</w:t>
            </w:r>
          </w:p>
        </w:tc>
        <w:tc>
          <w:tcPr>
            <w:tcW w:w="1199" w:type="dxa"/>
            <w:tcBorders>
              <w:bottom w:val="single" w:color="auto" w:sz="8" w:space="0"/>
            </w:tcBorders>
          </w:tcPr>
          <w:p w14:paraId="564304A1">
            <w:pPr>
              <w:ind w:firstLine="0" w:firstLineChars="0"/>
              <w:jc w:val="center"/>
            </w:pPr>
            <w:r>
              <w:rPr>
                <w:rFonts w:hint="eastAsia"/>
              </w:rPr>
              <w:t>分子数</w:t>
            </w:r>
          </w:p>
        </w:tc>
        <w:tc>
          <w:tcPr>
            <w:tcW w:w="1314" w:type="dxa"/>
            <w:tcBorders>
              <w:bottom w:val="single" w:color="auto" w:sz="8" w:space="0"/>
            </w:tcBorders>
          </w:tcPr>
          <w:p w14:paraId="6415828E">
            <w:pPr>
              <w:ind w:firstLine="0" w:firstLineChars="0"/>
              <w:jc w:val="center"/>
            </w:pPr>
            <w:r>
              <w:rPr>
                <w:rFonts w:hint="eastAsia"/>
              </w:rPr>
              <w:t>种类</w:t>
            </w:r>
          </w:p>
        </w:tc>
        <w:tc>
          <w:tcPr>
            <w:tcW w:w="1208" w:type="dxa"/>
            <w:tcBorders>
              <w:bottom w:val="single" w:color="auto" w:sz="8" w:space="0"/>
            </w:tcBorders>
          </w:tcPr>
          <w:p w14:paraId="283E7B45">
            <w:pPr>
              <w:ind w:firstLine="0" w:firstLineChars="0"/>
              <w:jc w:val="center"/>
            </w:pPr>
            <w:r>
              <w:rPr>
                <w:rFonts w:hint="eastAsia"/>
              </w:rPr>
              <w:t>指标</w:t>
            </w:r>
          </w:p>
        </w:tc>
        <w:tc>
          <w:tcPr>
            <w:tcW w:w="1128" w:type="dxa"/>
            <w:tcBorders>
              <w:bottom w:val="single" w:color="auto" w:sz="8" w:space="0"/>
            </w:tcBorders>
          </w:tcPr>
          <w:p w14:paraId="000BDF4F">
            <w:pPr>
              <w:ind w:firstLine="0" w:firstLineChars="0"/>
              <w:jc w:val="center"/>
            </w:pPr>
            <w:r>
              <w:rPr>
                <w:rFonts w:hint="eastAsia"/>
              </w:rPr>
              <w:t>划分方式</w:t>
            </w:r>
          </w:p>
        </w:tc>
      </w:tr>
      <w:tr w14:paraId="11757204">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95" w:type="dxa"/>
            <w:tcBorders>
              <w:top w:val="single" w:color="auto" w:sz="8" w:space="0"/>
              <w:tl2br w:val="nil"/>
              <w:tr2bl w:val="nil"/>
            </w:tcBorders>
          </w:tcPr>
          <w:p w14:paraId="475A52E8">
            <w:pPr>
              <w:ind w:firstLine="0" w:firstLineChars="0"/>
              <w:jc w:val="center"/>
            </w:pPr>
            <w:r>
              <w:rPr>
                <w:rFonts w:hint="eastAsia"/>
              </w:rPr>
              <w:t>BACE</w:t>
            </w:r>
          </w:p>
        </w:tc>
        <w:tc>
          <w:tcPr>
            <w:tcW w:w="1173" w:type="dxa"/>
            <w:tcBorders>
              <w:top w:val="single" w:color="auto" w:sz="8" w:space="0"/>
              <w:tl2br w:val="nil"/>
              <w:tr2bl w:val="nil"/>
            </w:tcBorders>
          </w:tcPr>
          <w:p w14:paraId="6F2B6725">
            <w:pPr>
              <w:ind w:firstLine="0" w:firstLineChars="0"/>
              <w:jc w:val="center"/>
            </w:pPr>
            <w:r>
              <w:rPr>
                <w:rFonts w:hint="eastAsia"/>
              </w:rPr>
              <w:t>分类</w:t>
            </w:r>
          </w:p>
        </w:tc>
        <w:tc>
          <w:tcPr>
            <w:tcW w:w="1199" w:type="dxa"/>
            <w:tcBorders>
              <w:top w:val="single" w:color="auto" w:sz="8" w:space="0"/>
              <w:tl2br w:val="nil"/>
              <w:tr2bl w:val="nil"/>
            </w:tcBorders>
          </w:tcPr>
          <w:p w14:paraId="6F20E09D">
            <w:pPr>
              <w:ind w:firstLine="0" w:firstLineChars="0"/>
              <w:jc w:val="center"/>
            </w:pPr>
            <w:r>
              <w:rPr>
                <w:rFonts w:hint="eastAsia"/>
              </w:rPr>
              <w:t>1513</w:t>
            </w:r>
          </w:p>
        </w:tc>
        <w:tc>
          <w:tcPr>
            <w:tcW w:w="1314" w:type="dxa"/>
            <w:tcBorders>
              <w:top w:val="single" w:color="auto" w:sz="8" w:space="0"/>
              <w:tl2br w:val="nil"/>
              <w:tr2bl w:val="nil"/>
            </w:tcBorders>
          </w:tcPr>
          <w:p w14:paraId="5B55CFB5">
            <w:pPr>
              <w:ind w:firstLine="0" w:firstLineChars="0"/>
              <w:jc w:val="center"/>
            </w:pPr>
            <w:r>
              <w:rPr>
                <w:rFonts w:hint="eastAsia"/>
              </w:rPr>
              <w:t>生物物理学</w:t>
            </w:r>
          </w:p>
        </w:tc>
        <w:tc>
          <w:tcPr>
            <w:tcW w:w="1208" w:type="dxa"/>
            <w:tcBorders>
              <w:top w:val="single" w:color="auto" w:sz="8" w:space="0"/>
              <w:tl2br w:val="nil"/>
              <w:tr2bl w:val="nil"/>
            </w:tcBorders>
          </w:tcPr>
          <w:p w14:paraId="060E4985">
            <w:pPr>
              <w:ind w:firstLine="0" w:firstLineChars="0"/>
              <w:jc w:val="center"/>
            </w:pPr>
            <w:r>
              <w:rPr>
                <w:rFonts w:hint="eastAsia"/>
              </w:rPr>
              <w:t>AUC</w:t>
            </w:r>
          </w:p>
        </w:tc>
        <w:tc>
          <w:tcPr>
            <w:tcW w:w="1128" w:type="dxa"/>
            <w:tcBorders>
              <w:top w:val="single" w:color="auto" w:sz="8" w:space="0"/>
              <w:tl2br w:val="nil"/>
              <w:tr2bl w:val="nil"/>
            </w:tcBorders>
          </w:tcPr>
          <w:p w14:paraId="6D2722F8">
            <w:pPr>
              <w:ind w:firstLine="0" w:firstLineChars="0"/>
              <w:jc w:val="center"/>
            </w:pPr>
            <w:r>
              <w:rPr>
                <w:rFonts w:hint="eastAsia"/>
              </w:rPr>
              <w:t>骨架划分</w:t>
            </w:r>
          </w:p>
        </w:tc>
      </w:tr>
      <w:tr w14:paraId="4E8B6A8F">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95" w:type="dxa"/>
            <w:tcBorders>
              <w:tl2br w:val="nil"/>
              <w:tr2bl w:val="nil"/>
            </w:tcBorders>
          </w:tcPr>
          <w:p w14:paraId="61A3C8E9">
            <w:pPr>
              <w:ind w:firstLine="0" w:firstLineChars="0"/>
              <w:jc w:val="center"/>
            </w:pPr>
            <w:r>
              <w:rPr>
                <w:rFonts w:hint="eastAsia"/>
              </w:rPr>
              <w:t>BBBP</w:t>
            </w:r>
          </w:p>
        </w:tc>
        <w:tc>
          <w:tcPr>
            <w:tcW w:w="1173" w:type="dxa"/>
            <w:tcBorders>
              <w:tl2br w:val="nil"/>
              <w:tr2bl w:val="nil"/>
            </w:tcBorders>
          </w:tcPr>
          <w:p w14:paraId="635F7B18">
            <w:pPr>
              <w:ind w:firstLine="0" w:firstLineChars="0"/>
              <w:jc w:val="center"/>
            </w:pPr>
            <w:r>
              <w:rPr>
                <w:rFonts w:hint="eastAsia"/>
              </w:rPr>
              <w:t>分类</w:t>
            </w:r>
          </w:p>
        </w:tc>
        <w:tc>
          <w:tcPr>
            <w:tcW w:w="1199" w:type="dxa"/>
            <w:tcBorders>
              <w:tl2br w:val="nil"/>
              <w:tr2bl w:val="nil"/>
            </w:tcBorders>
          </w:tcPr>
          <w:p w14:paraId="61022980">
            <w:pPr>
              <w:ind w:firstLine="0" w:firstLineChars="0"/>
              <w:jc w:val="center"/>
            </w:pPr>
            <w:r>
              <w:rPr>
                <w:rFonts w:hint="eastAsia"/>
              </w:rPr>
              <w:t>2039</w:t>
            </w:r>
          </w:p>
        </w:tc>
        <w:tc>
          <w:tcPr>
            <w:tcW w:w="1314" w:type="dxa"/>
            <w:tcBorders>
              <w:tl2br w:val="nil"/>
              <w:tr2bl w:val="nil"/>
            </w:tcBorders>
          </w:tcPr>
          <w:p w14:paraId="2AFEEEEA">
            <w:pPr>
              <w:ind w:firstLine="0" w:firstLineChars="0"/>
              <w:jc w:val="center"/>
            </w:pPr>
            <w:r>
              <w:rPr>
                <w:rFonts w:hint="eastAsia"/>
              </w:rPr>
              <w:t>生理学</w:t>
            </w:r>
          </w:p>
        </w:tc>
        <w:tc>
          <w:tcPr>
            <w:tcW w:w="1208" w:type="dxa"/>
            <w:tcBorders>
              <w:tl2br w:val="nil"/>
              <w:tr2bl w:val="nil"/>
            </w:tcBorders>
          </w:tcPr>
          <w:p w14:paraId="11205191">
            <w:pPr>
              <w:ind w:firstLine="0" w:firstLineChars="0"/>
              <w:jc w:val="center"/>
            </w:pPr>
            <w:r>
              <w:rPr>
                <w:rFonts w:hint="eastAsia"/>
              </w:rPr>
              <w:t>AUC</w:t>
            </w:r>
          </w:p>
        </w:tc>
        <w:tc>
          <w:tcPr>
            <w:tcW w:w="1128" w:type="dxa"/>
            <w:tcBorders>
              <w:tl2br w:val="nil"/>
              <w:tr2bl w:val="nil"/>
            </w:tcBorders>
          </w:tcPr>
          <w:p w14:paraId="1FE5D0E3">
            <w:pPr>
              <w:ind w:firstLine="0" w:firstLineChars="0"/>
              <w:jc w:val="center"/>
            </w:pPr>
            <w:r>
              <w:rPr>
                <w:rFonts w:hint="eastAsia"/>
              </w:rPr>
              <w:t>骨架划分</w:t>
            </w:r>
          </w:p>
        </w:tc>
      </w:tr>
      <w:tr w14:paraId="4E5A85A6">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95" w:type="dxa"/>
            <w:tcBorders>
              <w:tl2br w:val="nil"/>
              <w:tr2bl w:val="nil"/>
            </w:tcBorders>
          </w:tcPr>
          <w:p w14:paraId="5583BE79">
            <w:pPr>
              <w:ind w:firstLine="0" w:firstLineChars="0"/>
              <w:jc w:val="center"/>
            </w:pPr>
            <w:r>
              <w:rPr>
                <w:rFonts w:hint="eastAsia"/>
              </w:rPr>
              <w:t>ClinTox</w:t>
            </w:r>
          </w:p>
        </w:tc>
        <w:tc>
          <w:tcPr>
            <w:tcW w:w="1173" w:type="dxa"/>
            <w:tcBorders>
              <w:tl2br w:val="nil"/>
              <w:tr2bl w:val="nil"/>
            </w:tcBorders>
          </w:tcPr>
          <w:p w14:paraId="3A2F0F95">
            <w:pPr>
              <w:ind w:firstLine="0" w:firstLineChars="0"/>
              <w:jc w:val="center"/>
            </w:pPr>
            <w:r>
              <w:rPr>
                <w:rFonts w:hint="eastAsia"/>
              </w:rPr>
              <w:t>分类</w:t>
            </w:r>
          </w:p>
        </w:tc>
        <w:tc>
          <w:tcPr>
            <w:tcW w:w="1199" w:type="dxa"/>
            <w:tcBorders>
              <w:tl2br w:val="nil"/>
              <w:tr2bl w:val="nil"/>
            </w:tcBorders>
          </w:tcPr>
          <w:p w14:paraId="3A75A8FC">
            <w:pPr>
              <w:ind w:firstLine="0" w:firstLineChars="0"/>
              <w:jc w:val="center"/>
            </w:pPr>
            <w:r>
              <w:rPr>
                <w:rFonts w:hint="eastAsia"/>
              </w:rPr>
              <w:t>1478</w:t>
            </w:r>
          </w:p>
        </w:tc>
        <w:tc>
          <w:tcPr>
            <w:tcW w:w="1314" w:type="dxa"/>
            <w:tcBorders>
              <w:tl2br w:val="nil"/>
              <w:tr2bl w:val="nil"/>
            </w:tcBorders>
          </w:tcPr>
          <w:p w14:paraId="4EE0ADED">
            <w:pPr>
              <w:ind w:firstLine="0" w:firstLineChars="0"/>
              <w:jc w:val="center"/>
            </w:pPr>
            <w:r>
              <w:rPr>
                <w:rFonts w:hint="eastAsia"/>
              </w:rPr>
              <w:t>生理学</w:t>
            </w:r>
          </w:p>
        </w:tc>
        <w:tc>
          <w:tcPr>
            <w:tcW w:w="1208" w:type="dxa"/>
            <w:tcBorders>
              <w:tl2br w:val="nil"/>
              <w:tr2bl w:val="nil"/>
            </w:tcBorders>
          </w:tcPr>
          <w:p w14:paraId="1C7D49E5">
            <w:pPr>
              <w:ind w:firstLine="0" w:firstLineChars="0"/>
              <w:jc w:val="center"/>
            </w:pPr>
            <w:r>
              <w:rPr>
                <w:rFonts w:hint="eastAsia"/>
              </w:rPr>
              <w:t>AUC</w:t>
            </w:r>
          </w:p>
        </w:tc>
        <w:tc>
          <w:tcPr>
            <w:tcW w:w="1128" w:type="dxa"/>
            <w:tcBorders>
              <w:tl2br w:val="nil"/>
              <w:tr2bl w:val="nil"/>
            </w:tcBorders>
          </w:tcPr>
          <w:p w14:paraId="0D88A625">
            <w:pPr>
              <w:ind w:firstLine="0" w:firstLineChars="0"/>
              <w:jc w:val="center"/>
            </w:pPr>
            <w:r>
              <w:rPr>
                <w:rFonts w:hint="eastAsia"/>
              </w:rPr>
              <w:t>骨架划分</w:t>
            </w:r>
          </w:p>
        </w:tc>
      </w:tr>
      <w:tr w14:paraId="54EDEA77">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95" w:type="dxa"/>
            <w:tcBorders>
              <w:tl2br w:val="nil"/>
              <w:tr2bl w:val="nil"/>
            </w:tcBorders>
          </w:tcPr>
          <w:p w14:paraId="01C61197">
            <w:pPr>
              <w:ind w:firstLine="0" w:firstLineChars="0"/>
              <w:jc w:val="center"/>
            </w:pPr>
            <w:r>
              <w:rPr>
                <w:rFonts w:hint="eastAsia"/>
              </w:rPr>
              <w:t>Tox21</w:t>
            </w:r>
          </w:p>
        </w:tc>
        <w:tc>
          <w:tcPr>
            <w:tcW w:w="1173" w:type="dxa"/>
            <w:tcBorders>
              <w:tl2br w:val="nil"/>
              <w:tr2bl w:val="nil"/>
            </w:tcBorders>
          </w:tcPr>
          <w:p w14:paraId="269D90FE">
            <w:pPr>
              <w:ind w:firstLine="0" w:firstLineChars="0"/>
              <w:jc w:val="center"/>
            </w:pPr>
            <w:r>
              <w:rPr>
                <w:rFonts w:hint="eastAsia"/>
              </w:rPr>
              <w:t>分类</w:t>
            </w:r>
          </w:p>
        </w:tc>
        <w:tc>
          <w:tcPr>
            <w:tcW w:w="1199" w:type="dxa"/>
            <w:tcBorders>
              <w:tl2br w:val="nil"/>
              <w:tr2bl w:val="nil"/>
            </w:tcBorders>
          </w:tcPr>
          <w:p w14:paraId="05D03087">
            <w:pPr>
              <w:ind w:firstLine="0" w:firstLineChars="0"/>
              <w:jc w:val="center"/>
            </w:pPr>
            <w:r>
              <w:rPr>
                <w:rFonts w:hint="eastAsia"/>
              </w:rPr>
              <w:t>7831</w:t>
            </w:r>
          </w:p>
        </w:tc>
        <w:tc>
          <w:tcPr>
            <w:tcW w:w="1314" w:type="dxa"/>
            <w:tcBorders>
              <w:tl2br w:val="nil"/>
              <w:tr2bl w:val="nil"/>
            </w:tcBorders>
          </w:tcPr>
          <w:p w14:paraId="1EE263C4">
            <w:pPr>
              <w:ind w:firstLine="0" w:firstLineChars="0"/>
              <w:jc w:val="center"/>
            </w:pPr>
            <w:r>
              <w:rPr>
                <w:rFonts w:hint="eastAsia"/>
              </w:rPr>
              <w:t>生理学</w:t>
            </w:r>
          </w:p>
        </w:tc>
        <w:tc>
          <w:tcPr>
            <w:tcW w:w="1208" w:type="dxa"/>
            <w:tcBorders>
              <w:tl2br w:val="nil"/>
              <w:tr2bl w:val="nil"/>
            </w:tcBorders>
          </w:tcPr>
          <w:p w14:paraId="6E1A1CEF">
            <w:pPr>
              <w:ind w:firstLine="0" w:firstLineChars="0"/>
              <w:jc w:val="center"/>
            </w:pPr>
            <w:r>
              <w:rPr>
                <w:rFonts w:hint="eastAsia"/>
              </w:rPr>
              <w:t>AUC</w:t>
            </w:r>
          </w:p>
        </w:tc>
        <w:tc>
          <w:tcPr>
            <w:tcW w:w="1128" w:type="dxa"/>
            <w:tcBorders>
              <w:tl2br w:val="nil"/>
              <w:tr2bl w:val="nil"/>
            </w:tcBorders>
          </w:tcPr>
          <w:p w14:paraId="7AD4E8A5">
            <w:pPr>
              <w:ind w:firstLine="0" w:firstLineChars="0"/>
              <w:jc w:val="center"/>
            </w:pPr>
            <w:r>
              <w:rPr>
                <w:rFonts w:hint="eastAsia"/>
              </w:rPr>
              <w:t>骨架划分</w:t>
            </w:r>
          </w:p>
        </w:tc>
      </w:tr>
      <w:tr w14:paraId="1AA7621A">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95" w:type="dxa"/>
            <w:tcBorders>
              <w:tl2br w:val="nil"/>
              <w:tr2bl w:val="nil"/>
            </w:tcBorders>
          </w:tcPr>
          <w:p w14:paraId="4648C00E">
            <w:pPr>
              <w:ind w:firstLine="0" w:firstLineChars="0"/>
              <w:jc w:val="center"/>
            </w:pPr>
            <w:r>
              <w:rPr>
                <w:rFonts w:hint="eastAsia"/>
              </w:rPr>
              <w:t>ToxCast</w:t>
            </w:r>
          </w:p>
        </w:tc>
        <w:tc>
          <w:tcPr>
            <w:tcW w:w="1173" w:type="dxa"/>
            <w:tcBorders>
              <w:tl2br w:val="nil"/>
              <w:tr2bl w:val="nil"/>
            </w:tcBorders>
          </w:tcPr>
          <w:p w14:paraId="6FFCB758">
            <w:pPr>
              <w:ind w:firstLine="0" w:firstLineChars="0"/>
              <w:jc w:val="center"/>
            </w:pPr>
            <w:r>
              <w:rPr>
                <w:rFonts w:hint="eastAsia"/>
              </w:rPr>
              <w:t>分类</w:t>
            </w:r>
          </w:p>
        </w:tc>
        <w:tc>
          <w:tcPr>
            <w:tcW w:w="1199" w:type="dxa"/>
            <w:tcBorders>
              <w:tl2br w:val="nil"/>
              <w:tr2bl w:val="nil"/>
            </w:tcBorders>
          </w:tcPr>
          <w:p w14:paraId="4D129824">
            <w:pPr>
              <w:ind w:firstLine="0" w:firstLineChars="0"/>
              <w:jc w:val="center"/>
            </w:pPr>
            <w:r>
              <w:rPr>
                <w:rFonts w:hint="eastAsia"/>
              </w:rPr>
              <w:t>8575</w:t>
            </w:r>
          </w:p>
        </w:tc>
        <w:tc>
          <w:tcPr>
            <w:tcW w:w="1314" w:type="dxa"/>
            <w:tcBorders>
              <w:tl2br w:val="nil"/>
              <w:tr2bl w:val="nil"/>
            </w:tcBorders>
          </w:tcPr>
          <w:p w14:paraId="5D636994">
            <w:pPr>
              <w:ind w:firstLine="0" w:firstLineChars="0"/>
              <w:jc w:val="center"/>
            </w:pPr>
            <w:r>
              <w:rPr>
                <w:rFonts w:hint="eastAsia"/>
              </w:rPr>
              <w:t>生理学</w:t>
            </w:r>
          </w:p>
        </w:tc>
        <w:tc>
          <w:tcPr>
            <w:tcW w:w="1208" w:type="dxa"/>
            <w:tcBorders>
              <w:tl2br w:val="nil"/>
              <w:tr2bl w:val="nil"/>
            </w:tcBorders>
          </w:tcPr>
          <w:p w14:paraId="49D63E10">
            <w:pPr>
              <w:ind w:firstLine="0" w:firstLineChars="0"/>
              <w:jc w:val="center"/>
            </w:pPr>
            <w:r>
              <w:rPr>
                <w:rFonts w:hint="eastAsia"/>
              </w:rPr>
              <w:t>AUC</w:t>
            </w:r>
          </w:p>
        </w:tc>
        <w:tc>
          <w:tcPr>
            <w:tcW w:w="1128" w:type="dxa"/>
            <w:tcBorders>
              <w:tl2br w:val="nil"/>
              <w:tr2bl w:val="nil"/>
            </w:tcBorders>
          </w:tcPr>
          <w:p w14:paraId="3B17C9D9">
            <w:pPr>
              <w:ind w:firstLine="0" w:firstLineChars="0"/>
              <w:jc w:val="center"/>
            </w:pPr>
            <w:r>
              <w:rPr>
                <w:rFonts w:hint="eastAsia"/>
              </w:rPr>
              <w:t>骨架划分</w:t>
            </w:r>
          </w:p>
        </w:tc>
      </w:tr>
      <w:tr w14:paraId="6B243F21">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95" w:type="dxa"/>
            <w:tcBorders>
              <w:tl2br w:val="nil"/>
              <w:tr2bl w:val="nil"/>
            </w:tcBorders>
          </w:tcPr>
          <w:p w14:paraId="226B31E0">
            <w:pPr>
              <w:ind w:firstLine="0" w:firstLineChars="0"/>
              <w:jc w:val="center"/>
            </w:pPr>
            <w:r>
              <w:rPr>
                <w:rFonts w:hint="eastAsia"/>
              </w:rPr>
              <w:t>Sider</w:t>
            </w:r>
          </w:p>
        </w:tc>
        <w:tc>
          <w:tcPr>
            <w:tcW w:w="1173" w:type="dxa"/>
            <w:tcBorders>
              <w:tl2br w:val="nil"/>
              <w:tr2bl w:val="nil"/>
            </w:tcBorders>
          </w:tcPr>
          <w:p w14:paraId="05651B38">
            <w:pPr>
              <w:ind w:firstLine="0" w:firstLineChars="0"/>
              <w:jc w:val="center"/>
            </w:pPr>
            <w:r>
              <w:rPr>
                <w:rFonts w:hint="eastAsia"/>
              </w:rPr>
              <w:t>分类</w:t>
            </w:r>
          </w:p>
        </w:tc>
        <w:tc>
          <w:tcPr>
            <w:tcW w:w="1199" w:type="dxa"/>
            <w:tcBorders>
              <w:tl2br w:val="nil"/>
              <w:tr2bl w:val="nil"/>
            </w:tcBorders>
          </w:tcPr>
          <w:p w14:paraId="12D1F9B4">
            <w:pPr>
              <w:ind w:firstLine="0" w:firstLineChars="0"/>
              <w:jc w:val="center"/>
            </w:pPr>
            <w:r>
              <w:rPr>
                <w:rFonts w:hint="eastAsia"/>
              </w:rPr>
              <w:t>1472</w:t>
            </w:r>
          </w:p>
        </w:tc>
        <w:tc>
          <w:tcPr>
            <w:tcW w:w="1314" w:type="dxa"/>
            <w:tcBorders>
              <w:tl2br w:val="nil"/>
              <w:tr2bl w:val="nil"/>
            </w:tcBorders>
          </w:tcPr>
          <w:p w14:paraId="1C653760">
            <w:pPr>
              <w:ind w:firstLine="0" w:firstLineChars="0"/>
              <w:jc w:val="center"/>
            </w:pPr>
            <w:r>
              <w:rPr>
                <w:rFonts w:hint="eastAsia"/>
              </w:rPr>
              <w:t>生理学</w:t>
            </w:r>
          </w:p>
        </w:tc>
        <w:tc>
          <w:tcPr>
            <w:tcW w:w="1208" w:type="dxa"/>
            <w:tcBorders>
              <w:tl2br w:val="nil"/>
              <w:tr2bl w:val="nil"/>
            </w:tcBorders>
          </w:tcPr>
          <w:p w14:paraId="720A0E33">
            <w:pPr>
              <w:ind w:firstLine="0" w:firstLineChars="0"/>
              <w:jc w:val="center"/>
            </w:pPr>
            <w:r>
              <w:rPr>
                <w:rFonts w:hint="eastAsia"/>
              </w:rPr>
              <w:t>AUC</w:t>
            </w:r>
          </w:p>
        </w:tc>
        <w:tc>
          <w:tcPr>
            <w:tcW w:w="1128" w:type="dxa"/>
            <w:tcBorders>
              <w:tl2br w:val="nil"/>
              <w:tr2bl w:val="nil"/>
            </w:tcBorders>
          </w:tcPr>
          <w:p w14:paraId="06CFC0CD">
            <w:pPr>
              <w:ind w:firstLine="0" w:firstLineChars="0"/>
              <w:jc w:val="center"/>
            </w:pPr>
            <w:r>
              <w:rPr>
                <w:rFonts w:hint="eastAsia"/>
              </w:rPr>
              <w:t>骨架划分</w:t>
            </w:r>
          </w:p>
        </w:tc>
      </w:tr>
      <w:tr w14:paraId="5909D7DF">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95" w:type="dxa"/>
            <w:tcBorders>
              <w:tl2br w:val="nil"/>
              <w:tr2bl w:val="nil"/>
            </w:tcBorders>
          </w:tcPr>
          <w:p w14:paraId="6896B9D7">
            <w:pPr>
              <w:ind w:firstLine="0" w:firstLineChars="0"/>
              <w:jc w:val="center"/>
            </w:pPr>
            <w:r>
              <w:rPr>
                <w:rFonts w:hint="eastAsia"/>
              </w:rPr>
              <w:t>FreeSolv</w:t>
            </w:r>
          </w:p>
        </w:tc>
        <w:tc>
          <w:tcPr>
            <w:tcW w:w="1173" w:type="dxa"/>
            <w:tcBorders>
              <w:tl2br w:val="nil"/>
              <w:tr2bl w:val="nil"/>
            </w:tcBorders>
          </w:tcPr>
          <w:p w14:paraId="796459D3">
            <w:pPr>
              <w:ind w:firstLine="0" w:firstLineChars="0"/>
              <w:jc w:val="center"/>
            </w:pPr>
            <w:r>
              <w:rPr>
                <w:rFonts w:hint="eastAsia"/>
              </w:rPr>
              <w:t>回归</w:t>
            </w:r>
          </w:p>
        </w:tc>
        <w:tc>
          <w:tcPr>
            <w:tcW w:w="1199" w:type="dxa"/>
            <w:tcBorders>
              <w:tl2br w:val="nil"/>
              <w:tr2bl w:val="nil"/>
            </w:tcBorders>
          </w:tcPr>
          <w:p w14:paraId="19D6E300">
            <w:pPr>
              <w:ind w:firstLine="0" w:firstLineChars="0"/>
              <w:jc w:val="center"/>
            </w:pPr>
            <w:r>
              <w:rPr>
                <w:rFonts w:hint="eastAsia"/>
              </w:rPr>
              <w:t>642</w:t>
            </w:r>
          </w:p>
        </w:tc>
        <w:tc>
          <w:tcPr>
            <w:tcW w:w="1314" w:type="dxa"/>
            <w:tcBorders>
              <w:tl2br w:val="nil"/>
              <w:tr2bl w:val="nil"/>
            </w:tcBorders>
          </w:tcPr>
          <w:p w14:paraId="63CF277A">
            <w:pPr>
              <w:ind w:firstLine="0" w:firstLineChars="0"/>
              <w:jc w:val="center"/>
            </w:pPr>
            <w:r>
              <w:rPr>
                <w:rFonts w:hint="eastAsia"/>
              </w:rPr>
              <w:t>物理化学</w:t>
            </w:r>
          </w:p>
        </w:tc>
        <w:tc>
          <w:tcPr>
            <w:tcW w:w="1208" w:type="dxa"/>
            <w:tcBorders>
              <w:tl2br w:val="nil"/>
              <w:tr2bl w:val="nil"/>
            </w:tcBorders>
          </w:tcPr>
          <w:p w14:paraId="1D2A612B">
            <w:pPr>
              <w:ind w:firstLine="0" w:firstLineChars="0"/>
              <w:jc w:val="center"/>
            </w:pPr>
            <w:r>
              <w:rPr>
                <w:rFonts w:hint="eastAsia"/>
              </w:rPr>
              <w:t>RMSE</w:t>
            </w:r>
          </w:p>
        </w:tc>
        <w:tc>
          <w:tcPr>
            <w:tcW w:w="1128" w:type="dxa"/>
            <w:tcBorders>
              <w:tl2br w:val="nil"/>
              <w:tr2bl w:val="nil"/>
            </w:tcBorders>
          </w:tcPr>
          <w:p w14:paraId="7DDE6D08">
            <w:pPr>
              <w:ind w:firstLine="0" w:firstLineChars="0"/>
              <w:jc w:val="center"/>
            </w:pPr>
            <w:r>
              <w:rPr>
                <w:rFonts w:hint="eastAsia"/>
              </w:rPr>
              <w:t>骨架划分</w:t>
            </w:r>
          </w:p>
        </w:tc>
      </w:tr>
      <w:tr w14:paraId="43A3ECD5">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95" w:type="dxa"/>
            <w:tcBorders>
              <w:tl2br w:val="nil"/>
              <w:tr2bl w:val="nil"/>
            </w:tcBorders>
          </w:tcPr>
          <w:p w14:paraId="69AB6B8A">
            <w:pPr>
              <w:ind w:firstLine="0" w:firstLineChars="0"/>
              <w:jc w:val="center"/>
            </w:pPr>
            <w:r>
              <w:rPr>
                <w:rFonts w:hint="eastAsia"/>
              </w:rPr>
              <w:t>ESOL</w:t>
            </w:r>
          </w:p>
        </w:tc>
        <w:tc>
          <w:tcPr>
            <w:tcW w:w="1173" w:type="dxa"/>
            <w:tcBorders>
              <w:tl2br w:val="nil"/>
              <w:tr2bl w:val="nil"/>
            </w:tcBorders>
          </w:tcPr>
          <w:p w14:paraId="70496BB1">
            <w:pPr>
              <w:ind w:firstLine="0" w:firstLineChars="0"/>
              <w:jc w:val="center"/>
            </w:pPr>
            <w:r>
              <w:rPr>
                <w:rFonts w:hint="eastAsia"/>
              </w:rPr>
              <w:t>回归</w:t>
            </w:r>
          </w:p>
        </w:tc>
        <w:tc>
          <w:tcPr>
            <w:tcW w:w="1199" w:type="dxa"/>
            <w:tcBorders>
              <w:tl2br w:val="nil"/>
              <w:tr2bl w:val="nil"/>
            </w:tcBorders>
          </w:tcPr>
          <w:p w14:paraId="4BB547FB">
            <w:pPr>
              <w:ind w:firstLine="0" w:firstLineChars="0"/>
              <w:jc w:val="center"/>
            </w:pPr>
            <w:r>
              <w:rPr>
                <w:rFonts w:hint="eastAsia"/>
              </w:rPr>
              <w:t>1128</w:t>
            </w:r>
          </w:p>
        </w:tc>
        <w:tc>
          <w:tcPr>
            <w:tcW w:w="1314" w:type="dxa"/>
            <w:tcBorders>
              <w:tl2br w:val="nil"/>
              <w:tr2bl w:val="nil"/>
            </w:tcBorders>
          </w:tcPr>
          <w:p w14:paraId="04974A92">
            <w:pPr>
              <w:ind w:firstLine="0" w:firstLineChars="0"/>
              <w:jc w:val="center"/>
            </w:pPr>
            <w:r>
              <w:rPr>
                <w:rFonts w:hint="eastAsia"/>
              </w:rPr>
              <w:t>物理化学</w:t>
            </w:r>
          </w:p>
        </w:tc>
        <w:tc>
          <w:tcPr>
            <w:tcW w:w="1208" w:type="dxa"/>
            <w:tcBorders>
              <w:tl2br w:val="nil"/>
              <w:tr2bl w:val="nil"/>
            </w:tcBorders>
          </w:tcPr>
          <w:p w14:paraId="3B14631C">
            <w:pPr>
              <w:ind w:firstLine="0" w:firstLineChars="0"/>
              <w:jc w:val="center"/>
            </w:pPr>
            <w:r>
              <w:rPr>
                <w:rFonts w:hint="eastAsia"/>
              </w:rPr>
              <w:t>RMSE</w:t>
            </w:r>
          </w:p>
        </w:tc>
        <w:tc>
          <w:tcPr>
            <w:tcW w:w="1128" w:type="dxa"/>
            <w:tcBorders>
              <w:tl2br w:val="nil"/>
              <w:tr2bl w:val="nil"/>
            </w:tcBorders>
          </w:tcPr>
          <w:p w14:paraId="182AF920">
            <w:pPr>
              <w:ind w:firstLine="0" w:firstLineChars="0"/>
              <w:jc w:val="center"/>
            </w:pPr>
            <w:r>
              <w:rPr>
                <w:rFonts w:hint="eastAsia"/>
              </w:rPr>
              <w:t>骨架划分</w:t>
            </w:r>
          </w:p>
        </w:tc>
      </w:tr>
      <w:tr w14:paraId="394AE253">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95" w:type="dxa"/>
            <w:tcBorders>
              <w:tl2br w:val="nil"/>
              <w:tr2bl w:val="nil"/>
            </w:tcBorders>
          </w:tcPr>
          <w:p w14:paraId="02C187AA">
            <w:pPr>
              <w:ind w:firstLine="0" w:firstLineChars="0"/>
              <w:jc w:val="center"/>
            </w:pPr>
            <w:r>
              <w:rPr>
                <w:rFonts w:hint="eastAsia"/>
              </w:rPr>
              <w:t>Lipo</w:t>
            </w:r>
          </w:p>
        </w:tc>
        <w:tc>
          <w:tcPr>
            <w:tcW w:w="1173" w:type="dxa"/>
            <w:tcBorders>
              <w:tl2br w:val="nil"/>
              <w:tr2bl w:val="nil"/>
            </w:tcBorders>
          </w:tcPr>
          <w:p w14:paraId="557E47E5">
            <w:pPr>
              <w:ind w:firstLine="0" w:firstLineChars="0"/>
              <w:jc w:val="center"/>
            </w:pPr>
            <w:r>
              <w:rPr>
                <w:rFonts w:hint="eastAsia"/>
              </w:rPr>
              <w:t>回归</w:t>
            </w:r>
          </w:p>
        </w:tc>
        <w:tc>
          <w:tcPr>
            <w:tcW w:w="1199" w:type="dxa"/>
            <w:tcBorders>
              <w:tl2br w:val="nil"/>
              <w:tr2bl w:val="nil"/>
            </w:tcBorders>
          </w:tcPr>
          <w:p w14:paraId="6898EC71">
            <w:pPr>
              <w:ind w:firstLine="0" w:firstLineChars="0"/>
              <w:jc w:val="center"/>
            </w:pPr>
            <w:r>
              <w:rPr>
                <w:rFonts w:hint="eastAsia"/>
              </w:rPr>
              <w:t>4200</w:t>
            </w:r>
          </w:p>
        </w:tc>
        <w:tc>
          <w:tcPr>
            <w:tcW w:w="1314" w:type="dxa"/>
            <w:tcBorders>
              <w:tl2br w:val="nil"/>
              <w:tr2bl w:val="nil"/>
            </w:tcBorders>
          </w:tcPr>
          <w:p w14:paraId="4DB38A22">
            <w:pPr>
              <w:ind w:firstLine="0" w:firstLineChars="0"/>
              <w:jc w:val="center"/>
            </w:pPr>
            <w:r>
              <w:rPr>
                <w:rFonts w:hint="eastAsia"/>
              </w:rPr>
              <w:t>物理化学</w:t>
            </w:r>
          </w:p>
        </w:tc>
        <w:tc>
          <w:tcPr>
            <w:tcW w:w="1208" w:type="dxa"/>
            <w:tcBorders>
              <w:tl2br w:val="nil"/>
              <w:tr2bl w:val="nil"/>
            </w:tcBorders>
          </w:tcPr>
          <w:p w14:paraId="7BC72772">
            <w:pPr>
              <w:ind w:firstLine="0" w:firstLineChars="0"/>
              <w:jc w:val="center"/>
            </w:pPr>
            <w:r>
              <w:rPr>
                <w:rFonts w:hint="eastAsia"/>
              </w:rPr>
              <w:t>RMSE</w:t>
            </w:r>
          </w:p>
        </w:tc>
        <w:tc>
          <w:tcPr>
            <w:tcW w:w="1128" w:type="dxa"/>
            <w:tcBorders>
              <w:tl2br w:val="nil"/>
              <w:tr2bl w:val="nil"/>
            </w:tcBorders>
          </w:tcPr>
          <w:p w14:paraId="22412C3D">
            <w:pPr>
              <w:ind w:firstLine="0" w:firstLineChars="0"/>
              <w:jc w:val="center"/>
            </w:pPr>
            <w:r>
              <w:rPr>
                <w:rFonts w:hint="eastAsia"/>
              </w:rPr>
              <w:t>骨架划分</w:t>
            </w:r>
          </w:p>
        </w:tc>
      </w:tr>
    </w:tbl>
    <w:p w14:paraId="08D94C8B">
      <w:pPr>
        <w:ind w:firstLine="0" w:firstLineChars="0"/>
      </w:pPr>
      <w:r>
        <w:rPr>
          <w:rFonts w:hint="eastAsia"/>
        </w:rPr>
        <w:t>BACE：判断分子是否为β-分泌酶1的抑制剂 —— BACE1过度激活会导致大脑中异常淀粉样蛋白沉积，是阿尔茨海默病的关键致病因素，该任务用于筛选潜在的抗阿尔茨海默病药物。</w:t>
      </w:r>
    </w:p>
    <w:p w14:paraId="135A216D">
      <w:pPr>
        <w:ind w:firstLine="0" w:firstLineChars="0"/>
      </w:pPr>
      <w:r>
        <w:rPr>
          <w:rFonts w:hint="eastAsia"/>
        </w:rPr>
        <w:t>BBBP：判断分子能否穿透血脑屏障 —— 血脑屏障是中枢神经系统（如大脑）的保护屏障，若开发治疗阿尔茨海默病、帕金森病等脑部疾病的药物，需分子具备穿透该屏障的能力。</w:t>
      </w:r>
    </w:p>
    <w:p w14:paraId="03C11D88">
      <w:pPr>
        <w:ind w:firstLine="0" w:firstLineChars="0"/>
      </w:pPr>
      <w:r>
        <w:rPr>
          <w:rFonts w:hint="eastAsia"/>
        </w:rPr>
        <w:t>ClinTox：判断分子在临床实验阶段是否存在毒性，如肝毒性、心脏毒性 —— 临床阶段是药物研发的关键环节，该任务可筛选出临床风险低的分子，降低研发失败率。</w:t>
      </w:r>
    </w:p>
    <w:p w14:paraId="22969019">
      <w:pPr>
        <w:ind w:firstLine="0" w:firstLineChars="0"/>
      </w:pPr>
      <w:r>
        <w:rPr>
          <w:rFonts w:hint="eastAsia"/>
        </w:rPr>
        <w:t>Tox21：判断分子对 21 种毒性相关生物靶点的活性 —— 这些靶点与细胞毒性、遗传毒性等密切相关，该任务可全面评估分子的多维度毒性，是药物安全性评估的核心任务之一。ToxCast：判断分子是否具有致癌性、致突变性等长期毒性 —— 长期毒性是药物上市前的重要评估指标，该任务可提前识别分子的潜在长期风险。</w:t>
      </w:r>
    </w:p>
    <w:p w14:paraId="0522D093">
      <w:pPr>
        <w:ind w:firstLine="0" w:firstLineChars="0"/>
      </w:pPr>
      <w:r>
        <w:rPr>
          <w:rFonts w:hint="eastAsia"/>
        </w:rPr>
        <w:t>SIDER：判断分子是否具有已知的副作用 —— SIDER 数据库收录了药物已报道的副作用信息，该任务可提前评估分子的安全性风险，避免后续临床实验中因严重副作用终止研发。</w:t>
      </w:r>
    </w:p>
    <w:p w14:paraId="23A84170">
      <w:pPr>
        <w:ind w:firstLine="0" w:firstLineChars="0"/>
      </w:pPr>
      <w:r>
        <w:rPr>
          <w:rFonts w:hint="eastAsia"/>
        </w:rPr>
        <w:t>ESOL：预测分子的水溶性 —— 水溶性直接影响药物的口服吸收、生物利用度，水溶性过低的药物可能无法被人体有效吸收，该任务可指导优化分子结构以提升水溶性。</w:t>
      </w:r>
    </w:p>
    <w:p w14:paraId="08E33BB5">
      <w:pPr>
        <w:ind w:firstLine="0" w:firstLineChars="0"/>
      </w:pPr>
      <w:r>
        <w:rPr>
          <w:rFonts w:hint="eastAsia"/>
        </w:rPr>
        <w:t>FreeSolv：预测分子在水中的溶剂化自由能 —— 溶剂化自由能反映分子与水的相互作用强度，与药物的溶解度、稳定性密切相关，该任务为分子的溶剂选择、剂型设计提供依据。Lipo：预测分子的脂溶性 —— 脂溶性影响药物的跨膜吸收、组织分布，脂溶性过高或过低都会影响药效，该任务可优化分子的脂溶性以平衡吸收与分布。</w:t>
      </w:r>
    </w:p>
    <w:tbl>
      <w:tblPr>
        <w:tblStyle w:val="18"/>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2840"/>
        <w:gridCol w:w="2841"/>
        <w:gridCol w:w="2841"/>
      </w:tblGrid>
      <w:tr w14:paraId="5ABF951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2840" w:type="dxa"/>
          </w:tcPr>
          <w:p w14:paraId="10765650">
            <w:pPr>
              <w:ind w:firstLine="0" w:firstLineChars="0"/>
            </w:pPr>
            <w:r>
              <w:rPr>
                <w:rFonts w:hint="eastAsia"/>
              </w:rPr>
              <w:drawing>
                <wp:inline distT="0" distB="0" distL="114300" distR="114300">
                  <wp:extent cx="1663700" cy="1385570"/>
                  <wp:effectExtent l="0" t="0" r="12700" b="1270"/>
                  <wp:docPr id="11" name="图片 11" descr="ESOL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ESOL_Distribution"/>
                          <pic:cNvPicPr>
                            <a:picLocks noChangeAspect="1"/>
                          </pic:cNvPicPr>
                        </pic:nvPicPr>
                        <pic:blipFill>
                          <a:blip r:embed="rId10"/>
                          <a:stretch>
                            <a:fillRect/>
                          </a:stretch>
                        </pic:blipFill>
                        <pic:spPr>
                          <a:xfrm>
                            <a:off x="0" y="0"/>
                            <a:ext cx="1663700" cy="1385570"/>
                          </a:xfrm>
                          <a:prstGeom prst="rect">
                            <a:avLst/>
                          </a:prstGeom>
                        </pic:spPr>
                      </pic:pic>
                    </a:graphicData>
                  </a:graphic>
                </wp:inline>
              </w:drawing>
            </w:r>
          </w:p>
        </w:tc>
        <w:tc>
          <w:tcPr>
            <w:tcW w:w="2841" w:type="dxa"/>
          </w:tcPr>
          <w:p w14:paraId="26DA0073">
            <w:pPr>
              <w:ind w:firstLine="0" w:firstLineChars="0"/>
            </w:pPr>
            <w:r>
              <w:rPr>
                <w:rFonts w:hint="eastAsia"/>
              </w:rPr>
              <w:drawing>
                <wp:inline distT="0" distB="0" distL="114300" distR="114300">
                  <wp:extent cx="1663700" cy="1385570"/>
                  <wp:effectExtent l="0" t="0" r="12700" b="1270"/>
                  <wp:docPr id="12" name="图片 12" descr="FreeSolv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FreeSolv_Distribution"/>
                          <pic:cNvPicPr>
                            <a:picLocks noChangeAspect="1"/>
                          </pic:cNvPicPr>
                        </pic:nvPicPr>
                        <pic:blipFill>
                          <a:blip r:embed="rId11"/>
                          <a:stretch>
                            <a:fillRect/>
                          </a:stretch>
                        </pic:blipFill>
                        <pic:spPr>
                          <a:xfrm>
                            <a:off x="0" y="0"/>
                            <a:ext cx="1663700" cy="1385570"/>
                          </a:xfrm>
                          <a:prstGeom prst="rect">
                            <a:avLst/>
                          </a:prstGeom>
                        </pic:spPr>
                      </pic:pic>
                    </a:graphicData>
                  </a:graphic>
                </wp:inline>
              </w:drawing>
            </w:r>
          </w:p>
        </w:tc>
        <w:tc>
          <w:tcPr>
            <w:tcW w:w="2841" w:type="dxa"/>
          </w:tcPr>
          <w:p w14:paraId="144FF6E6">
            <w:pPr>
              <w:ind w:firstLine="0" w:firstLineChars="0"/>
            </w:pPr>
            <w:r>
              <w:rPr>
                <w:rFonts w:hint="eastAsia"/>
              </w:rPr>
              <w:drawing>
                <wp:inline distT="0" distB="0" distL="114300" distR="114300">
                  <wp:extent cx="1663700" cy="1386840"/>
                  <wp:effectExtent l="0" t="0" r="12700" b="0"/>
                  <wp:docPr id="13" name="图片 13" descr="Lipophilicity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descr="Lipophilicity_Distribution"/>
                          <pic:cNvPicPr>
                            <a:picLocks noChangeAspect="1"/>
                          </pic:cNvPicPr>
                        </pic:nvPicPr>
                        <pic:blipFill>
                          <a:blip r:embed="rId12"/>
                          <a:stretch>
                            <a:fillRect/>
                          </a:stretch>
                        </pic:blipFill>
                        <pic:spPr>
                          <a:xfrm>
                            <a:off x="0" y="0"/>
                            <a:ext cx="1663700" cy="1386840"/>
                          </a:xfrm>
                          <a:prstGeom prst="rect">
                            <a:avLst/>
                          </a:prstGeom>
                        </pic:spPr>
                      </pic:pic>
                    </a:graphicData>
                  </a:graphic>
                </wp:inline>
              </w:drawing>
            </w:r>
          </w:p>
        </w:tc>
      </w:tr>
    </w:tbl>
    <w:p w14:paraId="02C794C3">
      <w:pPr>
        <w:ind w:firstLine="0" w:firstLineChars="0"/>
      </w:pPr>
    </w:p>
    <w:p w14:paraId="3DA2A48D">
      <w:pPr>
        <w:pStyle w:val="4"/>
        <w:rPr>
          <w:rFonts w:hint="default"/>
        </w:rPr>
      </w:pPr>
      <w:r>
        <w:t>实验设置</w:t>
      </w:r>
    </w:p>
    <w:p w14:paraId="238F9968">
      <w:pPr>
        <w:numPr>
          <w:ilvl w:val="0"/>
          <w:numId w:val="5"/>
        </w:numPr>
        <w:ind w:firstLine="480"/>
      </w:pPr>
      <w:r>
        <w:rPr>
          <w:rFonts w:hint="eastAsia"/>
        </w:rPr>
        <w:t>实验环境</w:t>
      </w:r>
    </w:p>
    <w:p w14:paraId="56FCEFA4">
      <w:pPr>
        <w:ind w:firstLine="480"/>
      </w:pPr>
      <w:r>
        <w:rPr>
          <w:rFonts w:hint="eastAsia"/>
        </w:rPr>
        <w:t>本文实验均在Linux操作系统上进行实验，各个类别的详细信息如图所示。</w:t>
      </w:r>
    </w:p>
    <w:tbl>
      <w:tblPr>
        <w:tblStyle w:val="18"/>
        <w:tblW w:w="7989" w:type="dxa"/>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385"/>
        <w:gridCol w:w="1999"/>
        <w:gridCol w:w="4605"/>
      </w:tblGrid>
      <w:tr w14:paraId="7D357E2F">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85" w:type="dxa"/>
            <w:tcBorders>
              <w:bottom w:val="single" w:color="auto" w:sz="8" w:space="0"/>
            </w:tcBorders>
            <w:vAlign w:val="center"/>
          </w:tcPr>
          <w:p w14:paraId="40823DA5">
            <w:pPr>
              <w:ind w:firstLine="480"/>
              <w:jc w:val="left"/>
            </w:pPr>
            <w:r>
              <w:rPr>
                <w:rFonts w:hint="eastAsia"/>
              </w:rPr>
              <w:t>类别</w:t>
            </w:r>
          </w:p>
        </w:tc>
        <w:tc>
          <w:tcPr>
            <w:tcW w:w="1999" w:type="dxa"/>
            <w:tcBorders>
              <w:bottom w:val="single" w:color="auto" w:sz="8" w:space="0"/>
            </w:tcBorders>
            <w:vAlign w:val="center"/>
          </w:tcPr>
          <w:p w14:paraId="5F83BF54">
            <w:pPr>
              <w:ind w:firstLine="480"/>
            </w:pPr>
            <w:r>
              <w:rPr>
                <w:rFonts w:hint="eastAsia"/>
              </w:rPr>
              <w:t>组件/库</w:t>
            </w:r>
          </w:p>
        </w:tc>
        <w:tc>
          <w:tcPr>
            <w:tcW w:w="4605" w:type="dxa"/>
            <w:tcBorders>
              <w:bottom w:val="single" w:color="auto" w:sz="8" w:space="0"/>
            </w:tcBorders>
            <w:vAlign w:val="center"/>
          </w:tcPr>
          <w:p w14:paraId="5C4FD1EE">
            <w:pPr>
              <w:ind w:firstLine="480"/>
            </w:pPr>
            <w:r>
              <w:rPr>
                <w:rFonts w:hint="eastAsia"/>
              </w:rPr>
              <w:t>版本/规格</w:t>
            </w:r>
          </w:p>
        </w:tc>
      </w:tr>
      <w:tr w14:paraId="324950D0">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85" w:type="dxa"/>
            <w:vMerge w:val="restart"/>
            <w:tcBorders>
              <w:top w:val="single" w:color="auto" w:sz="8" w:space="0"/>
            </w:tcBorders>
            <w:vAlign w:val="center"/>
          </w:tcPr>
          <w:p w14:paraId="0836D267">
            <w:pPr>
              <w:ind w:firstLine="480"/>
              <w:jc w:val="left"/>
            </w:pPr>
            <w:r>
              <w:rPr>
                <w:rFonts w:hint="eastAsia"/>
              </w:rPr>
              <w:t>系统</w:t>
            </w:r>
          </w:p>
        </w:tc>
        <w:tc>
          <w:tcPr>
            <w:tcW w:w="1999" w:type="dxa"/>
            <w:tcBorders>
              <w:top w:val="single" w:color="auto" w:sz="8" w:space="0"/>
            </w:tcBorders>
            <w:vAlign w:val="center"/>
          </w:tcPr>
          <w:p w14:paraId="3A3280AD">
            <w:pPr>
              <w:ind w:firstLine="480"/>
            </w:pPr>
            <w:r>
              <w:rPr>
                <w:rFonts w:hint="eastAsia"/>
              </w:rPr>
              <w:t>OS</w:t>
            </w:r>
          </w:p>
        </w:tc>
        <w:tc>
          <w:tcPr>
            <w:tcW w:w="4605" w:type="dxa"/>
            <w:tcBorders>
              <w:top w:val="single" w:color="auto" w:sz="8" w:space="0"/>
            </w:tcBorders>
            <w:vAlign w:val="center"/>
          </w:tcPr>
          <w:p w14:paraId="3E7F3CB9">
            <w:pPr>
              <w:ind w:firstLine="480"/>
            </w:pPr>
            <w:r>
              <w:rPr>
                <w:rFonts w:hint="eastAsia"/>
              </w:rPr>
              <w:t>Ubuntu 24.04.1 LTS</w:t>
            </w:r>
          </w:p>
        </w:tc>
      </w:tr>
      <w:tr w14:paraId="4F98E363">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85" w:type="dxa"/>
            <w:vMerge w:val="continue"/>
            <w:tcBorders>
              <w:bottom w:val="single" w:color="auto" w:sz="8" w:space="0"/>
            </w:tcBorders>
            <w:vAlign w:val="center"/>
          </w:tcPr>
          <w:p w14:paraId="41ADF99A">
            <w:pPr>
              <w:ind w:firstLine="480"/>
              <w:jc w:val="left"/>
            </w:pPr>
          </w:p>
        </w:tc>
        <w:tc>
          <w:tcPr>
            <w:tcW w:w="1999" w:type="dxa"/>
            <w:tcBorders>
              <w:bottom w:val="single" w:color="auto" w:sz="8" w:space="0"/>
            </w:tcBorders>
            <w:vAlign w:val="center"/>
          </w:tcPr>
          <w:p w14:paraId="4A4D7212">
            <w:pPr>
              <w:ind w:firstLine="480"/>
            </w:pPr>
            <w:r>
              <w:rPr>
                <w:rFonts w:hint="eastAsia"/>
              </w:rPr>
              <w:t>CUDA</w:t>
            </w:r>
          </w:p>
        </w:tc>
        <w:tc>
          <w:tcPr>
            <w:tcW w:w="4605" w:type="dxa"/>
            <w:tcBorders>
              <w:bottom w:val="single" w:color="auto" w:sz="8" w:space="0"/>
            </w:tcBorders>
            <w:vAlign w:val="center"/>
          </w:tcPr>
          <w:p w14:paraId="181DF050">
            <w:pPr>
              <w:ind w:firstLine="480"/>
            </w:pPr>
            <w:r>
              <w:rPr>
                <w:rFonts w:hint="eastAsia"/>
              </w:rPr>
              <w:t>12.2</w:t>
            </w:r>
          </w:p>
        </w:tc>
      </w:tr>
      <w:tr w14:paraId="609B1D62">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85" w:type="dxa"/>
            <w:vMerge w:val="restart"/>
            <w:tcBorders>
              <w:top w:val="single" w:color="auto" w:sz="8" w:space="0"/>
              <w:tl2br w:val="nil"/>
              <w:tr2bl w:val="nil"/>
            </w:tcBorders>
            <w:vAlign w:val="center"/>
          </w:tcPr>
          <w:p w14:paraId="37581AE4">
            <w:pPr>
              <w:ind w:firstLine="480"/>
              <w:jc w:val="left"/>
            </w:pPr>
            <w:r>
              <w:rPr>
                <w:rFonts w:hint="eastAsia"/>
              </w:rPr>
              <w:t>硬件</w:t>
            </w:r>
          </w:p>
        </w:tc>
        <w:tc>
          <w:tcPr>
            <w:tcW w:w="1999" w:type="dxa"/>
            <w:tcBorders>
              <w:top w:val="single" w:color="auto" w:sz="8" w:space="0"/>
              <w:tl2br w:val="nil"/>
              <w:tr2bl w:val="nil"/>
            </w:tcBorders>
            <w:vAlign w:val="center"/>
          </w:tcPr>
          <w:p w14:paraId="4A0C7312">
            <w:pPr>
              <w:ind w:firstLine="480"/>
            </w:pPr>
            <w:r>
              <w:rPr>
                <w:rFonts w:hint="eastAsia"/>
              </w:rPr>
              <w:t>GPU</w:t>
            </w:r>
          </w:p>
        </w:tc>
        <w:tc>
          <w:tcPr>
            <w:tcW w:w="4605" w:type="dxa"/>
            <w:tcBorders>
              <w:top w:val="single" w:color="auto" w:sz="8" w:space="0"/>
              <w:tl2br w:val="nil"/>
              <w:tr2bl w:val="nil"/>
            </w:tcBorders>
            <w:vAlign w:val="center"/>
          </w:tcPr>
          <w:p w14:paraId="5AA75600">
            <w:pPr>
              <w:ind w:firstLine="480"/>
            </w:pPr>
            <w:r>
              <w:rPr>
                <w:rFonts w:hint="eastAsia"/>
              </w:rPr>
              <w:t>NVIDIA GeForce RTX 4090 (24GB)</w:t>
            </w:r>
          </w:p>
        </w:tc>
      </w:tr>
      <w:tr w14:paraId="5E688788">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85" w:type="dxa"/>
            <w:vMerge w:val="continue"/>
            <w:tcBorders>
              <w:tl2br w:val="nil"/>
              <w:tr2bl w:val="nil"/>
            </w:tcBorders>
            <w:vAlign w:val="center"/>
          </w:tcPr>
          <w:p w14:paraId="39C31B35">
            <w:pPr>
              <w:ind w:firstLine="480"/>
              <w:jc w:val="left"/>
            </w:pPr>
          </w:p>
        </w:tc>
        <w:tc>
          <w:tcPr>
            <w:tcW w:w="1999" w:type="dxa"/>
            <w:tcBorders>
              <w:tl2br w:val="nil"/>
              <w:tr2bl w:val="nil"/>
            </w:tcBorders>
            <w:vAlign w:val="center"/>
          </w:tcPr>
          <w:p w14:paraId="0CF79B98">
            <w:pPr>
              <w:ind w:firstLine="480"/>
            </w:pPr>
            <w:r>
              <w:rPr>
                <w:rFonts w:hint="eastAsia"/>
              </w:rPr>
              <w:t>CPU</w:t>
            </w:r>
          </w:p>
        </w:tc>
        <w:tc>
          <w:tcPr>
            <w:tcW w:w="4605" w:type="dxa"/>
            <w:tcBorders>
              <w:tl2br w:val="nil"/>
              <w:tr2bl w:val="nil"/>
            </w:tcBorders>
            <w:vAlign w:val="center"/>
          </w:tcPr>
          <w:p w14:paraId="1218D9CF">
            <w:pPr>
              <w:ind w:firstLine="480"/>
            </w:pPr>
            <w:r>
              <w:rPr>
                <w:rFonts w:hint="eastAsia"/>
              </w:rPr>
              <w:t>Intel Core i7-12700KF</w:t>
            </w:r>
          </w:p>
        </w:tc>
      </w:tr>
      <w:tr w14:paraId="694E778C">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85" w:type="dxa"/>
            <w:vMerge w:val="continue"/>
            <w:tcBorders>
              <w:bottom w:val="single" w:color="000000" w:sz="8" w:space="0"/>
              <w:tl2br w:val="nil"/>
              <w:tr2bl w:val="nil"/>
            </w:tcBorders>
            <w:vAlign w:val="center"/>
          </w:tcPr>
          <w:p w14:paraId="6B24421F">
            <w:pPr>
              <w:ind w:firstLine="480"/>
              <w:jc w:val="left"/>
            </w:pPr>
          </w:p>
        </w:tc>
        <w:tc>
          <w:tcPr>
            <w:tcW w:w="1999" w:type="dxa"/>
            <w:tcBorders>
              <w:bottom w:val="single" w:color="000000" w:sz="8" w:space="0"/>
              <w:tl2br w:val="nil"/>
              <w:tr2bl w:val="nil"/>
            </w:tcBorders>
            <w:vAlign w:val="center"/>
          </w:tcPr>
          <w:p w14:paraId="690997AB">
            <w:pPr>
              <w:ind w:firstLine="480"/>
            </w:pPr>
            <w:r>
              <w:rPr>
                <w:rFonts w:hint="eastAsia"/>
              </w:rPr>
              <w:t>RAM</w:t>
            </w:r>
          </w:p>
        </w:tc>
        <w:tc>
          <w:tcPr>
            <w:tcW w:w="4605" w:type="dxa"/>
            <w:tcBorders>
              <w:bottom w:val="single" w:color="000000" w:sz="8" w:space="0"/>
              <w:tl2br w:val="nil"/>
              <w:tr2bl w:val="nil"/>
            </w:tcBorders>
            <w:vAlign w:val="center"/>
          </w:tcPr>
          <w:p w14:paraId="300C776E">
            <w:pPr>
              <w:ind w:firstLine="480"/>
            </w:pPr>
            <w:r>
              <w:rPr>
                <w:rFonts w:hint="eastAsia"/>
              </w:rPr>
              <w:t>64G</w:t>
            </w:r>
          </w:p>
        </w:tc>
      </w:tr>
      <w:tr w14:paraId="341F94B7">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85" w:type="dxa"/>
            <w:vMerge w:val="restart"/>
            <w:tcBorders>
              <w:top w:val="single" w:color="000000" w:sz="8" w:space="0"/>
              <w:tl2br w:val="nil"/>
              <w:tr2bl w:val="nil"/>
            </w:tcBorders>
            <w:vAlign w:val="center"/>
          </w:tcPr>
          <w:p w14:paraId="024D25BB">
            <w:pPr>
              <w:ind w:firstLine="0" w:firstLineChars="0"/>
              <w:jc w:val="left"/>
            </w:pPr>
            <w:r>
              <w:rPr>
                <w:rFonts w:hint="eastAsia"/>
              </w:rPr>
              <w:t xml:space="preserve">    软件</w:t>
            </w:r>
          </w:p>
        </w:tc>
        <w:tc>
          <w:tcPr>
            <w:tcW w:w="1999" w:type="dxa"/>
            <w:tcBorders>
              <w:top w:val="single" w:color="000000" w:sz="8" w:space="0"/>
              <w:tl2br w:val="nil"/>
              <w:tr2bl w:val="nil"/>
            </w:tcBorders>
            <w:vAlign w:val="center"/>
          </w:tcPr>
          <w:p w14:paraId="64AD31AD">
            <w:pPr>
              <w:ind w:firstLine="480"/>
            </w:pPr>
            <w:r>
              <w:rPr>
                <w:rFonts w:hint="eastAsia"/>
              </w:rPr>
              <w:t>Python</w:t>
            </w:r>
          </w:p>
        </w:tc>
        <w:tc>
          <w:tcPr>
            <w:tcW w:w="4605" w:type="dxa"/>
            <w:tcBorders>
              <w:top w:val="single" w:color="000000" w:sz="8" w:space="0"/>
              <w:tl2br w:val="nil"/>
              <w:tr2bl w:val="nil"/>
            </w:tcBorders>
            <w:vAlign w:val="center"/>
          </w:tcPr>
          <w:p w14:paraId="6357A346">
            <w:pPr>
              <w:ind w:firstLine="480"/>
            </w:pPr>
            <w:r>
              <w:rPr>
                <w:rFonts w:hint="eastAsia"/>
              </w:rPr>
              <w:t>3.10.19</w:t>
            </w:r>
          </w:p>
        </w:tc>
      </w:tr>
      <w:tr w14:paraId="7D7D91C3">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85" w:type="dxa"/>
            <w:vMerge w:val="continue"/>
            <w:tcBorders>
              <w:tl2br w:val="nil"/>
              <w:tr2bl w:val="nil"/>
            </w:tcBorders>
            <w:vAlign w:val="center"/>
          </w:tcPr>
          <w:p w14:paraId="3A98F39E">
            <w:pPr>
              <w:ind w:firstLine="480"/>
            </w:pPr>
          </w:p>
        </w:tc>
        <w:tc>
          <w:tcPr>
            <w:tcW w:w="1999" w:type="dxa"/>
            <w:tcBorders>
              <w:tl2br w:val="nil"/>
              <w:tr2bl w:val="nil"/>
            </w:tcBorders>
            <w:vAlign w:val="center"/>
          </w:tcPr>
          <w:p w14:paraId="18C6C4A6">
            <w:pPr>
              <w:ind w:firstLine="480"/>
            </w:pPr>
            <w:r>
              <w:rPr>
                <w:rFonts w:hint="eastAsia"/>
              </w:rPr>
              <w:t>PyTorch</w:t>
            </w:r>
          </w:p>
        </w:tc>
        <w:tc>
          <w:tcPr>
            <w:tcW w:w="4605" w:type="dxa"/>
            <w:tcBorders>
              <w:tl2br w:val="nil"/>
              <w:tr2bl w:val="nil"/>
            </w:tcBorders>
            <w:vAlign w:val="center"/>
          </w:tcPr>
          <w:p w14:paraId="1C72DC63">
            <w:pPr>
              <w:ind w:firstLine="480"/>
            </w:pPr>
            <w:r>
              <w:rPr>
                <w:rFonts w:hint="eastAsia"/>
              </w:rPr>
              <w:t>2.4.1+cu121</w:t>
            </w:r>
          </w:p>
        </w:tc>
      </w:tr>
      <w:tr w14:paraId="561FA86E">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85" w:type="dxa"/>
            <w:vMerge w:val="continue"/>
            <w:tcBorders>
              <w:tl2br w:val="nil"/>
              <w:tr2bl w:val="nil"/>
            </w:tcBorders>
            <w:vAlign w:val="center"/>
          </w:tcPr>
          <w:p w14:paraId="554DD0D6">
            <w:pPr>
              <w:ind w:firstLine="480"/>
            </w:pPr>
          </w:p>
        </w:tc>
        <w:tc>
          <w:tcPr>
            <w:tcW w:w="1999" w:type="dxa"/>
            <w:tcBorders>
              <w:tl2br w:val="nil"/>
              <w:tr2bl w:val="nil"/>
            </w:tcBorders>
            <w:vAlign w:val="center"/>
          </w:tcPr>
          <w:p w14:paraId="25518A45">
            <w:pPr>
              <w:ind w:left="480" w:leftChars="200" w:firstLine="0" w:firstLineChars="0"/>
            </w:pPr>
            <w:r>
              <w:rPr>
                <w:rFonts w:hint="eastAsia"/>
              </w:rPr>
              <w:t>Geometric</w:t>
            </w:r>
          </w:p>
        </w:tc>
        <w:tc>
          <w:tcPr>
            <w:tcW w:w="4605" w:type="dxa"/>
            <w:tcBorders>
              <w:tl2br w:val="nil"/>
              <w:tr2bl w:val="nil"/>
            </w:tcBorders>
            <w:vAlign w:val="center"/>
          </w:tcPr>
          <w:p w14:paraId="44323B74">
            <w:pPr>
              <w:ind w:firstLine="480"/>
            </w:pPr>
            <w:r>
              <w:rPr>
                <w:rFonts w:hint="eastAsia"/>
              </w:rPr>
              <w:t>2.7.0</w:t>
            </w:r>
          </w:p>
        </w:tc>
      </w:tr>
      <w:tr w14:paraId="317D4812">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85" w:type="dxa"/>
            <w:vMerge w:val="continue"/>
            <w:tcBorders>
              <w:tl2br w:val="nil"/>
              <w:tr2bl w:val="nil"/>
            </w:tcBorders>
            <w:vAlign w:val="center"/>
          </w:tcPr>
          <w:p w14:paraId="178D7541">
            <w:pPr>
              <w:ind w:firstLine="480"/>
            </w:pPr>
          </w:p>
        </w:tc>
        <w:tc>
          <w:tcPr>
            <w:tcW w:w="1999" w:type="dxa"/>
            <w:tcBorders>
              <w:tl2br w:val="nil"/>
              <w:tr2bl w:val="nil"/>
            </w:tcBorders>
            <w:vAlign w:val="center"/>
          </w:tcPr>
          <w:p w14:paraId="28D80AAB">
            <w:pPr>
              <w:ind w:firstLine="480"/>
            </w:pPr>
            <w:r>
              <w:rPr>
                <w:rFonts w:hint="eastAsia"/>
              </w:rPr>
              <w:t>RDKit</w:t>
            </w:r>
          </w:p>
        </w:tc>
        <w:tc>
          <w:tcPr>
            <w:tcW w:w="4605" w:type="dxa"/>
            <w:tcBorders>
              <w:tl2br w:val="nil"/>
              <w:tr2bl w:val="nil"/>
            </w:tcBorders>
            <w:vAlign w:val="center"/>
          </w:tcPr>
          <w:p w14:paraId="031E039D">
            <w:pPr>
              <w:ind w:firstLine="480"/>
            </w:pPr>
            <w:r>
              <w:rPr>
                <w:rFonts w:hint="eastAsia"/>
              </w:rPr>
              <w:t>2025.9.3</w:t>
            </w:r>
          </w:p>
        </w:tc>
      </w:tr>
    </w:tbl>
    <w:p w14:paraId="2E42B08F">
      <w:pPr>
        <w:ind w:firstLine="0" w:firstLineChars="0"/>
      </w:pPr>
    </w:p>
    <w:p w14:paraId="4F7C3C82">
      <w:pPr>
        <w:numPr>
          <w:ilvl w:val="0"/>
          <w:numId w:val="5"/>
        </w:numPr>
        <w:ind w:firstLine="480"/>
      </w:pPr>
      <w:r>
        <w:rPr>
          <w:rFonts w:hint="eastAsia"/>
        </w:rPr>
        <w:t>参数设置</w:t>
      </w:r>
    </w:p>
    <w:p w14:paraId="6C2A29E8">
      <w:pPr>
        <w:ind w:left="480" w:leftChars="200" w:firstLine="0" w:firstLineChars="0"/>
      </w:pPr>
      <w:r>
        <w:rPr>
          <w:rFonts w:hint="eastAsia"/>
          <w:b/>
          <w:bCs/>
        </w:rPr>
        <w:t>预训练参数设置</w:t>
      </w:r>
      <w:r>
        <w:rPr>
          <w:rFonts w:hint="eastAsia"/>
        </w:rPr>
        <w:t>：优化器：采用 AdamW 优化器，以解耦权重衰减（Weight Decay）策略提升模型泛化性，权重衰减系数设为</w:t>
      </w:r>
      <m:oMath>
        <m:r>
          <m:rPr/>
          <w:rPr>
            <w:rFonts w:ascii="Cambria Math"/>
          </w:rPr>
          <m:t>1</m:t>
        </m:r>
        <m:r>
          <m:rPr>
            <m:sty m:val="p"/>
          </m:rPr>
          <w:rPr>
            <w:rFonts w:ascii="Cambria Math"/>
          </w:rPr>
          <m:t>×</m:t>
        </m:r>
        <m:r>
          <m:rPr/>
          <w:rPr>
            <w:rFonts w:ascii="Cambria Math"/>
          </w:rPr>
          <m:t>1</m:t>
        </m:r>
        <m:sSup>
          <m:sSupPr>
            <m:ctrlPr>
              <w:rPr>
                <w:rFonts w:ascii="Cambria Math" w:hAnsi="Cambria Math"/>
              </w:rPr>
            </m:ctrlPr>
          </m:sSupPr>
          <m:e>
            <m:r>
              <m:rPr/>
              <w:rPr>
                <w:rFonts w:ascii="Cambria Math"/>
              </w:rPr>
              <m:t>0</m:t>
            </m:r>
            <m:ctrlPr>
              <w:rPr>
                <w:rFonts w:ascii="Cambria Math" w:hAnsi="Cambria Math"/>
              </w:rPr>
            </m:ctrlPr>
          </m:e>
          <m:sup>
            <m:r>
              <m:rPr/>
              <w:rPr>
                <w:rFonts w:ascii="Cambria Math"/>
              </w:rPr>
              <m:t>−4</m:t>
            </m:r>
            <m:ctrlPr>
              <w:rPr>
                <w:rFonts w:ascii="Cambria Math" w:hAnsi="Cambria Math"/>
              </w:rPr>
            </m:ctrlPr>
          </m:sup>
        </m:sSup>
      </m:oMath>
      <w:r>
        <w:rPr>
          <w:rFonts w:hint="eastAsia"/>
        </w:rPr>
        <w:t>。学习率调度：采用带有线性预热的余弦退火策略。初始学习率设为</w:t>
      </w:r>
      <m:oMath>
        <m:r>
          <m:rPr/>
          <w:rPr>
            <w:rFonts w:ascii="Cambria Math"/>
          </w:rPr>
          <m:t>2</m:t>
        </m:r>
        <m:r>
          <m:rPr>
            <m:sty m:val="p"/>
          </m:rPr>
          <w:rPr>
            <w:rFonts w:ascii="Cambria Math"/>
          </w:rPr>
          <m:t>×</m:t>
        </m:r>
        <m:r>
          <m:rPr/>
          <w:rPr>
            <w:rFonts w:ascii="Cambria Math"/>
          </w:rPr>
          <m:t>1</m:t>
        </m:r>
        <m:sSup>
          <m:sSupPr>
            <m:ctrlPr>
              <w:rPr>
                <w:rFonts w:ascii="Cambria Math" w:hAnsi="Cambria Math"/>
              </w:rPr>
            </m:ctrlPr>
          </m:sSupPr>
          <m:e>
            <m:r>
              <m:rPr/>
              <w:rPr>
                <w:rFonts w:ascii="Cambria Math"/>
              </w:rPr>
              <m:t>0</m:t>
            </m:r>
            <m:ctrlPr>
              <w:rPr>
                <w:rFonts w:ascii="Cambria Math" w:hAnsi="Cambria Math"/>
              </w:rPr>
            </m:ctrlPr>
          </m:e>
          <m:sup>
            <m:r>
              <m:rPr/>
              <w:rPr>
                <w:rFonts w:ascii="Cambria Math"/>
              </w:rPr>
              <m:t>−4</m:t>
            </m:r>
            <m:ctrlPr>
              <w:rPr>
                <w:rFonts w:ascii="Cambria Math" w:hAnsi="Cambria Math"/>
              </w:rPr>
            </m:ctrlPr>
          </m:sup>
        </m:sSup>
      </m:oMath>
      <w:r>
        <w:rPr>
          <w:rFonts w:hint="eastAsia"/>
        </w:rPr>
        <w:t>，预热步数占总步数的 6%，随后逐渐衰减至</w:t>
      </w:r>
      <m:oMath>
        <m:r>
          <m:rPr/>
          <w:rPr>
            <w:rFonts w:ascii="Cambria Math"/>
          </w:rPr>
          <m:t>1</m:t>
        </m:r>
        <m:r>
          <m:rPr>
            <m:sty m:val="p"/>
          </m:rPr>
          <w:rPr>
            <w:rFonts w:ascii="Cambria Math"/>
          </w:rPr>
          <m:t>×</m:t>
        </m:r>
        <m:r>
          <m:rPr/>
          <w:rPr>
            <w:rFonts w:ascii="Cambria Math"/>
          </w:rPr>
          <m:t>1</m:t>
        </m:r>
        <m:sSup>
          <m:sSupPr>
            <m:ctrlPr>
              <w:rPr>
                <w:rFonts w:ascii="Cambria Math" w:hAnsi="Cambria Math"/>
              </w:rPr>
            </m:ctrlPr>
          </m:sSupPr>
          <m:e>
            <m:r>
              <m:rPr/>
              <w:rPr>
                <w:rFonts w:ascii="Cambria Math"/>
              </w:rPr>
              <m:t>0</m:t>
            </m:r>
            <m:ctrlPr>
              <w:rPr>
                <w:rFonts w:ascii="Cambria Math" w:hAnsi="Cambria Math"/>
              </w:rPr>
            </m:ctrlPr>
          </m:e>
          <m:sup>
            <m:r>
              <m:rPr/>
              <w:rPr>
                <w:rFonts w:ascii="Cambria Math"/>
              </w:rPr>
              <m:t>−6</m:t>
            </m:r>
            <m:ctrlPr>
              <w:rPr>
                <w:rFonts w:ascii="Cambria Math" w:hAnsi="Cambria Math"/>
              </w:rPr>
            </m:ctrlPr>
          </m:sup>
        </m:sSup>
      </m:oMath>
      <w:r>
        <w:rPr>
          <w:rFonts w:hint="eastAsia"/>
        </w:rPr>
        <w:t xml:space="preserve">。批次与周期：为了保证对比学习中负样本的数量充足，将批次大小设为 256。模型共训练 100 个 Epoch，并在验证集 loss 不再下降时实施早停。对比损失参数：基于 3.3.4 节的参数敏感性实验结果，NT-Xent 损失函数中的温度系数 </w:t>
      </w:r>
      <m:oMath>
        <m:r>
          <m:rPr/>
          <w:rPr>
            <w:rFonts w:ascii="Cambria Math"/>
          </w:rPr>
          <m:t>τ</m:t>
        </m:r>
      </m:oMath>
      <w:r>
        <w:rPr>
          <w:rFonts w:hint="eastAsia"/>
        </w:rPr>
        <w:t xml:space="preserve"> 固定为 0.1。自适应加权损失中的可学习噪声参数</w:t>
      </w:r>
      <m:oMath>
        <m:sSub>
          <m:sSubPr>
            <m:ctrlPr>
              <w:rPr>
                <w:rFonts w:ascii="Cambria Math" w:hAnsi="Cambria Math"/>
              </w:rPr>
            </m:ctrlPr>
          </m:sSubPr>
          <m:e>
            <m:r>
              <m:rPr/>
              <w:rPr>
                <w:rFonts w:ascii="Cambria Math"/>
              </w:rPr>
              <m:t>σ</m:t>
            </m:r>
            <m:ctrlPr>
              <w:rPr>
                <w:rFonts w:ascii="Cambria Math" w:hAnsi="Cambria Math"/>
              </w:rPr>
            </m:ctrlPr>
          </m:e>
          <m:sub>
            <m:r>
              <m:rPr/>
              <w:rPr>
                <w:rFonts w:ascii="Cambria Math"/>
              </w:rPr>
              <m:t>m</m:t>
            </m:r>
            <m:ctrlPr>
              <w:rPr>
                <w:rFonts w:ascii="Cambria Math" w:hAnsi="Cambria Math"/>
              </w:rPr>
            </m:ctrlPr>
          </m:sub>
        </m:sSub>
      </m:oMath>
      <w:r>
        <w:rPr>
          <w:rFonts w:hint="eastAsia"/>
        </w:rPr>
        <w:t>初始化为 1.0，并随训练过程自动更新。模型架构参数：Graphormer 编码器包含 6 层 Transformer 层，隐藏层维度设为 256，多头注意力头数设为 8。文本编码器 SciBERT 与序列编码器 RoBERTa 均冻结前 6 层参数，仅微调高层参数以适配分子语义。</w:t>
      </w:r>
    </w:p>
    <w:p w14:paraId="28968B97">
      <w:pPr>
        <w:ind w:left="480" w:leftChars="200" w:firstLine="0" w:firstLineChars="0"/>
      </w:pPr>
      <w:r>
        <w:rPr>
          <w:rFonts w:hint="eastAsia"/>
          <w:b/>
          <w:bCs/>
        </w:rPr>
        <w:t>微调参数设置</w:t>
      </w:r>
      <w:r>
        <w:rPr>
          <w:rFonts w:hint="eastAsia"/>
        </w:rPr>
        <w:t xml:space="preserve">：在下游任务阶段，我们将预训练好的 KGAMA 编码器迁移至 MoleculeNet 的 9 个基准数据集上。为了适应不同规模的数据集，微调策略进行了如下调整：学习率：为了保留预训练特征的先验知识，微调阶段采用较小的学习率，设定为 </w:t>
      </w:r>
      <m:oMath>
        <m:r>
          <m:rPr/>
          <w:rPr>
            <w:rFonts w:ascii="Cambria Math"/>
          </w:rPr>
          <m:t>5</m:t>
        </m:r>
        <m:r>
          <m:rPr>
            <m:sty m:val="p"/>
          </m:rPr>
          <w:rPr>
            <w:rFonts w:ascii="Cambria Math"/>
          </w:rPr>
          <m:t>×</m:t>
        </m:r>
        <m:r>
          <m:rPr/>
          <w:rPr>
            <w:rFonts w:ascii="Cambria Math"/>
          </w:rPr>
          <m:t>1</m:t>
        </m:r>
        <m:sSup>
          <m:sSupPr>
            <m:ctrlPr>
              <w:rPr>
                <w:rFonts w:ascii="Cambria Math" w:hAnsi="Cambria Math"/>
              </w:rPr>
            </m:ctrlPr>
          </m:sSupPr>
          <m:e>
            <m:r>
              <m:rPr/>
              <w:rPr>
                <w:rFonts w:ascii="Cambria Math"/>
              </w:rPr>
              <m:t>0</m:t>
            </m:r>
            <m:ctrlPr>
              <w:rPr>
                <w:rFonts w:ascii="Cambria Math" w:hAnsi="Cambria Math"/>
              </w:rPr>
            </m:ctrlPr>
          </m:e>
          <m:sup>
            <m:r>
              <m:rPr/>
              <w:rPr>
                <w:rFonts w:ascii="Cambria Math"/>
              </w:rPr>
              <m:t>−5</m:t>
            </m:r>
            <m:ctrlPr>
              <w:rPr>
                <w:rFonts w:ascii="Cambria Math" w:hAnsi="Cambria Math"/>
              </w:rPr>
            </m:ctrlPr>
          </m:sup>
        </m:sSup>
      </m:oMath>
      <w:r>
        <w:rPr>
          <w:rFonts w:hint="eastAsia"/>
        </w:rPr>
        <w:t>。批次大小：设为 32，以适应小样本数据的梯度更新频率。Dropout：在预测头中引入 Dropout 层，丢弃率设为 0.1，以防止在小数据集上过拟合。训练周期：最大训练 100 Epoch，同样配合早停机制（Patience=5）。</w:t>
      </w:r>
    </w:p>
    <w:p w14:paraId="3275DF52">
      <w:pPr>
        <w:pStyle w:val="4"/>
        <w:rPr>
          <w:rFonts w:hint="default"/>
        </w:rPr>
      </w:pPr>
      <w:r>
        <w:t>评价指标</w:t>
      </w:r>
    </w:p>
    <w:p w14:paraId="6F0520DB">
      <w:pPr>
        <w:ind w:firstLine="480"/>
      </w:pPr>
      <w:r>
        <w:t>本研究根据具体任务特性的不同，实施了差异化的效能评测策略。针对分类问题，模型对类别的区分效能主要依赖受试者工作特征曲线下面积（AUROC）进行考量。AUROC 能够量化模型在真假阳性率权衡过程中的表现，其得分位于 0.5 到 1 的闭区间内，分数越高象征着模型拥有更优异的判别力。而在回归分析中，核心关注点转向均方根误差（RMSE），该指标用于刻画预测精度。通过对预测值与实测值之差进行平方、取均值后再开方，RMSE 实现了对误差的标准化度量；由于其单位与目标变量保持一致，较小的 RMSE 值直接映射出模型预测结果与真实数据之间极高的匹配吻合度。</w:t>
      </w:r>
    </w:p>
    <w:p w14:paraId="32CA6A1F">
      <w:pPr>
        <w:pStyle w:val="4"/>
        <w:rPr>
          <w:rFonts w:hint="default"/>
        </w:rPr>
      </w:pPr>
      <w:r>
        <w:t>对比损失函数</w:t>
      </w:r>
    </w:p>
    <w:p w14:paraId="1A55E4C8">
      <w:pPr>
        <w:ind w:firstLine="480"/>
      </w:pPr>
      <w:r>
        <w:rPr>
          <w:rFonts w:hint="eastAsia"/>
        </w:rPr>
        <w:t>在将分子的多模态特征映射到同一的向量空间之后，模型的核心任务是通过对比学习来实现跨模态的语义对齐。本文设计了一种改进的以图为中心的双向NT-Xent对比损失，并引入基于同方差不确定性的自适应加权机制，以实现多任务场景下的稳健优化。</w:t>
      </w:r>
    </w:p>
    <w:p w14:paraId="6C368500">
      <w:pPr>
        <w:ind w:firstLine="480"/>
      </w:pPr>
      <w:r>
        <w:rPr>
          <w:rFonts w:hint="eastAsia"/>
        </w:rPr>
        <w:t>对比学习通过在表征空间中拉近正样本对、推远负样本对来学习具有判别性的特征表示。目前最主流的目标函数是归一化温度缩放交叉熵损失（Normalized Temperature-scaled Cross Entropy Loss, NT-Xent）。对于给定的样本对(i, j)，其标准的NT-Xent损失定义如下：</w:t>
      </w:r>
    </w:p>
    <w:p w14:paraId="0299419F">
      <w:pPr>
        <w:widowControl/>
        <w:spacing w:line="14" w:lineRule="atLeast"/>
        <w:ind w:firstLine="480"/>
        <w:jc w:val="left"/>
      </w:pPr>
      <m:oMathPara>
        <m:oMath>
          <m:sSub>
            <m:sSubPr>
              <m:ctrlPr>
                <w:rPr>
                  <w:rFonts w:ascii="Cambria Math" w:hAnsi="Cambria Math" w:eastAsia="sans-serif"/>
                </w:rPr>
              </m:ctrlPr>
            </m:sSubPr>
            <m:e>
              <m:r>
                <m:rPr>
                  <m:scr m:val="script"/>
                </m:rPr>
                <w:rPr>
                  <w:rFonts w:ascii="Cambria Math" w:hAnsi="Cambria Math" w:eastAsia="sans-serif"/>
                </w:rPr>
                <m:t>l</m:t>
              </m:r>
              <m:ctrlPr>
                <w:rPr>
                  <w:rFonts w:ascii="Cambria Math" w:hAnsi="Cambria Math" w:eastAsia="sans-serif"/>
                </w:rPr>
              </m:ctrlPr>
            </m:e>
            <m:sub>
              <m:r>
                <m:rPr/>
                <w:rPr>
                  <w:rFonts w:ascii="Cambria Math" w:hAnsi="Cambria Math" w:eastAsia="sans-serif"/>
                </w:rPr>
                <m:t>i,j</m:t>
              </m:r>
              <m:ctrlPr>
                <w:rPr>
                  <w:rFonts w:ascii="Cambria Math" w:hAnsi="Cambria Math" w:eastAsia="sans-serif"/>
                </w:rPr>
              </m:ctrlPr>
            </m:sub>
          </m:sSub>
          <m:r>
            <m:rPr/>
            <w:rPr>
              <w:rFonts w:ascii="Cambria Math" w:hAnsi="Cambria Math" w:eastAsia="sans-serif"/>
            </w:rPr>
            <m:t>=−</m:t>
          </m:r>
          <m:func>
            <m:funcPr>
              <m:ctrlPr>
                <w:rPr>
                  <w:rFonts w:ascii="Cambria Math" w:hAnsi="Cambria Math" w:eastAsia="sans-serif"/>
                </w:rPr>
              </m:ctrlPr>
            </m:funcPr>
            <m:fName>
              <m:r>
                <m:rPr>
                  <m:sty m:val="p"/>
                </m:rPr>
                <w:rPr>
                  <w:rFonts w:ascii="Cambria Math" w:hAnsi="Cambria Math" w:eastAsia="sans-serif"/>
                </w:rPr>
                <m:t>log</m:t>
              </m:r>
              <m:ctrlPr>
                <w:rPr>
                  <w:rFonts w:ascii="Cambria Math" w:hAnsi="Cambria Math" w:eastAsia="sans-serif"/>
                </w:rPr>
              </m:ctrlPr>
            </m:fName>
            <m:e>
              <m:f>
                <m:fPr>
                  <m:ctrlPr>
                    <w:rPr>
                      <w:rFonts w:ascii="Cambria Math" w:hAnsi="Cambria Math" w:eastAsia="sans-serif"/>
                      <w:i/>
                    </w:rPr>
                  </m:ctrlPr>
                </m:fPr>
                <m:num>
                  <m:func>
                    <m:funcPr>
                      <m:ctrlPr>
                        <w:rPr>
                          <w:rFonts w:ascii="Cambria Math" w:hAnsi="Cambria Math" w:eastAsia="sans-serif"/>
                        </w:rPr>
                      </m:ctrlPr>
                    </m:funcPr>
                    <m:fName>
                      <m:r>
                        <m:rPr>
                          <m:sty m:val="p"/>
                        </m:rPr>
                        <w:rPr>
                          <w:rFonts w:ascii="Cambria Math" w:hAnsi="Cambria Math" w:eastAsia="sans-serif"/>
                        </w:rPr>
                        <m:t>exp</m:t>
                      </m:r>
                      <m:ctrlPr>
                        <w:rPr>
                          <w:rFonts w:ascii="Cambria Math" w:hAnsi="Cambria Math" w:eastAsia="sans-serif"/>
                        </w:rPr>
                      </m:ctrlPr>
                    </m:fName>
                    <m:e>
                      <m:r>
                        <m:rPr/>
                        <w:rPr>
                          <w:rFonts w:ascii="Cambria Math" w:hAnsi="Cambria Math" w:eastAsia="sans-serif"/>
                        </w:rPr>
                        <m:t>(</m:t>
                      </m:r>
                      <m:ctrlPr>
                        <w:rPr>
                          <w:rFonts w:ascii="Cambria Math" w:hAnsi="Cambria Math" w:eastAsia="sans-serif"/>
                        </w:rPr>
                      </m:ctrlPr>
                    </m:e>
                  </m:func>
                  <m:r>
                    <m:rPr/>
                    <w:rPr>
                      <w:rFonts w:ascii="Cambria Math" w:hAnsi="Cambria Math" w:eastAsia="sans-serif"/>
                    </w:rPr>
                    <m:t>sim(</m:t>
                  </m:r>
                  <m:sSub>
                    <m:sSubPr>
                      <m:ctrlPr>
                        <w:rPr>
                          <w:rFonts w:ascii="Cambria Math" w:hAnsi="Cambria Math" w:eastAsia="sans-serif"/>
                        </w:rPr>
                      </m:ctrlPr>
                    </m:sSubPr>
                    <m:e>
                      <m:r>
                        <m:rPr/>
                        <w:rPr>
                          <w:rFonts w:ascii="Cambria Math" w:hAnsi="Cambria Math" w:eastAsia="sans-serif"/>
                        </w:rPr>
                        <m:t>z</m:t>
                      </m:r>
                      <m:ctrlPr>
                        <w:rPr>
                          <w:rFonts w:ascii="Cambria Math" w:hAnsi="Cambria Math" w:eastAsia="sans-serif"/>
                        </w:rPr>
                      </m:ctrlPr>
                    </m:e>
                    <m:sub>
                      <m:r>
                        <m:rPr/>
                        <w:rPr>
                          <w:rFonts w:ascii="Cambria Math" w:hAnsi="Cambria Math" w:eastAsia="sans-serif"/>
                        </w:rPr>
                        <m:t>i</m:t>
                      </m:r>
                      <m:ctrlPr>
                        <w:rPr>
                          <w:rFonts w:ascii="Cambria Math" w:hAnsi="Cambria Math" w:eastAsia="sans-serif"/>
                        </w:rPr>
                      </m:ctrlPr>
                    </m:sub>
                  </m:sSub>
                  <m:r>
                    <m:rPr/>
                    <w:rPr>
                      <w:rFonts w:ascii="Cambria Math" w:hAnsi="Cambria Math" w:eastAsia="sans-serif"/>
                    </w:rPr>
                    <m:t>,</m:t>
                  </m:r>
                  <m:sSub>
                    <m:sSubPr>
                      <m:ctrlPr>
                        <w:rPr>
                          <w:rFonts w:ascii="Cambria Math" w:hAnsi="Cambria Math" w:eastAsia="sans-serif"/>
                        </w:rPr>
                      </m:ctrlPr>
                    </m:sSubPr>
                    <m:e>
                      <m:r>
                        <m:rPr/>
                        <w:rPr>
                          <w:rFonts w:ascii="Cambria Math" w:hAnsi="Cambria Math" w:eastAsia="sans-serif"/>
                        </w:rPr>
                        <m:t>z</m:t>
                      </m:r>
                      <m:ctrlPr>
                        <w:rPr>
                          <w:rFonts w:ascii="Cambria Math" w:hAnsi="Cambria Math" w:eastAsia="sans-serif"/>
                        </w:rPr>
                      </m:ctrlPr>
                    </m:e>
                    <m:sub>
                      <m:r>
                        <m:rPr/>
                        <w:rPr>
                          <w:rFonts w:ascii="Cambria Math" w:hAnsi="Cambria Math" w:eastAsia="sans-serif"/>
                        </w:rPr>
                        <m:t>j</m:t>
                      </m:r>
                      <m:ctrlPr>
                        <w:rPr>
                          <w:rFonts w:ascii="Cambria Math" w:hAnsi="Cambria Math" w:eastAsia="sans-serif"/>
                        </w:rPr>
                      </m:ctrlPr>
                    </m:sub>
                  </m:sSub>
                  <m:r>
                    <m:rPr/>
                    <w:rPr>
                      <w:rFonts w:ascii="Cambria Math" w:hAnsi="Cambria Math" w:eastAsia="sans-serif"/>
                    </w:rPr>
                    <m:t>)/τ)</m:t>
                  </m:r>
                  <m:ctrlPr>
                    <w:rPr>
                      <w:rFonts w:ascii="Cambria Math" w:hAnsi="Cambria Math" w:eastAsia="sans-serif"/>
                    </w:rPr>
                  </m:ctrlPr>
                </m:num>
                <m:den>
                  <m:sSub>
                    <m:sSubPr>
                      <m:ctrlPr>
                        <w:rPr>
                          <w:rFonts w:ascii="Cambria Math" w:hAnsi="Cambria Math" w:eastAsia="sans-serif"/>
                        </w:rPr>
                      </m:ctrlPr>
                    </m:sSubPr>
                    <m:e>
                      <m:nary>
                        <m:naryPr>
                          <m:chr m:val="∑"/>
                          <m:limLoc m:val="undOvr"/>
                          <m:ctrlPr>
                            <w:rPr>
                              <w:rFonts w:ascii="Cambria Math" w:hAnsi="Cambria Math" w:eastAsia="sans-serif"/>
                              <w:i/>
                            </w:rPr>
                          </m:ctrlPr>
                        </m:naryPr>
                        <m:sub>
                          <m:r>
                            <m:rPr/>
                            <w:rPr>
                              <w:rFonts w:ascii="Cambria Math" w:hAnsi="Cambria Math" w:eastAsia="sans-serif"/>
                            </w:rPr>
                            <m:t>k=1</m:t>
                          </m:r>
                          <m:ctrlPr>
                            <w:rPr>
                              <w:rFonts w:ascii="Cambria Math" w:hAnsi="Cambria Math" w:eastAsia="sans-serif"/>
                            </w:rPr>
                          </m:ctrlPr>
                        </m:sub>
                        <m:sup>
                          <m:r>
                            <m:rPr/>
                            <w:rPr>
                              <w:rFonts w:ascii="Cambria Math" w:hAnsi="Cambria Math" w:eastAsia="sans-serif"/>
                            </w:rPr>
                            <m:t>2B</m:t>
                          </m:r>
                          <m:ctrlPr>
                            <w:rPr>
                              <w:rFonts w:ascii="Cambria Math" w:hAnsi="Cambria Math" w:eastAsia="sans-serif"/>
                            </w:rPr>
                          </m:ctrlPr>
                        </m:sup>
                        <m:e>
                          <m:r>
                            <m:rPr>
                              <m:scr m:val="double-struck"/>
                            </m:rPr>
                            <w:rPr>
                              <w:rFonts w:ascii="Cambria Math" w:hAnsi="Cambria Math" w:eastAsia="MS Mincho"/>
                            </w:rPr>
                            <m:t>1</m:t>
                          </m:r>
                          <m:ctrlPr>
                            <w:rPr>
                              <w:rFonts w:ascii="Cambria Math" w:hAnsi="Cambria Math" w:eastAsia="sans-serif"/>
                            </w:rPr>
                          </m:ctrlPr>
                        </m:e>
                      </m:nary>
                      <m:ctrlPr>
                        <w:rPr>
                          <w:rFonts w:ascii="Cambria Math" w:hAnsi="Cambria Math" w:eastAsia="sans-serif"/>
                          <w:i/>
                        </w:rPr>
                      </m:ctrlPr>
                    </m:e>
                    <m:sub>
                      <m:r>
                        <m:rPr/>
                        <w:rPr>
                          <w:rFonts w:ascii="Cambria Math" w:hAnsi="Cambria Math" w:eastAsia="sans-serif"/>
                        </w:rPr>
                        <m:t>[k≠i]</m:t>
                      </m:r>
                      <m:ctrlPr>
                        <w:rPr>
                          <w:rFonts w:ascii="Cambria Math" w:hAnsi="Cambria Math" w:eastAsia="sans-serif"/>
                          <w:i/>
                        </w:rPr>
                      </m:ctrlPr>
                    </m:sub>
                  </m:sSub>
                  <m:func>
                    <m:funcPr>
                      <m:ctrlPr>
                        <w:rPr>
                          <w:rFonts w:ascii="Cambria Math" w:hAnsi="Cambria Math" w:eastAsia="sans-serif"/>
                        </w:rPr>
                      </m:ctrlPr>
                    </m:funcPr>
                    <m:fName>
                      <m:r>
                        <m:rPr>
                          <m:sty m:val="p"/>
                        </m:rPr>
                        <w:rPr>
                          <w:rFonts w:ascii="Cambria Math" w:hAnsi="Cambria Math" w:eastAsia="sans-serif"/>
                        </w:rPr>
                        <m:t>exp</m:t>
                      </m:r>
                      <m:ctrlPr>
                        <w:rPr>
                          <w:rFonts w:ascii="Cambria Math" w:hAnsi="Cambria Math" w:eastAsia="sans-serif"/>
                          <w:i/>
                        </w:rPr>
                      </m:ctrlPr>
                    </m:fName>
                    <m:e>
                      <m:r>
                        <m:rPr/>
                        <w:rPr>
                          <w:rFonts w:ascii="Cambria Math" w:hAnsi="Cambria Math" w:eastAsia="sans-serif"/>
                        </w:rPr>
                        <m:t>(</m:t>
                      </m:r>
                      <m:ctrlPr>
                        <w:rPr>
                          <w:rFonts w:ascii="Cambria Math" w:hAnsi="Cambria Math" w:eastAsia="sans-serif"/>
                          <w:i/>
                        </w:rPr>
                      </m:ctrlPr>
                    </m:e>
                  </m:func>
                  <m:r>
                    <m:rPr/>
                    <w:rPr>
                      <w:rFonts w:ascii="Cambria Math" w:hAnsi="Cambria Math" w:eastAsia="sans-serif"/>
                    </w:rPr>
                    <m:t>sim(</m:t>
                  </m:r>
                  <m:sSub>
                    <m:sSubPr>
                      <m:ctrlPr>
                        <w:rPr>
                          <w:rFonts w:ascii="Cambria Math" w:hAnsi="Cambria Math" w:eastAsia="sans-serif"/>
                        </w:rPr>
                      </m:ctrlPr>
                    </m:sSubPr>
                    <m:e>
                      <m:r>
                        <m:rPr/>
                        <w:rPr>
                          <w:rFonts w:ascii="Cambria Math" w:hAnsi="Cambria Math" w:eastAsia="sans-serif"/>
                        </w:rPr>
                        <m:t>z</m:t>
                      </m:r>
                      <m:ctrlPr>
                        <w:rPr>
                          <w:rFonts w:ascii="Cambria Math" w:hAnsi="Cambria Math" w:eastAsia="sans-serif"/>
                          <w:i/>
                        </w:rPr>
                      </m:ctrlPr>
                    </m:e>
                    <m:sub>
                      <m:r>
                        <m:rPr/>
                        <w:rPr>
                          <w:rFonts w:ascii="Cambria Math" w:hAnsi="Cambria Math" w:eastAsia="sans-serif"/>
                        </w:rPr>
                        <m:t>i</m:t>
                      </m:r>
                      <m:ctrlPr>
                        <w:rPr>
                          <w:rFonts w:ascii="Cambria Math" w:hAnsi="Cambria Math" w:eastAsia="sans-serif"/>
                          <w:i/>
                        </w:rPr>
                      </m:ctrlPr>
                    </m:sub>
                  </m:sSub>
                  <m:r>
                    <m:rPr/>
                    <w:rPr>
                      <w:rFonts w:ascii="Cambria Math" w:hAnsi="Cambria Math" w:eastAsia="sans-serif"/>
                    </w:rPr>
                    <m:t>,</m:t>
                  </m:r>
                  <m:sSub>
                    <m:sSubPr>
                      <m:ctrlPr>
                        <w:rPr>
                          <w:rFonts w:ascii="Cambria Math" w:hAnsi="Cambria Math" w:eastAsia="sans-serif"/>
                        </w:rPr>
                      </m:ctrlPr>
                    </m:sSubPr>
                    <m:e>
                      <m:r>
                        <m:rPr/>
                        <w:rPr>
                          <w:rFonts w:ascii="Cambria Math" w:hAnsi="Cambria Math" w:eastAsia="sans-serif"/>
                        </w:rPr>
                        <m:t>z</m:t>
                      </m:r>
                      <m:ctrlPr>
                        <w:rPr>
                          <w:rFonts w:ascii="Cambria Math" w:hAnsi="Cambria Math" w:eastAsia="sans-serif"/>
                          <w:i/>
                        </w:rPr>
                      </m:ctrlPr>
                    </m:e>
                    <m:sub>
                      <m:r>
                        <m:rPr/>
                        <w:rPr>
                          <w:rFonts w:ascii="Cambria Math" w:hAnsi="Cambria Math" w:eastAsia="sans-serif"/>
                        </w:rPr>
                        <m:t>k</m:t>
                      </m:r>
                      <m:ctrlPr>
                        <w:rPr>
                          <w:rFonts w:ascii="Cambria Math" w:hAnsi="Cambria Math" w:eastAsia="sans-serif"/>
                          <w:i/>
                        </w:rPr>
                      </m:ctrlPr>
                    </m:sub>
                  </m:sSub>
                  <m:r>
                    <m:rPr/>
                    <w:rPr>
                      <w:rFonts w:ascii="Cambria Math" w:hAnsi="Cambria Math" w:eastAsia="sans-serif"/>
                    </w:rPr>
                    <m:t>)/τ)</m:t>
                  </m:r>
                  <m:ctrlPr>
                    <w:rPr>
                      <w:rFonts w:ascii="Cambria Math" w:hAnsi="Cambria Math" w:eastAsia="sans-serif"/>
                    </w:rPr>
                  </m:ctrlPr>
                </m:den>
              </m:f>
              <m:ctrlPr>
                <w:rPr>
                  <w:rFonts w:ascii="Cambria Math" w:hAnsi="Cambria Math" w:eastAsia="sans-serif"/>
                  <w:i/>
                </w:rPr>
              </m:ctrlPr>
            </m:e>
          </m:func>
        </m:oMath>
      </m:oMathPara>
    </w:p>
    <w:p w14:paraId="4C772489">
      <w:pPr>
        <w:ind w:firstLine="480"/>
      </w:pPr>
      <w:r>
        <w:rPr>
          <w:rFonts w:hint="eastAsia"/>
        </w:rPr>
        <w:t>其中，</w:t>
      </w:r>
      <m:oMath>
        <m:sSub>
          <m:sSubPr>
            <m:ctrlPr>
              <w:rPr>
                <w:rFonts w:ascii="Cambria Math" w:hAnsi="Cambria Math"/>
              </w:rPr>
            </m:ctrlPr>
          </m:sSubPr>
          <m:e>
            <m:r>
              <m:rPr/>
              <w:rPr>
                <w:rFonts w:ascii="Cambria Math"/>
              </w:rPr>
              <m:t>z</m:t>
            </m:r>
            <m:ctrlPr>
              <w:rPr>
                <w:rFonts w:ascii="Cambria Math" w:hAnsi="Cambria Math"/>
              </w:rPr>
            </m:ctrlPr>
          </m:e>
          <m:sub>
            <m:r>
              <m:rPr/>
              <w:rPr>
                <w:rFonts w:ascii="Cambria Math"/>
              </w:rPr>
              <m:t>i</m:t>
            </m:r>
            <m:ctrlPr>
              <w:rPr>
                <w:rFonts w:ascii="Cambria Math" w:hAnsi="Cambria Math"/>
              </w:rPr>
            </m:ctrlPr>
          </m:sub>
        </m:sSub>
        <m:r>
          <m:rPr/>
          <w:rPr>
            <w:rFonts w:ascii="Cambria Math"/>
          </w:rPr>
          <m:t>,</m:t>
        </m:r>
        <m:sSub>
          <m:sSubPr>
            <m:ctrlPr>
              <w:rPr>
                <w:rFonts w:ascii="Cambria Math" w:hAnsi="Cambria Math"/>
              </w:rPr>
            </m:ctrlPr>
          </m:sSubPr>
          <m:e>
            <m:r>
              <m:rPr/>
              <w:rPr>
                <w:rFonts w:ascii="Cambria Math"/>
              </w:rPr>
              <m:t>z</m:t>
            </m:r>
            <m:ctrlPr>
              <w:rPr>
                <w:rFonts w:ascii="Cambria Math" w:hAnsi="Cambria Math"/>
              </w:rPr>
            </m:ctrlPr>
          </m:e>
          <m:sub>
            <m:r>
              <m:rPr/>
              <w:rPr>
                <w:rFonts w:ascii="Cambria Math"/>
              </w:rPr>
              <m:t>j</m:t>
            </m:r>
            <m:ctrlPr>
              <w:rPr>
                <w:rFonts w:ascii="Cambria Math" w:hAnsi="Cambria Math"/>
              </w:rPr>
            </m:ctrlPr>
          </m:sub>
        </m:sSub>
      </m:oMath>
      <w:r>
        <w:rPr>
          <w:rFonts w:hint="eastAsia"/>
        </w:rPr>
        <w:t>为归一化后的特征向量，</w:t>
      </w:r>
      <m:oMath>
        <m:r>
          <m:rPr/>
          <w:rPr>
            <w:rFonts w:ascii="Cambria Math"/>
          </w:rPr>
          <m:t>sim(⋅,⋅)</m:t>
        </m:r>
      </m:oMath>
      <w:r>
        <w:rPr>
          <w:rFonts w:hint="eastAsia"/>
        </w:rPr>
        <w:t>表示余弦相似度，</w:t>
      </w:r>
      <m:oMath>
        <m:r>
          <m:rPr/>
          <w:rPr>
            <w:rFonts w:ascii="Cambria Math"/>
          </w:rPr>
          <m:t>τ</m:t>
        </m:r>
      </m:oMath>
      <w:r>
        <w:rPr>
          <w:rFonts w:hint="eastAsia"/>
        </w:rPr>
        <w:t>为温度系数，</w:t>
      </w:r>
      <m:oMath>
        <m:r>
          <m:rPr/>
          <w:rPr>
            <w:rFonts w:ascii="Cambria Math"/>
          </w:rPr>
          <m:t>B</m:t>
        </m:r>
      </m:oMath>
      <w:r>
        <w:rPr>
          <w:rFonts w:hint="eastAsia"/>
        </w:rPr>
        <w:t>为批次大小，分母项包含了批次内所有的负样本。然而，经典的NT-Xent通常基于双视图设定，如CLIP中的图像–文本。当扩展至本文的四模态场景（Graph, SMILES, Fingerprint, Text）时，若采用全排列的“两两对齐”策略，将面临计算开销随模态数量呈平方级增长,噪声传播与训练不稳定性等问题。</w:t>
      </w:r>
    </w:p>
    <w:p w14:paraId="11C18952">
      <w:pPr>
        <w:ind w:firstLine="480"/>
      </w:pPr>
      <w:r>
        <w:rPr>
          <w:rFonts w:hint="eastAsia"/>
        </w:rPr>
        <w:t>在分子表征学习中，分子图直接刻画了原子间的连接拓扑，被认为是最具“物理真实性”和“结构稳定性”的主模态；相比之下，SMILES序列、分子指纹及文本描述均可视为该核心结构的辅助视图。</w:t>
      </w:r>
    </w:p>
    <w:p w14:paraId="48BDC855">
      <w:pPr>
        <w:ind w:firstLine="480"/>
      </w:pPr>
      <w:r>
        <w:rPr>
          <w:rFonts w:hint="eastAsia"/>
        </w:rPr>
        <w:t>基于此，本文采用Graph-centered对齐范式：仅计算分子图与其辅模态间的对齐损失，而不进行辅模态间的冗余对齐。设第</w:t>
      </w:r>
      <m:oMath>
        <m:r>
          <m:rPr/>
          <w:rPr>
            <w:rFonts w:ascii="Cambria Math"/>
          </w:rPr>
          <m:t>i</m:t>
        </m:r>
      </m:oMath>
      <w:r>
        <w:rPr>
          <w:rFonts w:hint="eastAsia"/>
        </w:rPr>
        <w:t>个分子样本在模态</w:t>
      </w:r>
      <m:oMath>
        <m:r>
          <m:rPr/>
          <w:rPr>
            <w:rFonts w:ascii="Cambria Math"/>
          </w:rPr>
          <m:t>m∈{S,F,T}</m:t>
        </m:r>
      </m:oMath>
      <w:r>
        <w:rPr>
          <w:rFonts w:hint="eastAsia"/>
        </w:rPr>
        <w:t>下的表示为</w:t>
      </w:r>
      <m:oMath>
        <m:sSubSup>
          <m:sSubSupPr>
            <m:ctrlPr>
              <w:rPr>
                <w:rFonts w:ascii="Cambria Math" w:hAnsi="Cambria Math"/>
              </w:rPr>
            </m:ctrlPr>
          </m:sSubSupPr>
          <m:e>
            <m:r>
              <m:rPr/>
              <w:rPr>
                <w:rFonts w:ascii="Cambria Math"/>
              </w:rPr>
              <m:t>z</m:t>
            </m:r>
            <m:ctrlPr>
              <w:rPr>
                <w:rFonts w:ascii="Cambria Math" w:hAnsi="Cambria Math"/>
              </w:rPr>
            </m:ctrlPr>
          </m:e>
          <m:sub>
            <m:r>
              <m:rPr/>
              <w:rPr>
                <w:rFonts w:ascii="Cambria Math"/>
              </w:rPr>
              <m:t>i</m:t>
            </m:r>
            <m:ctrlPr>
              <w:rPr>
                <w:rFonts w:ascii="Cambria Math" w:hAnsi="Cambria Math"/>
              </w:rPr>
            </m:ctrlPr>
          </m:sub>
          <m:sup>
            <m:r>
              <m:rPr/>
              <w:rPr>
                <w:rFonts w:ascii="Cambria Math"/>
              </w:rPr>
              <m:t>(m)</m:t>
            </m:r>
            <m:ctrlPr>
              <w:rPr>
                <w:rFonts w:ascii="Cambria Math" w:hAnsi="Cambria Math"/>
              </w:rPr>
            </m:ctrlPr>
          </m:sup>
        </m:sSubSup>
      </m:oMath>
      <w:r>
        <w:rPr>
          <w:rFonts w:hint="eastAsia"/>
        </w:rPr>
        <w:t>，Graph模态表示为</w:t>
      </w:r>
      <m:oMath>
        <m:sSubSup>
          <m:sSubSupPr>
            <m:ctrlPr>
              <w:rPr>
                <w:rFonts w:ascii="Cambria Math" w:hAnsi="Cambria Math"/>
              </w:rPr>
            </m:ctrlPr>
          </m:sSubSupPr>
          <m:e>
            <m:r>
              <m:rPr/>
              <w:rPr>
                <w:rFonts w:ascii="Cambria Math"/>
              </w:rPr>
              <m:t>z</m:t>
            </m:r>
            <m:ctrlPr>
              <w:rPr>
                <w:rFonts w:ascii="Cambria Math" w:hAnsi="Cambria Math"/>
              </w:rPr>
            </m:ctrlPr>
          </m:e>
          <m:sub>
            <m:r>
              <m:rPr/>
              <w:rPr>
                <w:rFonts w:ascii="Cambria Math"/>
              </w:rPr>
              <m:t>i</m:t>
            </m:r>
            <m:ctrlPr>
              <w:rPr>
                <w:rFonts w:ascii="Cambria Math" w:hAnsi="Cambria Math"/>
              </w:rPr>
            </m:ctrlPr>
          </m:sub>
          <m:sup>
            <m:r>
              <m:rPr/>
              <w:rPr>
                <w:rFonts w:ascii="Cambria Math"/>
              </w:rPr>
              <m:t>(G)</m:t>
            </m:r>
            <m:ctrlPr>
              <w:rPr>
                <w:rFonts w:ascii="Cambria Math" w:hAnsi="Cambria Math"/>
              </w:rPr>
            </m:ctrlPr>
          </m:sup>
        </m:sSubSup>
      </m:oMath>
      <w:r>
        <w:rPr>
          <w:rFonts w:hint="eastAsia"/>
        </w:rPr>
        <w:t>。为了确保对齐的对称性，本文定义双向对比损失</w:t>
      </w:r>
      <m:oMath>
        <m:sSub>
          <m:sSubPr>
            <m:ctrlPr>
              <w:rPr>
                <w:rFonts w:ascii="Cambria Math" w:hAnsi="Cambria Math"/>
              </w:rPr>
            </m:ctrlPr>
          </m:sSubPr>
          <m:e>
            <m:r>
              <m:rPr>
                <m:scr m:val="script"/>
              </m:rPr>
              <w:rPr>
                <w:rFonts w:ascii="Cambria Math"/>
              </w:rPr>
              <m:t>ℒ</m:t>
            </m:r>
            <m:ctrlPr>
              <w:rPr>
                <w:rFonts w:ascii="Cambria Math" w:hAnsi="Cambria Math"/>
              </w:rPr>
            </m:ctrlPr>
          </m:e>
          <m:sub>
            <m:r>
              <m:rPr/>
              <w:rPr>
                <w:rFonts w:ascii="Cambria Math"/>
              </w:rPr>
              <m:t>G,m</m:t>
            </m:r>
            <m:ctrlPr>
              <w:rPr>
                <w:rFonts w:ascii="Cambria Math" w:hAnsi="Cambria Math"/>
              </w:rPr>
            </m:ctrlPr>
          </m:sub>
        </m:sSub>
      </m:oMath>
      <w:r>
        <w:rPr>
          <w:rFonts w:hint="eastAsia"/>
        </w:rPr>
        <w:t>为：</w:t>
      </w:r>
    </w:p>
    <w:p w14:paraId="33BB51E7">
      <w:pPr>
        <w:widowControl/>
        <w:spacing w:line="14" w:lineRule="atLeast"/>
        <w:ind w:firstLine="480"/>
        <w:jc w:val="left"/>
      </w:pPr>
      <m:oMathPara>
        <m:oMath>
          <m:sSub>
            <m:sSubPr>
              <m:ctrlPr>
                <w:rPr>
                  <w:rFonts w:ascii="Cambria Math" w:hAnsi="Cambria Math" w:eastAsia="sans-serif"/>
                </w:rPr>
              </m:ctrlPr>
            </m:sSubPr>
            <m:e>
              <m:r>
                <m:rPr>
                  <m:scr m:val="script"/>
                </m:rPr>
                <w:rPr>
                  <w:rFonts w:ascii="Cambria Math" w:hAnsi="Cambria Math" w:eastAsia="MS Mincho"/>
                </w:rPr>
                <m:t>ℒ</m:t>
              </m:r>
              <m:ctrlPr>
                <w:rPr>
                  <w:rFonts w:ascii="Cambria Math" w:hAnsi="Cambria Math" w:eastAsia="sans-serif"/>
                </w:rPr>
              </m:ctrlPr>
            </m:e>
            <m:sub>
              <m:r>
                <m:rPr/>
                <w:rPr>
                  <w:rFonts w:ascii="Cambria Math" w:hAnsi="Cambria Math" w:eastAsia="sans-serif"/>
                </w:rPr>
                <m:t>G,m</m:t>
              </m:r>
              <m:ctrlPr>
                <w:rPr>
                  <w:rFonts w:ascii="Cambria Math" w:hAnsi="Cambria Math" w:eastAsia="sans-serif"/>
                </w:rPr>
              </m:ctrlPr>
            </m:sub>
          </m:sSub>
          <m:r>
            <m:rPr/>
            <w:rPr>
              <w:rFonts w:ascii="Cambria Math" w:hAnsi="Cambria Math" w:eastAsia="sans-serif"/>
            </w:rPr>
            <m:t>=</m:t>
          </m:r>
          <m:f>
            <m:fPr>
              <m:ctrlPr>
                <w:rPr>
                  <w:rFonts w:ascii="Cambria Math" w:hAnsi="Cambria Math" w:eastAsia="sans-serif"/>
                  <w:i/>
                </w:rPr>
              </m:ctrlPr>
            </m:fPr>
            <m:num>
              <m:r>
                <m:rPr/>
                <w:rPr>
                  <w:rFonts w:ascii="Cambria Math" w:hAnsi="Cambria Math" w:eastAsia="sans-serif"/>
                </w:rPr>
                <m:t>1</m:t>
              </m:r>
              <m:ctrlPr>
                <w:rPr>
                  <w:rFonts w:ascii="Cambria Math" w:hAnsi="Cambria Math" w:eastAsia="sans-serif"/>
                </w:rPr>
              </m:ctrlPr>
            </m:num>
            <m:den>
              <m:r>
                <m:rPr/>
                <w:rPr>
                  <w:rFonts w:ascii="Cambria Math" w:hAnsi="Cambria Math" w:eastAsia="sans-serif"/>
                </w:rPr>
                <m:t>2</m:t>
              </m:r>
              <m:ctrlPr>
                <w:rPr>
                  <w:rFonts w:ascii="Cambria Math" w:hAnsi="Cambria Math" w:eastAsia="sans-serif"/>
                </w:rPr>
              </m:ctrlPr>
            </m:den>
          </m:f>
          <m:r>
            <m:rPr/>
            <w:rPr>
              <w:rFonts w:ascii="Cambria Math" w:hAnsi="Cambria Math" w:eastAsia="sans-serif"/>
            </w:rPr>
            <m:t>(</m:t>
          </m:r>
          <m:sSub>
            <m:sSubPr>
              <m:ctrlPr>
                <w:rPr>
                  <w:rFonts w:ascii="Cambria Math" w:hAnsi="Cambria Math" w:eastAsia="sans-serif"/>
                </w:rPr>
              </m:ctrlPr>
            </m:sSubPr>
            <m:e>
              <m:r>
                <m:rPr>
                  <m:scr m:val="script"/>
                </m:rPr>
                <w:rPr>
                  <w:rFonts w:ascii="Cambria Math" w:hAnsi="Cambria Math" w:eastAsia="MS Mincho"/>
                </w:rPr>
                <m:t>ℒ</m:t>
              </m:r>
              <m:ctrlPr>
                <w:rPr>
                  <w:rFonts w:ascii="Cambria Math" w:hAnsi="Cambria Math" w:eastAsia="sans-serif"/>
                </w:rPr>
              </m:ctrlPr>
            </m:e>
            <m:sub>
              <m:r>
                <m:rPr/>
                <w:rPr>
                  <w:rFonts w:ascii="Cambria Math" w:hAnsi="Cambria Math" w:eastAsia="sans-serif"/>
                </w:rPr>
                <m:t>G→m</m:t>
              </m:r>
              <m:ctrlPr>
                <w:rPr>
                  <w:rFonts w:ascii="Cambria Math" w:hAnsi="Cambria Math" w:eastAsia="sans-serif"/>
                </w:rPr>
              </m:ctrlPr>
            </m:sub>
          </m:sSub>
          <m:r>
            <m:rPr/>
            <w:rPr>
              <w:rFonts w:ascii="Cambria Math" w:hAnsi="Cambria Math" w:eastAsia="sans-serif"/>
            </w:rPr>
            <m:t>+</m:t>
          </m:r>
          <m:sSub>
            <m:sSubPr>
              <m:ctrlPr>
                <w:rPr>
                  <w:rFonts w:ascii="Cambria Math" w:hAnsi="Cambria Math" w:eastAsia="sans-serif"/>
                </w:rPr>
              </m:ctrlPr>
            </m:sSubPr>
            <m:e>
              <m:r>
                <m:rPr>
                  <m:scr m:val="script"/>
                </m:rPr>
                <w:rPr>
                  <w:rFonts w:ascii="Cambria Math" w:hAnsi="Cambria Math" w:eastAsia="MS Mincho"/>
                </w:rPr>
                <m:t>ℒ</m:t>
              </m:r>
              <m:ctrlPr>
                <w:rPr>
                  <w:rFonts w:ascii="Cambria Math" w:hAnsi="Cambria Math" w:eastAsia="sans-serif"/>
                </w:rPr>
              </m:ctrlPr>
            </m:e>
            <m:sub>
              <m:r>
                <m:rPr/>
                <w:rPr>
                  <w:rFonts w:ascii="Cambria Math" w:hAnsi="Cambria Math" w:eastAsia="sans-serif"/>
                </w:rPr>
                <m:t>m→G</m:t>
              </m:r>
              <m:ctrlPr>
                <w:rPr>
                  <w:rFonts w:ascii="Cambria Math" w:hAnsi="Cambria Math" w:eastAsia="sans-serif"/>
                </w:rPr>
              </m:ctrlPr>
            </m:sub>
          </m:sSub>
          <m:r>
            <m:rPr/>
            <w:rPr>
              <w:rFonts w:ascii="Cambria Math" w:hAnsi="Cambria Math" w:eastAsia="sans-serif"/>
            </w:rPr>
            <m:t>)</m:t>
          </m:r>
        </m:oMath>
      </m:oMathPara>
    </w:p>
    <w:p w14:paraId="3441C969">
      <w:pPr>
        <w:ind w:firstLine="480"/>
      </w:pPr>
      <w:r>
        <w:rPr>
          <w:rFonts w:hint="eastAsia"/>
        </w:rPr>
        <w:t>其中，从Graph到模态</w:t>
      </w:r>
      <m:oMath>
        <m:r>
          <m:rPr/>
          <w:rPr>
            <w:rFonts w:ascii="Cambria Math"/>
          </w:rPr>
          <m:t>m</m:t>
        </m:r>
      </m:oMath>
      <w:r>
        <w:rPr>
          <w:rFonts w:hint="eastAsia"/>
        </w:rPr>
        <w:t>的单向对比损失定义为：</w:t>
      </w:r>
    </w:p>
    <w:p w14:paraId="5AD8875A">
      <w:pPr>
        <w:widowControl/>
        <w:spacing w:line="14" w:lineRule="atLeast"/>
        <w:ind w:firstLine="480"/>
        <w:jc w:val="left"/>
      </w:pPr>
      <m:oMathPara>
        <m:oMath>
          <m:sSub>
            <m:sSubPr>
              <m:ctrlPr>
                <w:rPr>
                  <w:rFonts w:ascii="Cambria Math" w:hAnsi="Cambria Math" w:eastAsia="sans-serif"/>
                </w:rPr>
              </m:ctrlPr>
            </m:sSubPr>
            <m:e>
              <m:r>
                <m:rPr>
                  <m:scr m:val="script"/>
                </m:rPr>
                <w:rPr>
                  <w:rFonts w:ascii="Cambria Math" w:hAnsi="Cambria Math" w:eastAsia="MS Mincho"/>
                </w:rPr>
                <m:t>ℒ</m:t>
              </m:r>
              <m:ctrlPr>
                <w:rPr>
                  <w:rFonts w:ascii="Cambria Math" w:hAnsi="Cambria Math" w:eastAsia="sans-serif"/>
                </w:rPr>
              </m:ctrlPr>
            </m:e>
            <m:sub>
              <m:r>
                <m:rPr/>
                <w:rPr>
                  <w:rFonts w:ascii="Cambria Math" w:hAnsi="Cambria Math" w:eastAsia="sans-serif"/>
                </w:rPr>
                <m:t>G→m</m:t>
              </m:r>
              <m:ctrlPr>
                <w:rPr>
                  <w:rFonts w:ascii="Cambria Math" w:hAnsi="Cambria Math" w:eastAsia="sans-serif"/>
                </w:rPr>
              </m:ctrlPr>
            </m:sub>
          </m:sSub>
          <m:r>
            <m:rPr/>
            <w:rPr>
              <w:rFonts w:ascii="Cambria Math" w:hAnsi="Cambria Math" w:eastAsia="sans-serif"/>
            </w:rPr>
            <m:t>=−</m:t>
          </m:r>
          <m:f>
            <m:fPr>
              <m:ctrlPr>
                <w:rPr>
                  <w:rFonts w:ascii="Cambria Math" w:hAnsi="Cambria Math" w:eastAsia="sans-serif"/>
                  <w:i/>
                </w:rPr>
              </m:ctrlPr>
            </m:fPr>
            <m:num>
              <m:r>
                <m:rPr/>
                <w:rPr>
                  <w:rFonts w:ascii="Cambria Math" w:hAnsi="Cambria Math" w:eastAsia="sans-serif"/>
                </w:rPr>
                <m:t>1</m:t>
              </m:r>
              <m:ctrlPr>
                <w:rPr>
                  <w:rFonts w:ascii="Cambria Math" w:hAnsi="Cambria Math" w:eastAsia="sans-serif"/>
                </w:rPr>
              </m:ctrlPr>
            </m:num>
            <m:den>
              <m:r>
                <m:rPr/>
                <w:rPr>
                  <w:rFonts w:ascii="Cambria Math" w:hAnsi="Cambria Math" w:eastAsia="sans-serif"/>
                </w:rPr>
                <m:t>B</m:t>
              </m:r>
              <m:ctrlPr>
                <w:rPr>
                  <w:rFonts w:ascii="Cambria Math" w:hAnsi="Cambria Math" w:eastAsia="sans-serif"/>
                </w:rPr>
              </m:ctrlPr>
            </m:den>
          </m:f>
          <m:nary>
            <m:naryPr>
              <m:chr m:val="∑"/>
              <m:limLoc m:val="undOvr"/>
              <m:ctrlPr>
                <w:rPr>
                  <w:rFonts w:ascii="Cambria Math" w:hAnsi="Cambria Math" w:eastAsia="sans-serif"/>
                  <w:i/>
                </w:rPr>
              </m:ctrlPr>
            </m:naryPr>
            <m:sub>
              <m:r>
                <m:rPr/>
                <w:rPr>
                  <w:rFonts w:ascii="Cambria Math" w:hAnsi="Cambria Math" w:eastAsia="sans-serif"/>
                </w:rPr>
                <m:t>i=1</m:t>
              </m:r>
              <m:ctrlPr>
                <w:rPr>
                  <w:rFonts w:ascii="Cambria Math" w:hAnsi="Cambria Math" w:eastAsia="sans-serif"/>
                </w:rPr>
              </m:ctrlPr>
            </m:sub>
            <m:sup>
              <m:r>
                <m:rPr/>
                <w:rPr>
                  <w:rFonts w:ascii="Cambria Math" w:hAnsi="Cambria Math" w:eastAsia="sans-serif"/>
                </w:rPr>
                <m:t>B</m:t>
              </m:r>
              <m:ctrlPr>
                <w:rPr>
                  <w:rFonts w:ascii="Cambria Math" w:hAnsi="Cambria Math" w:eastAsia="sans-serif"/>
                </w:rPr>
              </m:ctrlPr>
            </m:sup>
            <m:e>
              <m:func>
                <m:funcPr>
                  <m:ctrlPr>
                    <w:rPr>
                      <w:rFonts w:ascii="Cambria Math" w:hAnsi="Cambria Math" w:eastAsia="sans-serif"/>
                    </w:rPr>
                  </m:ctrlPr>
                </m:funcPr>
                <m:fName>
                  <m:r>
                    <m:rPr>
                      <m:sty m:val="p"/>
                    </m:rPr>
                    <w:rPr>
                      <w:rFonts w:ascii="Cambria Math" w:hAnsi="Cambria Math" w:eastAsia="sans-serif"/>
                    </w:rPr>
                    <m:t>log</m:t>
                  </m:r>
                  <m:ctrlPr>
                    <w:rPr>
                      <w:rFonts w:ascii="Cambria Math" w:hAnsi="Cambria Math" w:eastAsia="sans-serif"/>
                    </w:rPr>
                  </m:ctrlPr>
                </m:fName>
                <m:e>
                  <m:f>
                    <m:fPr>
                      <m:ctrlPr>
                        <w:rPr>
                          <w:rFonts w:ascii="Cambria Math" w:hAnsi="Cambria Math" w:eastAsia="sans-serif"/>
                          <w:i/>
                        </w:rPr>
                      </m:ctrlPr>
                    </m:fPr>
                    <m:num>
                      <m:func>
                        <m:funcPr>
                          <m:ctrlPr>
                            <w:rPr>
                              <w:rFonts w:ascii="Cambria Math" w:hAnsi="Cambria Math" w:eastAsia="sans-serif"/>
                            </w:rPr>
                          </m:ctrlPr>
                        </m:funcPr>
                        <m:fName>
                          <m:r>
                            <m:rPr>
                              <m:sty m:val="p"/>
                            </m:rPr>
                            <w:rPr>
                              <w:rFonts w:ascii="Cambria Math" w:hAnsi="Cambria Math" w:eastAsia="sans-serif"/>
                            </w:rPr>
                            <m:t>exp</m:t>
                          </m:r>
                          <m:ctrlPr>
                            <w:rPr>
                              <w:rFonts w:ascii="Cambria Math" w:hAnsi="Cambria Math" w:eastAsia="sans-serif"/>
                            </w:rPr>
                          </m:ctrlPr>
                        </m:fName>
                        <m:e>
                          <m:r>
                            <m:rPr/>
                            <w:rPr>
                              <w:rFonts w:ascii="Cambria Math" w:hAnsi="Cambria Math" w:eastAsia="sans-serif"/>
                            </w:rPr>
                            <m:t>(</m:t>
                          </m:r>
                          <m:ctrlPr>
                            <w:rPr>
                              <w:rFonts w:ascii="Cambria Math" w:hAnsi="Cambria Math" w:eastAsia="sans-serif"/>
                            </w:rPr>
                          </m:ctrlPr>
                        </m:e>
                      </m:func>
                      <m:r>
                        <m:rPr/>
                        <w:rPr>
                          <w:rFonts w:ascii="Cambria Math" w:hAnsi="Cambria Math" w:eastAsia="sans-serif"/>
                        </w:rPr>
                        <m:t>sim(</m:t>
                      </m:r>
                      <m:sSubSup>
                        <m:sSubSupPr>
                          <m:ctrlPr>
                            <w:rPr>
                              <w:rFonts w:ascii="Cambria Math" w:hAnsi="Cambria Math" w:eastAsia="sans-serif"/>
                            </w:rPr>
                          </m:ctrlPr>
                        </m:sSubSupPr>
                        <m:e>
                          <m:r>
                            <m:rPr/>
                            <w:rPr>
                              <w:rFonts w:ascii="Cambria Math" w:hAnsi="Cambria Math" w:eastAsia="sans-serif"/>
                            </w:rPr>
                            <m:t>z</m:t>
                          </m:r>
                          <m:ctrlPr>
                            <w:rPr>
                              <w:rFonts w:ascii="Cambria Math" w:hAnsi="Cambria Math" w:eastAsia="sans-serif"/>
                            </w:rPr>
                          </m:ctrlPr>
                        </m:e>
                        <m:sub>
                          <m:r>
                            <m:rPr/>
                            <w:rPr>
                              <w:rFonts w:ascii="Cambria Math" w:hAnsi="Cambria Math" w:eastAsia="sans-serif"/>
                            </w:rPr>
                            <m:t>i</m:t>
                          </m:r>
                          <m:ctrlPr>
                            <w:rPr>
                              <w:rFonts w:ascii="Cambria Math" w:hAnsi="Cambria Math" w:eastAsia="sans-serif"/>
                            </w:rPr>
                          </m:ctrlPr>
                        </m:sub>
                        <m:sup>
                          <m:r>
                            <m:rPr/>
                            <w:rPr>
                              <w:rFonts w:ascii="Cambria Math" w:hAnsi="Cambria Math" w:eastAsia="sans-serif"/>
                            </w:rPr>
                            <m:t>(G)</m:t>
                          </m:r>
                          <m:ctrlPr>
                            <w:rPr>
                              <w:rFonts w:ascii="Cambria Math" w:hAnsi="Cambria Math" w:eastAsia="sans-serif"/>
                            </w:rPr>
                          </m:ctrlPr>
                        </m:sup>
                      </m:sSubSup>
                      <m:r>
                        <m:rPr/>
                        <w:rPr>
                          <w:rFonts w:ascii="Cambria Math" w:hAnsi="Cambria Math" w:eastAsia="sans-serif"/>
                        </w:rPr>
                        <m:t>,</m:t>
                      </m:r>
                      <m:sSubSup>
                        <m:sSubSupPr>
                          <m:ctrlPr>
                            <w:rPr>
                              <w:rFonts w:ascii="Cambria Math" w:hAnsi="Cambria Math" w:eastAsia="sans-serif"/>
                            </w:rPr>
                          </m:ctrlPr>
                        </m:sSubSupPr>
                        <m:e>
                          <m:r>
                            <m:rPr/>
                            <w:rPr>
                              <w:rFonts w:ascii="Cambria Math" w:hAnsi="Cambria Math" w:eastAsia="sans-serif"/>
                            </w:rPr>
                            <m:t>z</m:t>
                          </m:r>
                          <m:ctrlPr>
                            <w:rPr>
                              <w:rFonts w:ascii="Cambria Math" w:hAnsi="Cambria Math" w:eastAsia="sans-serif"/>
                            </w:rPr>
                          </m:ctrlPr>
                        </m:e>
                        <m:sub>
                          <m:r>
                            <m:rPr/>
                            <w:rPr>
                              <w:rFonts w:ascii="Cambria Math" w:hAnsi="Cambria Math" w:eastAsia="sans-serif"/>
                            </w:rPr>
                            <m:t>i</m:t>
                          </m:r>
                          <m:ctrlPr>
                            <w:rPr>
                              <w:rFonts w:ascii="Cambria Math" w:hAnsi="Cambria Math" w:eastAsia="sans-serif"/>
                            </w:rPr>
                          </m:ctrlPr>
                        </m:sub>
                        <m:sup>
                          <m:r>
                            <m:rPr/>
                            <w:rPr>
                              <w:rFonts w:ascii="Cambria Math" w:hAnsi="Cambria Math" w:eastAsia="sans-serif"/>
                            </w:rPr>
                            <m:t>(m)</m:t>
                          </m:r>
                          <m:ctrlPr>
                            <w:rPr>
                              <w:rFonts w:ascii="Cambria Math" w:hAnsi="Cambria Math" w:eastAsia="sans-serif"/>
                            </w:rPr>
                          </m:ctrlPr>
                        </m:sup>
                      </m:sSubSup>
                      <m:r>
                        <m:rPr/>
                        <w:rPr>
                          <w:rFonts w:ascii="Cambria Math" w:hAnsi="Cambria Math" w:eastAsia="sans-serif"/>
                        </w:rPr>
                        <m:t>)/τ)</m:t>
                      </m:r>
                      <m:ctrlPr>
                        <w:rPr>
                          <w:rFonts w:ascii="Cambria Math" w:hAnsi="Cambria Math" w:eastAsia="sans-serif"/>
                        </w:rPr>
                      </m:ctrlPr>
                    </m:num>
                    <m:den>
                      <m:nary>
                        <m:naryPr>
                          <m:chr m:val="∑"/>
                          <m:limLoc m:val="undOvr"/>
                          <m:ctrlPr>
                            <w:rPr>
                              <w:rFonts w:ascii="Cambria Math" w:hAnsi="Cambria Math" w:eastAsia="sans-serif"/>
                              <w:i/>
                            </w:rPr>
                          </m:ctrlPr>
                        </m:naryPr>
                        <m:sub>
                          <m:r>
                            <m:rPr/>
                            <w:rPr>
                              <w:rFonts w:ascii="Cambria Math" w:hAnsi="Cambria Math" w:eastAsia="sans-serif"/>
                            </w:rPr>
                            <m:t>j=1</m:t>
                          </m:r>
                          <m:ctrlPr>
                            <w:rPr>
                              <w:rFonts w:ascii="Cambria Math" w:hAnsi="Cambria Math" w:eastAsia="sans-serif"/>
                            </w:rPr>
                          </m:ctrlPr>
                        </m:sub>
                        <m:sup>
                          <m:r>
                            <m:rPr/>
                            <w:rPr>
                              <w:rFonts w:ascii="Cambria Math" w:hAnsi="Cambria Math" w:eastAsia="sans-serif"/>
                            </w:rPr>
                            <m:t>B</m:t>
                          </m:r>
                          <m:ctrlPr>
                            <w:rPr>
                              <w:rFonts w:ascii="Cambria Math" w:hAnsi="Cambria Math" w:eastAsia="sans-serif"/>
                            </w:rPr>
                          </m:ctrlPr>
                        </m:sup>
                        <m:e>
                          <m:func>
                            <m:funcPr>
                              <m:ctrlPr>
                                <w:rPr>
                                  <w:rFonts w:ascii="Cambria Math" w:hAnsi="Cambria Math" w:eastAsia="sans-serif"/>
                                </w:rPr>
                              </m:ctrlPr>
                            </m:funcPr>
                            <m:fName>
                              <m:r>
                                <m:rPr>
                                  <m:sty m:val="p"/>
                                </m:rPr>
                                <w:rPr>
                                  <w:rFonts w:ascii="Cambria Math" w:hAnsi="Cambria Math" w:eastAsia="sans-serif"/>
                                </w:rPr>
                                <m:t>exp</m:t>
                              </m:r>
                              <m:ctrlPr>
                                <w:rPr>
                                  <w:rFonts w:ascii="Cambria Math" w:hAnsi="Cambria Math" w:eastAsia="sans-serif"/>
                                </w:rPr>
                              </m:ctrlPr>
                            </m:fName>
                            <m:e>
                              <m:r>
                                <m:rPr/>
                                <w:rPr>
                                  <w:rFonts w:ascii="Cambria Math" w:hAnsi="Cambria Math" w:eastAsia="sans-serif"/>
                                </w:rPr>
                                <m:t>(</m:t>
                              </m:r>
                              <m:ctrlPr>
                                <w:rPr>
                                  <w:rFonts w:ascii="Cambria Math" w:hAnsi="Cambria Math" w:eastAsia="sans-serif"/>
                                </w:rPr>
                              </m:ctrlPr>
                            </m:e>
                          </m:func>
                          <m:ctrlPr>
                            <w:rPr>
                              <w:rFonts w:ascii="Cambria Math" w:hAnsi="Cambria Math" w:eastAsia="sans-serif"/>
                            </w:rPr>
                          </m:ctrlPr>
                        </m:e>
                      </m:nary>
                      <m:r>
                        <m:rPr/>
                        <w:rPr>
                          <w:rFonts w:ascii="Cambria Math" w:hAnsi="Cambria Math" w:eastAsia="sans-serif"/>
                        </w:rPr>
                        <m:t>sim(</m:t>
                      </m:r>
                      <m:sSubSup>
                        <m:sSubSupPr>
                          <m:ctrlPr>
                            <w:rPr>
                              <w:rFonts w:ascii="Cambria Math" w:hAnsi="Cambria Math" w:eastAsia="sans-serif"/>
                            </w:rPr>
                          </m:ctrlPr>
                        </m:sSubSupPr>
                        <m:e>
                          <m:r>
                            <m:rPr/>
                            <w:rPr>
                              <w:rFonts w:ascii="Cambria Math" w:hAnsi="Cambria Math" w:eastAsia="sans-serif"/>
                            </w:rPr>
                            <m:t>z</m:t>
                          </m:r>
                          <m:ctrlPr>
                            <w:rPr>
                              <w:rFonts w:ascii="Cambria Math" w:hAnsi="Cambria Math" w:eastAsia="sans-serif"/>
                            </w:rPr>
                          </m:ctrlPr>
                        </m:e>
                        <m:sub>
                          <m:r>
                            <m:rPr/>
                            <w:rPr>
                              <w:rFonts w:ascii="Cambria Math" w:hAnsi="Cambria Math" w:eastAsia="sans-serif"/>
                            </w:rPr>
                            <m:t>i</m:t>
                          </m:r>
                          <m:ctrlPr>
                            <w:rPr>
                              <w:rFonts w:ascii="Cambria Math" w:hAnsi="Cambria Math" w:eastAsia="sans-serif"/>
                            </w:rPr>
                          </m:ctrlPr>
                        </m:sub>
                        <m:sup>
                          <m:r>
                            <m:rPr/>
                            <w:rPr>
                              <w:rFonts w:ascii="Cambria Math" w:hAnsi="Cambria Math" w:eastAsia="sans-serif"/>
                            </w:rPr>
                            <m:t>(G)</m:t>
                          </m:r>
                          <m:ctrlPr>
                            <w:rPr>
                              <w:rFonts w:ascii="Cambria Math" w:hAnsi="Cambria Math" w:eastAsia="sans-serif"/>
                            </w:rPr>
                          </m:ctrlPr>
                        </m:sup>
                      </m:sSubSup>
                      <m:r>
                        <m:rPr/>
                        <w:rPr>
                          <w:rFonts w:ascii="Cambria Math" w:hAnsi="Cambria Math" w:eastAsia="sans-serif"/>
                        </w:rPr>
                        <m:t>,</m:t>
                      </m:r>
                      <m:sSubSup>
                        <m:sSubSupPr>
                          <m:ctrlPr>
                            <w:rPr>
                              <w:rFonts w:ascii="Cambria Math" w:hAnsi="Cambria Math" w:eastAsia="sans-serif"/>
                            </w:rPr>
                          </m:ctrlPr>
                        </m:sSubSupPr>
                        <m:e>
                          <m:r>
                            <m:rPr/>
                            <w:rPr>
                              <w:rFonts w:ascii="Cambria Math" w:hAnsi="Cambria Math" w:eastAsia="sans-serif"/>
                            </w:rPr>
                            <m:t>z</m:t>
                          </m:r>
                          <m:ctrlPr>
                            <w:rPr>
                              <w:rFonts w:ascii="Cambria Math" w:hAnsi="Cambria Math" w:eastAsia="sans-serif"/>
                            </w:rPr>
                          </m:ctrlPr>
                        </m:e>
                        <m:sub>
                          <m:r>
                            <m:rPr/>
                            <w:rPr>
                              <w:rFonts w:ascii="Cambria Math" w:hAnsi="Cambria Math" w:eastAsia="sans-serif"/>
                            </w:rPr>
                            <m:t>j</m:t>
                          </m:r>
                          <m:ctrlPr>
                            <w:rPr>
                              <w:rFonts w:ascii="Cambria Math" w:hAnsi="Cambria Math" w:eastAsia="sans-serif"/>
                            </w:rPr>
                          </m:ctrlPr>
                        </m:sub>
                        <m:sup>
                          <m:r>
                            <m:rPr/>
                            <w:rPr>
                              <w:rFonts w:ascii="Cambria Math" w:hAnsi="Cambria Math" w:eastAsia="sans-serif"/>
                            </w:rPr>
                            <m:t>(m)</m:t>
                          </m:r>
                          <m:ctrlPr>
                            <w:rPr>
                              <w:rFonts w:ascii="Cambria Math" w:hAnsi="Cambria Math" w:eastAsia="sans-serif"/>
                            </w:rPr>
                          </m:ctrlPr>
                        </m:sup>
                      </m:sSubSup>
                      <m:r>
                        <m:rPr/>
                        <w:rPr>
                          <w:rFonts w:ascii="Cambria Math" w:hAnsi="Cambria Math" w:eastAsia="sans-serif"/>
                        </w:rPr>
                        <m:t>)/τ)</m:t>
                      </m:r>
                      <m:ctrlPr>
                        <w:rPr>
                          <w:rFonts w:ascii="Cambria Math" w:hAnsi="Cambria Math" w:eastAsia="sans-serif"/>
                        </w:rPr>
                      </m:ctrlPr>
                    </m:den>
                  </m:f>
                  <m:ctrlPr>
                    <w:rPr>
                      <w:rFonts w:ascii="Cambria Math" w:hAnsi="Cambria Math" w:eastAsia="sans-serif"/>
                      <w:i/>
                    </w:rPr>
                  </m:ctrlPr>
                </m:e>
              </m:func>
              <m:ctrlPr>
                <w:rPr>
                  <w:rFonts w:ascii="Cambria Math" w:hAnsi="Cambria Math" w:eastAsia="sans-serif"/>
                </w:rPr>
              </m:ctrlPr>
            </m:e>
          </m:nary>
        </m:oMath>
      </m:oMathPara>
    </w:p>
    <w:p w14:paraId="3FCD691A">
      <w:pPr>
        <w:ind w:firstLine="480"/>
      </w:pPr>
      <w:r>
        <w:rPr>
          <w:rFonts w:hint="eastAsia"/>
        </w:rPr>
        <w:t>在联合优化三个对齐任务</w:t>
      </w:r>
      <m:oMath>
        <m:r>
          <m:rPr>
            <m:sty m:val="p"/>
          </m:rPr>
          <w:rPr>
            <w:rFonts w:ascii="Cambria Math"/>
          </w:rPr>
          <m:t>（</m:t>
        </m:r>
        <m:r>
          <m:rPr/>
          <w:rPr>
            <w:rFonts w:ascii="Cambria Math"/>
          </w:rPr>
          <m:t>G↔S</m:t>
        </m:r>
        <m:r>
          <m:rPr>
            <m:sty m:val="p"/>
          </m:rPr>
          <w:rPr>
            <w:rFonts w:ascii="Cambria Math"/>
          </w:rPr>
          <m:t>，</m:t>
        </m:r>
        <m:r>
          <m:rPr/>
          <w:rPr>
            <w:rFonts w:ascii="Cambria Math"/>
          </w:rPr>
          <m:t>G↔F</m:t>
        </m:r>
        <m:r>
          <m:rPr>
            <m:sty m:val="p"/>
          </m:rPr>
          <w:rPr>
            <w:rFonts w:ascii="Cambria Math"/>
          </w:rPr>
          <m:t>，</m:t>
        </m:r>
        <m:r>
          <m:rPr/>
          <w:rPr>
            <w:rFonts w:ascii="Cambria Math"/>
          </w:rPr>
          <m:t>G↔T</m:t>
        </m:r>
        <m:r>
          <m:rPr>
            <m:sty m:val="p"/>
          </m:rPr>
          <w:rPr>
            <w:rFonts w:ascii="Cambria Math"/>
          </w:rPr>
          <m:t>）</m:t>
        </m:r>
      </m:oMath>
      <w:r>
        <w:rPr>
          <w:rFonts w:hint="eastAsia"/>
        </w:rPr>
        <w:t>时，由于各模态的信息熵与噪声水平存在显著差异，采用静态等权重加权（如</w:t>
      </w:r>
      <m:oMath>
        <m:r>
          <m:rPr/>
          <w:rPr>
            <w:rFonts w:ascii="Cambria Math"/>
          </w:rPr>
          <m:t>1:1:1</m:t>
        </m:r>
      </m:oMath>
      <w:r>
        <w:rPr>
          <w:rFonts w:hint="eastAsia"/>
        </w:rPr>
        <w:t>）往往难以达到最优收敛状态。特别是文本描述模态，由于LLM生成的自然语言具有更强的语义抽象性，其损失函数的量级与梯度方向可能与其他模态产生剧烈冲突。为此，本文借鉴同方差不确定性理论，通过为每个对齐任务引入可学习的噪声参数</w:t>
      </w:r>
      <m:oMath>
        <m:sSub>
          <m:sSubPr>
            <m:ctrlPr>
              <w:rPr>
                <w:rFonts w:ascii="Cambria Math" w:hAnsi="Cambria Math"/>
              </w:rPr>
            </m:ctrlPr>
          </m:sSubPr>
          <m:e>
            <m:r>
              <m:rPr/>
              <w:rPr>
                <w:rFonts w:ascii="Cambria Math"/>
              </w:rPr>
              <m:t>σ</m:t>
            </m:r>
            <m:ctrlPr>
              <w:rPr>
                <w:rFonts w:ascii="Cambria Math" w:hAnsi="Cambria Math"/>
              </w:rPr>
            </m:ctrlPr>
          </m:e>
          <m:sub>
            <m:r>
              <m:rPr/>
              <w:rPr>
                <w:rFonts w:ascii="Cambria Math"/>
              </w:rPr>
              <m:t>m</m:t>
            </m:r>
            <m:ctrlPr>
              <w:rPr>
                <w:rFonts w:ascii="Cambria Math" w:hAnsi="Cambria Math"/>
              </w:rPr>
            </m:ctrlPr>
          </m:sub>
        </m:sSub>
      </m:oMath>
      <w:r>
        <w:rPr>
          <w:rFonts w:hint="eastAsia"/>
        </w:rPr>
        <w:t>，构建自适应加权损失函数：</w:t>
      </w:r>
    </w:p>
    <w:p w14:paraId="4645E961">
      <w:pPr>
        <w:widowControl/>
        <w:spacing w:line="14" w:lineRule="atLeast"/>
        <w:ind w:firstLine="480"/>
        <w:jc w:val="left"/>
        <w:rPr>
          <w:rFonts w:hAnsi="Cambria Math" w:eastAsia="sans-serif"/>
        </w:rPr>
      </w:pPr>
      <m:oMathPara>
        <m:oMath>
          <m:sSub>
            <m:sSubPr>
              <m:ctrlPr>
                <w:rPr>
                  <w:rFonts w:ascii="Cambria Math" w:hAnsi="Cambria Math" w:eastAsia="sans-serif"/>
                </w:rPr>
              </m:ctrlPr>
            </m:sSubPr>
            <m:e>
              <m:r>
                <m:rPr>
                  <m:scr m:val="script"/>
                </m:rPr>
                <w:rPr>
                  <w:rFonts w:ascii="Cambria Math" w:hAnsi="Cambria Math" w:eastAsia="MS Mincho"/>
                </w:rPr>
                <m:t>ℒ</m:t>
              </m:r>
              <m:ctrlPr>
                <w:rPr>
                  <w:rFonts w:ascii="Cambria Math" w:hAnsi="Cambria Math" w:eastAsia="sans-serif"/>
                </w:rPr>
              </m:ctrlPr>
            </m:e>
            <m:sub>
              <m:r>
                <m:rPr/>
                <w:rPr>
                  <w:rFonts w:ascii="Cambria Math" w:hAnsi="Cambria Math" w:eastAsia="sans-serif"/>
                </w:rPr>
                <m:t>total</m:t>
              </m:r>
              <m:ctrlPr>
                <w:rPr>
                  <w:rFonts w:ascii="Cambria Math" w:hAnsi="Cambria Math" w:eastAsia="sans-serif"/>
                </w:rPr>
              </m:ctrlPr>
            </m:sub>
          </m:sSub>
          <m:r>
            <m:rPr/>
            <w:rPr>
              <w:rFonts w:ascii="Cambria Math" w:hAnsi="Cambria Math" w:eastAsia="sans-serif"/>
            </w:rPr>
            <m:t>=</m:t>
          </m:r>
          <m:nary>
            <m:naryPr>
              <m:chr m:val="∑"/>
              <m:limLoc m:val="undOvr"/>
              <m:supHide m:val="1"/>
              <m:ctrlPr>
                <w:rPr>
                  <w:rFonts w:ascii="Cambria Math" w:hAnsi="Cambria Math" w:eastAsia="sans-serif"/>
                  <w:i/>
                </w:rPr>
              </m:ctrlPr>
            </m:naryPr>
            <m:sub>
              <m:r>
                <m:rPr/>
                <w:rPr>
                  <w:rFonts w:ascii="Cambria Math" w:hAnsi="Cambria Math" w:eastAsia="sans-serif"/>
                </w:rPr>
                <m:t>m∈{S,F,T}</m:t>
              </m:r>
              <m:ctrlPr>
                <w:rPr>
                  <w:rFonts w:ascii="Cambria Math" w:hAnsi="Cambria Math" w:eastAsia="sans-serif"/>
                </w:rPr>
              </m:ctrlPr>
            </m:sub>
            <m:sup>
              <m:ctrlPr>
                <w:rPr>
                  <w:rFonts w:ascii="Cambria Math" w:hAnsi="Cambria Math" w:eastAsia="sans-serif"/>
                </w:rPr>
              </m:ctrlPr>
            </m:sup>
            <m:e>
              <m:d>
                <m:dPr>
                  <m:ctrlPr>
                    <w:rPr>
                      <w:rFonts w:ascii="Cambria Math" w:hAnsi="Cambria Math" w:eastAsia="sans-serif"/>
                      <w:i/>
                    </w:rPr>
                  </m:ctrlPr>
                </m:dPr>
                <m:e>
                  <m:f>
                    <m:fPr>
                      <m:ctrlPr>
                        <w:rPr>
                          <w:rFonts w:ascii="Cambria Math" w:hAnsi="Cambria Math" w:eastAsia="sans-serif"/>
                          <w:i/>
                        </w:rPr>
                      </m:ctrlPr>
                    </m:fPr>
                    <m:num>
                      <m:r>
                        <m:rPr/>
                        <w:rPr>
                          <w:rFonts w:ascii="Cambria Math" w:hAnsi="Cambria Math" w:eastAsia="sans-serif"/>
                        </w:rPr>
                        <m:t>1</m:t>
                      </m:r>
                      <m:ctrlPr>
                        <w:rPr>
                          <w:rFonts w:ascii="Cambria Math" w:hAnsi="Cambria Math" w:eastAsia="sans-serif"/>
                        </w:rPr>
                      </m:ctrlPr>
                    </m:num>
                    <m:den>
                      <m:r>
                        <m:rPr/>
                        <w:rPr>
                          <w:rFonts w:ascii="Cambria Math" w:hAnsi="Cambria Math" w:eastAsia="sans-serif"/>
                        </w:rPr>
                        <m:t>2</m:t>
                      </m:r>
                      <m:sSubSup>
                        <m:sSubSupPr>
                          <m:ctrlPr>
                            <w:rPr>
                              <w:rFonts w:ascii="Cambria Math" w:hAnsi="Cambria Math" w:eastAsia="sans-serif"/>
                            </w:rPr>
                          </m:ctrlPr>
                        </m:sSubSupPr>
                        <m:e>
                          <m:r>
                            <m:rPr/>
                            <w:rPr>
                              <w:rFonts w:ascii="Cambria Math" w:hAnsi="Cambria Math" w:eastAsia="sans-serif"/>
                            </w:rPr>
                            <m:t>σ</m:t>
                          </m:r>
                          <m:ctrlPr>
                            <w:rPr>
                              <w:rFonts w:ascii="Cambria Math" w:hAnsi="Cambria Math" w:eastAsia="sans-serif"/>
                            </w:rPr>
                          </m:ctrlPr>
                        </m:e>
                        <m:sub>
                          <m:r>
                            <m:rPr/>
                            <w:rPr>
                              <w:rFonts w:ascii="Cambria Math" w:hAnsi="Cambria Math" w:eastAsia="sans-serif"/>
                            </w:rPr>
                            <m:t>m</m:t>
                          </m:r>
                          <m:ctrlPr>
                            <w:rPr>
                              <w:rFonts w:ascii="Cambria Math" w:hAnsi="Cambria Math" w:eastAsia="sans-serif"/>
                            </w:rPr>
                          </m:ctrlPr>
                        </m:sub>
                        <m:sup>
                          <m:r>
                            <m:rPr/>
                            <w:rPr>
                              <w:rFonts w:ascii="Cambria Math" w:hAnsi="Cambria Math" w:eastAsia="sans-serif"/>
                            </w:rPr>
                            <m:t>2</m:t>
                          </m:r>
                          <m:ctrlPr>
                            <w:rPr>
                              <w:rFonts w:ascii="Cambria Math" w:hAnsi="Cambria Math" w:eastAsia="sans-serif"/>
                            </w:rPr>
                          </m:ctrlPr>
                        </m:sup>
                      </m:sSubSup>
                      <m:ctrlPr>
                        <w:rPr>
                          <w:rFonts w:ascii="Cambria Math" w:hAnsi="Cambria Math" w:eastAsia="sans-serif"/>
                        </w:rPr>
                      </m:ctrlPr>
                    </m:den>
                  </m:f>
                  <m:sSub>
                    <m:sSubPr>
                      <m:ctrlPr>
                        <w:rPr>
                          <w:rFonts w:ascii="Cambria Math" w:hAnsi="Cambria Math" w:eastAsia="sans-serif"/>
                        </w:rPr>
                      </m:ctrlPr>
                    </m:sSubPr>
                    <m:e>
                      <m:r>
                        <m:rPr>
                          <m:scr m:val="script"/>
                        </m:rPr>
                        <w:rPr>
                          <w:rFonts w:ascii="Cambria Math" w:hAnsi="Cambria Math" w:eastAsia="MS Mincho"/>
                        </w:rPr>
                        <m:t>ℒ</m:t>
                      </m:r>
                      <m:ctrlPr>
                        <w:rPr>
                          <w:rFonts w:ascii="Cambria Math" w:hAnsi="Cambria Math" w:eastAsia="sans-serif"/>
                        </w:rPr>
                      </m:ctrlPr>
                    </m:e>
                    <m:sub>
                      <m:r>
                        <m:rPr/>
                        <w:rPr>
                          <w:rFonts w:ascii="Cambria Math" w:hAnsi="Cambria Math" w:eastAsia="sans-serif"/>
                        </w:rPr>
                        <m:t>G,m</m:t>
                      </m:r>
                      <m:ctrlPr>
                        <w:rPr>
                          <w:rFonts w:ascii="Cambria Math" w:hAnsi="Cambria Math" w:eastAsia="sans-serif"/>
                        </w:rPr>
                      </m:ctrlPr>
                    </m:sub>
                  </m:sSub>
                  <m:r>
                    <m:rPr/>
                    <w:rPr>
                      <w:rFonts w:ascii="Cambria Math" w:hAnsi="Cambria Math" w:eastAsia="sans-serif"/>
                    </w:rPr>
                    <m:t>+</m:t>
                  </m:r>
                  <m:func>
                    <m:funcPr>
                      <m:ctrlPr>
                        <w:rPr>
                          <w:rFonts w:ascii="Cambria Math" w:hAnsi="Cambria Math" w:eastAsia="sans-serif"/>
                        </w:rPr>
                      </m:ctrlPr>
                    </m:funcPr>
                    <m:fName>
                      <m:r>
                        <m:rPr>
                          <m:sty m:val="p"/>
                        </m:rPr>
                        <w:rPr>
                          <w:rFonts w:ascii="Cambria Math" w:hAnsi="Cambria Math" w:eastAsia="sans-serif"/>
                        </w:rPr>
                        <m:t>log</m:t>
                      </m:r>
                      <m:ctrlPr>
                        <w:rPr>
                          <w:rFonts w:ascii="Cambria Math" w:hAnsi="Cambria Math" w:eastAsia="sans-serif"/>
                        </w:rPr>
                      </m:ctrlPr>
                    </m:fName>
                    <m:e>
                      <m:sSub>
                        <m:sSubPr>
                          <m:ctrlPr>
                            <w:rPr>
                              <w:rFonts w:ascii="Cambria Math" w:hAnsi="Cambria Math" w:eastAsia="sans-serif"/>
                            </w:rPr>
                          </m:ctrlPr>
                        </m:sSubPr>
                        <m:e>
                          <m:r>
                            <m:rPr/>
                            <w:rPr>
                              <w:rFonts w:ascii="Cambria Math" w:hAnsi="Cambria Math" w:eastAsia="sans-serif"/>
                            </w:rPr>
                            <m:t>σ</m:t>
                          </m:r>
                          <m:ctrlPr>
                            <w:rPr>
                              <w:rFonts w:ascii="Cambria Math" w:hAnsi="Cambria Math" w:eastAsia="sans-serif"/>
                            </w:rPr>
                          </m:ctrlPr>
                        </m:e>
                        <m:sub>
                          <m:r>
                            <m:rPr/>
                            <w:rPr>
                              <w:rFonts w:ascii="Cambria Math" w:hAnsi="Cambria Math" w:eastAsia="sans-serif"/>
                            </w:rPr>
                            <m:t>m</m:t>
                          </m:r>
                          <m:ctrlPr>
                            <w:rPr>
                              <w:rFonts w:ascii="Cambria Math" w:hAnsi="Cambria Math" w:eastAsia="sans-serif"/>
                            </w:rPr>
                          </m:ctrlPr>
                        </m:sub>
                      </m:sSub>
                      <m:ctrlPr>
                        <w:rPr>
                          <w:rFonts w:ascii="Cambria Math" w:hAnsi="Cambria Math" w:eastAsia="sans-serif"/>
                        </w:rPr>
                      </m:ctrlPr>
                    </m:e>
                  </m:func>
                  <m:ctrlPr>
                    <w:rPr>
                      <w:rFonts w:ascii="Cambria Math" w:hAnsi="Cambria Math" w:eastAsia="sans-serif"/>
                    </w:rPr>
                  </m:ctrlPr>
                </m:e>
              </m:d>
              <m:ctrlPr>
                <w:rPr>
                  <w:rFonts w:ascii="Cambria Math" w:hAnsi="Cambria Math" w:eastAsia="sans-serif"/>
                  <w:i/>
                </w:rPr>
              </m:ctrlPr>
            </m:e>
          </m:nary>
        </m:oMath>
      </m:oMathPara>
    </w:p>
    <w:p w14:paraId="03170D67">
      <w:pPr>
        <w:ind w:firstLine="480"/>
      </w:pPr>
      <w:r>
        <w:rPr>
          <w:rFonts w:hint="eastAsia"/>
        </w:rPr>
        <w:t>在该机制下：</w:t>
      </w:r>
    </w:p>
    <w:p w14:paraId="2669CFC2">
      <w:pPr>
        <w:ind w:firstLine="480"/>
      </w:pPr>
      <w:r>
        <w:rPr>
          <w:rFonts w:hint="eastAsia"/>
        </w:rPr>
        <w:t>自适应权重调节：</w:t>
      </w:r>
      <m:oMath>
        <m:f>
          <m:fPr>
            <m:ctrlPr>
              <w:rPr>
                <w:rFonts w:ascii="Cambria Math" w:hAnsi="Cambria Math"/>
              </w:rPr>
            </m:ctrlPr>
          </m:fPr>
          <m:num>
            <m:r>
              <m:rPr>
                <m:sty m:val="p"/>
              </m:rPr>
              <w:rPr>
                <w:rFonts w:ascii="Cambria Math" w:hAnsi="Cambria Math"/>
              </w:rPr>
              <m:t>1</m:t>
            </m:r>
            <m:ctrlPr>
              <w:rPr>
                <w:rFonts w:ascii="Cambria Math" w:hAnsi="Cambria Math"/>
              </w:rPr>
            </m:ctrlPr>
          </m:num>
          <m:den>
            <m:r>
              <m:rPr>
                <m:sty m:val="p"/>
              </m:rPr>
              <w:rPr>
                <w:rFonts w:ascii="Cambria Math" w:hAnsi="Cambria Math"/>
              </w:rPr>
              <m:t>2</m:t>
            </m:r>
            <m:sSubSup>
              <m:sSubSupPr>
                <m:ctrlPr>
                  <w:rPr>
                    <w:rFonts w:ascii="Cambria Math" w:hAnsi="Cambria Math"/>
                  </w:rPr>
                </m:ctrlPr>
              </m:sSubSupPr>
              <m:e>
                <m:r>
                  <m:rPr>
                    <m:sty m:val="p"/>
                  </m:rPr>
                  <w:rPr>
                    <w:rFonts w:ascii="Cambria Math" w:hAnsi="Cambria Math"/>
                  </w:rPr>
                  <m:t>σ</m:t>
                </m:r>
                <m:ctrlPr>
                  <w:rPr>
                    <w:rFonts w:ascii="Cambria Math" w:hAnsi="Cambria Math"/>
                  </w:rPr>
                </m:ctrlPr>
              </m:e>
              <m:sub>
                <m:r>
                  <m:rPr>
                    <m:sty m:val="p"/>
                  </m:rPr>
                  <w:rPr>
                    <w:rFonts w:ascii="Cambria Math" w:hAnsi="Cambria Math"/>
                  </w:rPr>
                  <m:t>m</m:t>
                </m:r>
                <m:ctrlPr>
                  <w:rPr>
                    <w:rFonts w:ascii="Cambria Math" w:hAnsi="Cambria Math"/>
                  </w:rPr>
                </m:ctrlPr>
              </m:sub>
              <m:sup>
                <m:r>
                  <m:rPr>
                    <m:sty m:val="p"/>
                  </m:rPr>
                  <w:rPr>
                    <w:rFonts w:ascii="Cambria Math" w:hAnsi="Cambria Math"/>
                  </w:rPr>
                  <m:t>2</m:t>
                </m:r>
                <m:ctrlPr>
                  <w:rPr>
                    <w:rFonts w:ascii="Cambria Math" w:hAnsi="Cambria Math"/>
                  </w:rPr>
                </m:ctrlPr>
              </m:sup>
            </m:sSubSup>
            <m:ctrlPr>
              <w:rPr>
                <w:rFonts w:ascii="Cambria Math" w:hAnsi="Cambria Math"/>
              </w:rPr>
            </m:ctrlPr>
          </m:den>
        </m:f>
      </m:oMath>
      <w:r>
        <w:rPr>
          <w:rFonts w:hint="eastAsia"/>
        </w:rPr>
        <w:t>项充当动态权重。当某一模态对齐任务表现出较高的不确定性或存在较大噪声时，模型会自动增大</w:t>
      </w:r>
      <m:oMath>
        <m:sSub>
          <m:sSubPr>
            <m:ctrlPr>
              <w:rPr>
                <w:rFonts w:ascii="Cambria Math" w:hAnsi="Cambria Math"/>
              </w:rPr>
            </m:ctrlPr>
          </m:sSubPr>
          <m:e>
            <m:r>
              <m:rPr>
                <m:sty m:val="p"/>
              </m:rPr>
              <w:rPr>
                <w:rFonts w:ascii="Cambria Math" w:hAnsi="Cambria Math"/>
              </w:rPr>
              <m:t>σ</m:t>
            </m:r>
            <m:ctrlPr>
              <w:rPr>
                <w:rFonts w:ascii="Cambria Math" w:hAnsi="Cambria Math"/>
              </w:rPr>
            </m:ctrlPr>
          </m:e>
          <m:sub>
            <m:r>
              <m:rPr>
                <m:sty m:val="p"/>
              </m:rPr>
              <w:rPr>
                <w:rFonts w:ascii="Cambria Math" w:hAnsi="Cambria Math"/>
              </w:rPr>
              <m:t>m</m:t>
            </m:r>
            <m:ctrlPr>
              <w:rPr>
                <w:rFonts w:ascii="Cambria Math" w:hAnsi="Cambria Math"/>
              </w:rPr>
            </m:ctrlPr>
          </m:sub>
        </m:sSub>
      </m:oMath>
      <w:r>
        <w:rPr>
          <w:rFonts w:hint="eastAsia"/>
        </w:rPr>
        <w:t>以降低该任务对总梯度的贡献。</w:t>
      </w:r>
    </w:p>
    <w:p w14:paraId="445406D1">
      <w:pPr>
        <w:ind w:firstLine="480"/>
      </w:pPr>
      <w:r>
        <w:rPr>
          <w:rFonts w:hint="eastAsia"/>
        </w:rPr>
        <w:t>正则化约束：</w:t>
      </w:r>
      <m:oMath>
        <m:func>
          <m:funcPr>
            <m:ctrlPr>
              <w:rPr>
                <w:rFonts w:ascii="Cambria Math" w:hAnsi="Cambria Math"/>
              </w:rPr>
            </m:ctrlPr>
          </m:funcPr>
          <m:fName>
            <m:r>
              <m:rPr>
                <m:sty m:val="p"/>
              </m:rPr>
              <w:rPr>
                <w:rFonts w:ascii="Cambria Math" w:hAnsi="Cambria Math"/>
              </w:rPr>
              <m:t>log</m:t>
            </m:r>
            <m:ctrlPr>
              <w:rPr>
                <w:rFonts w:ascii="Cambria Math" w:hAnsi="Cambria Math"/>
              </w:rPr>
            </m:ctrlPr>
          </m:fName>
          <m:e>
            <m:sSub>
              <m:sSubPr>
                <m:ctrlPr>
                  <w:rPr>
                    <w:rFonts w:ascii="Cambria Math" w:hAnsi="Cambria Math"/>
                  </w:rPr>
                </m:ctrlPr>
              </m:sSubPr>
              <m:e>
                <m:r>
                  <m:rPr>
                    <m:sty m:val="p"/>
                  </m:rPr>
                  <w:rPr>
                    <w:rFonts w:ascii="Cambria Math" w:hAnsi="Cambria Math"/>
                  </w:rPr>
                  <m:t>σ</m:t>
                </m:r>
                <m:ctrlPr>
                  <w:rPr>
                    <w:rFonts w:ascii="Cambria Math" w:hAnsi="Cambria Math"/>
                  </w:rPr>
                </m:ctrlPr>
              </m:e>
              <m:sub>
                <m:r>
                  <m:rPr>
                    <m:sty m:val="p"/>
                  </m:rPr>
                  <w:rPr>
                    <w:rFonts w:ascii="Cambria Math" w:hAnsi="Cambria Math"/>
                  </w:rPr>
                  <m:t>m</m:t>
                </m:r>
                <m:ctrlPr>
                  <w:rPr>
                    <w:rFonts w:ascii="Cambria Math" w:hAnsi="Cambria Math"/>
                  </w:rPr>
                </m:ctrlPr>
              </m:sub>
            </m:sSub>
            <m:ctrlPr>
              <w:rPr>
                <w:rFonts w:ascii="Cambria Math" w:hAnsi="Cambria Math"/>
              </w:rPr>
            </m:ctrlPr>
          </m:e>
        </m:func>
      </m:oMath>
      <w:r>
        <w:rPr>
          <w:rFonts w:hint="eastAsia"/>
        </w:rPr>
        <w:t>项作为正则化因子，防止</w:t>
      </w:r>
      <m:oMath>
        <m:sSub>
          <m:sSubPr>
            <m:ctrlPr>
              <w:rPr>
                <w:rFonts w:ascii="Cambria Math" w:hAnsi="Cambria Math"/>
              </w:rPr>
            </m:ctrlPr>
          </m:sSubPr>
          <m:e>
            <m:r>
              <m:rPr>
                <m:sty m:val="p"/>
              </m:rPr>
              <w:rPr>
                <w:rFonts w:ascii="Cambria Math" w:hAnsi="Cambria Math"/>
              </w:rPr>
              <m:t>σ</m:t>
            </m:r>
            <m:ctrlPr>
              <w:rPr>
                <w:rFonts w:ascii="Cambria Math" w:hAnsi="Cambria Math"/>
              </w:rPr>
            </m:ctrlPr>
          </m:e>
          <m:sub>
            <m:r>
              <m:rPr>
                <m:sty m:val="p"/>
              </m:rPr>
              <w:rPr>
                <w:rFonts w:ascii="Cambria Math" w:hAnsi="Cambria Math"/>
              </w:rPr>
              <m:t>m</m:t>
            </m:r>
            <m:ctrlPr>
              <w:rPr>
                <w:rFonts w:ascii="Cambria Math" w:hAnsi="Cambria Math"/>
              </w:rPr>
            </m:ctrlPr>
          </m:sub>
        </m:sSub>
      </m:oMath>
      <w:r>
        <w:rPr>
          <w:rFonts w:hint="eastAsia"/>
        </w:rPr>
        <w:t>无限增大导致权重坍塌，迫使模型在“降低噪声影响”与“维持任务增益”之间寻求平衡。</w:t>
      </w:r>
    </w:p>
    <w:p w14:paraId="66965963">
      <w:pPr>
        <w:ind w:firstLine="480"/>
      </w:pPr>
      <w:r>
        <w:rPr>
          <w:rFonts w:hint="eastAsia"/>
        </w:rPr>
        <w:t>通过这种方式，模型能够在预训练过程中自主识别各模态的可靠性，优先学习确定性较强的结构关联，例如图模态和SMILES模态，并平滑处理复杂语义对齐，例如图模态和文本模态，从而显著提升了多模态表征的稳健性与收敛效率。</w:t>
      </w:r>
    </w:p>
    <w:p w14:paraId="30F02686">
      <w:pPr>
        <w:pStyle w:val="4"/>
        <w:rPr>
          <w:rFonts w:hint="default"/>
        </w:rPr>
      </w:pPr>
      <w:r>
        <w:t>对比模型</w:t>
      </w:r>
    </w:p>
    <w:p w14:paraId="0802AA51">
      <w:pPr>
        <w:ind w:firstLine="480"/>
      </w:pPr>
      <w:r>
        <w:t>Mol2Vec：受 NLP 中的 Word2Vec 启发，该方法将分子结构拆分为若干子结构并将其视为“词语”。通过在大量分子数据上运行 Skip-gram 算法进行无监督训练，学习子结构的向量表示，最终通过聚合这些向量获得分子的整体表示。</w:t>
      </w:r>
    </w:p>
    <w:p w14:paraId="694C8B6A">
      <w:pPr>
        <w:ind w:firstLine="480"/>
      </w:pPr>
      <w:r>
        <w:t>N-Gram：一种基于分子拓扑特征的方法，将分子表示为由连续 $N$ 个化学键组成的路径集合。它不需要预先定义复杂的化学特征，具有良好的通用性和灵活性，能够从结构角度有效刻画分子的局部环境。</w:t>
      </w:r>
    </w:p>
    <w:p w14:paraId="388D3EDF">
      <w:pPr>
        <w:ind w:firstLine="480"/>
      </w:pPr>
      <w:r>
        <w:t>GIN：一种极具表达能力的图深度学习模型。其理论基础在于能够达到 Weisfeiler-Lehman图同构测试的辨别能力上限，通过对节点及其邻居特征的强有力聚合，有效区分不同的分子图结构。</w:t>
      </w:r>
    </w:p>
    <w:p w14:paraId="1DB1B0EE">
      <w:pPr>
        <w:ind w:firstLine="480"/>
      </w:pPr>
      <w:r>
        <w:t xml:space="preserve">AttentiveFP </w:t>
      </w:r>
      <w:r>
        <w:rPr>
          <w:rFonts w:hint="eastAsia"/>
        </w:rPr>
        <w:t>：</w:t>
      </w:r>
      <w:r>
        <w:t>是一种引入注意力机制的图神经网络模型。该方法通过注意力权重动态调整邻居节点在信息聚合过程中的重要性，使模型能够自动关注对分子性质预测更为关键的原子和化学键，从而提升模型的表达能力和预测性能。</w:t>
      </w:r>
    </w:p>
    <w:p w14:paraId="44DD4B9D">
      <w:pPr>
        <w:ind w:firstLine="480"/>
      </w:pPr>
      <w:r>
        <w:t>MPNN：一种通用的框架，核心在于将化学键（边）的信息纳入节点表示学习的过程中，通过多轮信息传递（更新原子特征。</w:t>
      </w:r>
    </w:p>
    <w:p w14:paraId="78AAA5DE">
      <w:pPr>
        <w:ind w:firstLine="480"/>
      </w:pPr>
      <w:r>
        <w:t>DMPNN：MPNN 的改进版本。它采用了定向信息传递机制，防止信息在传递过程中出现“回流”现象。同时结合了动态池化机制，根据具体任务自适应地聚合关键特征。</w:t>
      </w:r>
    </w:p>
    <w:p w14:paraId="45AA1BB3">
      <w:pPr>
        <w:ind w:firstLine="480"/>
      </w:pPr>
      <w:r>
        <w:t>GROVER</w:t>
      </w:r>
      <w:r>
        <w:rPr>
          <w:rFonts w:hint="eastAsia"/>
        </w:rPr>
        <w:t>：</w:t>
      </w:r>
      <w:r>
        <w:t>目前的先进模型之一。它结合了图卷积网络和 Transformer 的自注意力机制，能够同时提取分子的结构特征和属性特征。通过大规模梯度累积策略和精心设计的自监督任务，在大规模数据集上展现了极强的特征提取能力。</w:t>
      </w:r>
    </w:p>
    <w:p w14:paraId="29F58B27">
      <w:pPr>
        <w:ind w:firstLine="480"/>
      </w:pPr>
      <w:r>
        <w:t>SchNet：专门面向量子化学建模的深度学习方法。不同于传统的二维图模型，SchNet 重点建模原子的三维空间位置。它通过连续滤波卷积作用于原子间的欧几里得距离，从而模拟分子的电子结构和量子动力学相互作用，无需人工设计特征即可自动学习分子的电子特性。</w:t>
      </w:r>
    </w:p>
    <w:p w14:paraId="4BE82AF0">
      <w:pPr>
        <w:ind w:firstLine="480"/>
      </w:pPr>
      <w:r>
        <w:t>CMPNN</w:t>
      </w:r>
      <w:r>
        <w:rPr>
          <w:rFonts w:hint="eastAsia"/>
        </w:rPr>
        <w:t>：</w:t>
      </w:r>
      <w:r>
        <w:t>这是对传统消息传递神经网络（MPNN）的重要改进</w:t>
      </w:r>
      <w:r>
        <w:rPr>
          <w:rFonts w:hint="eastAsia"/>
        </w:rPr>
        <w:t>。</w:t>
      </w:r>
      <w:r>
        <w:t>它通过在原子和化学键之间引入显式的“通信”机制，增强了模型对局部和全局信息的捕捉能力</w:t>
      </w:r>
      <w:r>
        <w:rPr>
          <w:rFonts w:hint="eastAsia"/>
        </w:rPr>
        <w:t>。</w:t>
      </w:r>
    </w:p>
    <w:p w14:paraId="24C415E0">
      <w:pPr>
        <w:ind w:firstLine="480"/>
      </w:pPr>
      <w:r>
        <w:t>GraphMVP</w:t>
      </w:r>
      <w:r>
        <w:rPr>
          <w:rFonts w:hint="eastAsia"/>
        </w:rPr>
        <w:t>：</w:t>
      </w:r>
      <w:r>
        <w:t>一种先进的图自监督学习模型，旨在通过对分子的 2D 拓扑图和 3D 几何构象进行多视图对齐来学习表征 。它通过对比学习拉近同一分子的二维和三维表示，使模型具备对分子空间构象的感知能力 。</w:t>
      </w:r>
    </w:p>
    <w:p w14:paraId="1188004E">
      <w:pPr>
        <w:ind w:firstLine="480"/>
      </w:pPr>
      <w:r>
        <w:t>MoleculeST</w:t>
      </w:r>
      <w:r>
        <w:rPr>
          <w:rFonts w:hint="eastAsia"/>
        </w:rPr>
        <w:t>M：</w:t>
      </w:r>
      <w:r>
        <w:t>这是一种基于语言模型的多模态分子预训练框架 。它利用化学文本描述与分子结构之间的配对关系进行预训练，旨在将分子的化学结构映射至与其语义功能一致的向量空间 。</w:t>
      </w:r>
    </w:p>
    <w:p w14:paraId="29806038">
      <w:pPr>
        <w:ind w:firstLine="480"/>
      </w:pPr>
      <w:r>
        <w:t xml:space="preserve">MoMu </w:t>
      </w:r>
      <w:r>
        <w:rPr>
          <w:rFonts w:hint="eastAsia"/>
        </w:rPr>
        <w:t>：</w:t>
      </w:r>
      <w:r>
        <w:t>该模型专注于跨模态的图–文本对齐学习 。它通过构建大规模的分子图与对应的化学描述文本对，利用对比学习目标函数使模型能够同时从视觉（图结构）和语义（文本）两个维度理解分子性质 。</w:t>
      </w:r>
    </w:p>
    <w:p w14:paraId="3CF7FA71">
      <w:pPr>
        <w:ind w:firstLine="480"/>
      </w:pPr>
      <w:r>
        <w:t xml:space="preserve">KV-PLM </w:t>
      </w:r>
      <w:r>
        <w:rPr>
          <w:rFonts w:hint="eastAsia"/>
        </w:rPr>
        <w:t>：</w:t>
      </w:r>
      <w:r>
        <w:t>一种知识增强的预训练语言模型。它尝试在预训练过程中显式注入分子的理化性质知识或专家规则，以缩短分子的结构信息与下游性质预测任务之间的语义鸿沟</w:t>
      </w:r>
      <w:r>
        <w:rPr>
          <w:rFonts w:hint="eastAsia"/>
        </w:rPr>
        <w:t>。</w:t>
      </w:r>
    </w:p>
    <w:p w14:paraId="104FA070">
      <w:pPr>
        <w:pStyle w:val="3"/>
        <w:spacing w:beforeAutospacing="0" w:afterAutospacing="0"/>
        <w:ind w:left="567" w:hanging="567"/>
      </w:pPr>
      <w:r>
        <w:rPr>
          <w:rFonts w:hint="eastAsia"/>
        </w:rPr>
        <w:t>实验及结果分析</w:t>
      </w:r>
    </w:p>
    <w:p w14:paraId="59CAA4EE">
      <w:pPr>
        <w:pStyle w:val="4"/>
        <w:rPr>
          <w:rFonts w:hint="default"/>
        </w:rPr>
      </w:pPr>
      <w:r>
        <w:t>对比实验</w:t>
      </w:r>
    </w:p>
    <w:p w14:paraId="4E2619CC">
      <w:pPr>
        <w:ind w:firstLine="480"/>
      </w:pPr>
      <w:r>
        <w:rPr>
          <w:rFonts w:hint="eastAsia"/>
        </w:rPr>
        <w:t>针对 MoleculeNet 涵盖的 9 个分子性质预测基准数据集，本研究开展了多维度的系统性评估。在数据处理层面，全数遵循 MoleculeNet 推荐的标准化协议，即采用骨架分割（Scaffold Split）策略，将样本集按 8:1:1 的比例严格划分为训练集、验证集与测试集，以评估模型在非同源分子结构上的泛化能力。为消除随机性干扰，所有实验均在不同随机种子下重复进行多轮，最终汇报各项指标的均值及其标准差。</w:t>
      </w:r>
    </w:p>
    <w:tbl>
      <w:tblPr>
        <w:tblStyle w:val="18"/>
        <w:tblpPr w:leftFromText="180" w:rightFromText="180" w:vertAnchor="text" w:horzAnchor="page" w:tblpX="2200" w:tblpY="459"/>
        <w:tblOverlap w:val="never"/>
        <w:tblW w:w="7957" w:type="dxa"/>
        <w:tblInd w:w="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autofit"/>
        <w:tblCellMar>
          <w:top w:w="0" w:type="dxa"/>
          <w:left w:w="108" w:type="dxa"/>
          <w:bottom w:w="0" w:type="dxa"/>
          <w:right w:w="108" w:type="dxa"/>
        </w:tblCellMar>
      </w:tblPr>
      <w:tblGrid>
        <w:gridCol w:w="1550"/>
        <w:gridCol w:w="1162"/>
        <w:gridCol w:w="1162"/>
        <w:gridCol w:w="1162"/>
        <w:gridCol w:w="1162"/>
        <w:gridCol w:w="1162"/>
        <w:gridCol w:w="1162"/>
      </w:tblGrid>
      <w:tr w14:paraId="6587F8CE">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blHeader/>
        </w:trPr>
        <w:tc>
          <w:tcPr>
            <w:tcW w:w="1441" w:type="dxa"/>
            <w:tcBorders>
              <w:top w:val="single" w:color="000000" w:sz="12" w:space="0"/>
              <w:left w:val="nil"/>
              <w:bottom w:val="nil"/>
              <w:right w:val="nil"/>
            </w:tcBorders>
            <w:vAlign w:val="bottom"/>
          </w:tcPr>
          <w:p w14:paraId="26B8910F">
            <w:pPr>
              <w:snapToGrid w:val="0"/>
              <w:ind w:firstLine="0" w:firstLineChars="0"/>
              <w:jc w:val="center"/>
            </w:pPr>
            <w:r>
              <w:rPr>
                <w:rFonts w:hint="eastAsia"/>
              </w:rPr>
              <w:t>Datasets</w:t>
            </w:r>
          </w:p>
        </w:tc>
        <w:tc>
          <w:tcPr>
            <w:tcW w:w="1086" w:type="dxa"/>
            <w:tcBorders>
              <w:top w:val="single" w:color="000000" w:sz="12" w:space="0"/>
              <w:left w:val="nil"/>
              <w:bottom w:val="nil"/>
              <w:right w:val="nil"/>
            </w:tcBorders>
            <w:vAlign w:val="bottom"/>
          </w:tcPr>
          <w:p w14:paraId="11A1C026">
            <w:pPr>
              <w:snapToGrid w:val="0"/>
              <w:ind w:firstLine="0" w:firstLineChars="0"/>
              <w:jc w:val="center"/>
            </w:pPr>
            <w:r>
              <w:rPr>
                <w:rFonts w:hint="eastAsia"/>
              </w:rPr>
              <w:t>BACE</w:t>
            </w:r>
          </w:p>
        </w:tc>
        <w:tc>
          <w:tcPr>
            <w:tcW w:w="1086" w:type="dxa"/>
            <w:tcBorders>
              <w:top w:val="single" w:color="000000" w:sz="12" w:space="0"/>
              <w:left w:val="nil"/>
              <w:bottom w:val="nil"/>
              <w:right w:val="nil"/>
            </w:tcBorders>
            <w:vAlign w:val="bottom"/>
          </w:tcPr>
          <w:p w14:paraId="0555212A">
            <w:pPr>
              <w:snapToGrid w:val="0"/>
              <w:ind w:firstLine="0" w:firstLineChars="0"/>
              <w:jc w:val="center"/>
            </w:pPr>
            <w:r>
              <w:rPr>
                <w:rFonts w:hint="eastAsia"/>
              </w:rPr>
              <w:t>BBBP</w:t>
            </w:r>
          </w:p>
        </w:tc>
        <w:tc>
          <w:tcPr>
            <w:tcW w:w="1086" w:type="dxa"/>
            <w:tcBorders>
              <w:top w:val="single" w:color="000000" w:sz="12" w:space="0"/>
              <w:left w:val="nil"/>
              <w:bottom w:val="nil"/>
              <w:right w:val="nil"/>
            </w:tcBorders>
            <w:vAlign w:val="bottom"/>
          </w:tcPr>
          <w:p w14:paraId="2DE5F3F1">
            <w:pPr>
              <w:snapToGrid w:val="0"/>
              <w:ind w:firstLine="0" w:firstLineChars="0"/>
              <w:jc w:val="center"/>
            </w:pPr>
            <w:r>
              <w:rPr>
                <w:rFonts w:hint="eastAsia"/>
              </w:rPr>
              <w:t>ClinTox</w:t>
            </w:r>
          </w:p>
        </w:tc>
        <w:tc>
          <w:tcPr>
            <w:tcW w:w="1086" w:type="dxa"/>
            <w:tcBorders>
              <w:top w:val="single" w:color="000000" w:sz="12" w:space="0"/>
              <w:left w:val="nil"/>
              <w:bottom w:val="nil"/>
              <w:right w:val="nil"/>
            </w:tcBorders>
            <w:vAlign w:val="bottom"/>
          </w:tcPr>
          <w:p w14:paraId="69CC3A6B">
            <w:pPr>
              <w:snapToGrid w:val="0"/>
              <w:ind w:firstLine="0" w:firstLineChars="0"/>
              <w:jc w:val="center"/>
            </w:pPr>
            <w:r>
              <w:rPr>
                <w:rFonts w:hint="eastAsia"/>
              </w:rPr>
              <w:t>Tox21</w:t>
            </w:r>
          </w:p>
        </w:tc>
        <w:tc>
          <w:tcPr>
            <w:tcW w:w="1086" w:type="dxa"/>
            <w:tcBorders>
              <w:top w:val="single" w:color="000000" w:sz="12" w:space="0"/>
              <w:left w:val="nil"/>
              <w:bottom w:val="nil"/>
              <w:right w:val="nil"/>
            </w:tcBorders>
            <w:vAlign w:val="bottom"/>
          </w:tcPr>
          <w:p w14:paraId="5AE9FADA">
            <w:pPr>
              <w:snapToGrid w:val="0"/>
              <w:ind w:firstLine="0" w:firstLineChars="0"/>
              <w:jc w:val="center"/>
            </w:pPr>
            <w:r>
              <w:rPr>
                <w:rFonts w:hint="eastAsia"/>
              </w:rPr>
              <w:t>ToxCast</w:t>
            </w:r>
          </w:p>
        </w:tc>
        <w:tc>
          <w:tcPr>
            <w:tcW w:w="1086" w:type="dxa"/>
            <w:tcBorders>
              <w:top w:val="single" w:color="000000" w:sz="12" w:space="0"/>
              <w:left w:val="nil"/>
              <w:bottom w:val="nil"/>
              <w:right w:val="nil"/>
            </w:tcBorders>
            <w:vAlign w:val="bottom"/>
          </w:tcPr>
          <w:p w14:paraId="5D49712F">
            <w:pPr>
              <w:snapToGrid w:val="0"/>
              <w:ind w:firstLine="0" w:firstLineChars="0"/>
              <w:jc w:val="center"/>
            </w:pPr>
            <w:r>
              <w:rPr>
                <w:rFonts w:hint="eastAsia"/>
              </w:rPr>
              <w:t>SIDER</w:t>
            </w:r>
          </w:p>
        </w:tc>
      </w:tr>
      <w:tr w14:paraId="2E63EDFD">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blHeader/>
        </w:trPr>
        <w:tc>
          <w:tcPr>
            <w:tcW w:w="1441" w:type="dxa"/>
            <w:tcBorders>
              <w:top w:val="nil"/>
              <w:left w:val="nil"/>
              <w:bottom w:val="nil"/>
              <w:right w:val="nil"/>
            </w:tcBorders>
            <w:vAlign w:val="bottom"/>
          </w:tcPr>
          <w:p w14:paraId="2C60E3C8">
            <w:pPr>
              <w:snapToGrid w:val="0"/>
              <w:ind w:firstLine="0" w:firstLineChars="0"/>
              <w:jc w:val="center"/>
            </w:pPr>
            <w:r>
              <w:rPr>
                <w:rFonts w:hint="eastAsia"/>
              </w:rPr>
              <w:t># Molecules</w:t>
            </w:r>
          </w:p>
        </w:tc>
        <w:tc>
          <w:tcPr>
            <w:tcW w:w="1086" w:type="dxa"/>
            <w:tcBorders>
              <w:top w:val="nil"/>
              <w:left w:val="nil"/>
              <w:bottom w:val="nil"/>
              <w:right w:val="nil"/>
            </w:tcBorders>
            <w:vAlign w:val="bottom"/>
          </w:tcPr>
          <w:p w14:paraId="1C0F4D8B">
            <w:pPr>
              <w:snapToGrid w:val="0"/>
              <w:ind w:firstLine="0" w:firstLineChars="0"/>
              <w:jc w:val="center"/>
            </w:pPr>
            <w:r>
              <w:rPr>
                <w:rFonts w:hint="eastAsia"/>
              </w:rPr>
              <w:t>1513</w:t>
            </w:r>
          </w:p>
        </w:tc>
        <w:tc>
          <w:tcPr>
            <w:tcW w:w="1086" w:type="dxa"/>
            <w:tcBorders>
              <w:top w:val="nil"/>
              <w:left w:val="nil"/>
              <w:bottom w:val="nil"/>
              <w:right w:val="nil"/>
            </w:tcBorders>
            <w:vAlign w:val="bottom"/>
          </w:tcPr>
          <w:p w14:paraId="121E97D4">
            <w:pPr>
              <w:snapToGrid w:val="0"/>
              <w:ind w:firstLine="0" w:firstLineChars="0"/>
              <w:jc w:val="center"/>
            </w:pPr>
            <w:r>
              <w:rPr>
                <w:rFonts w:hint="eastAsia"/>
              </w:rPr>
              <w:t>2039</w:t>
            </w:r>
          </w:p>
        </w:tc>
        <w:tc>
          <w:tcPr>
            <w:tcW w:w="1086" w:type="dxa"/>
            <w:tcBorders>
              <w:top w:val="nil"/>
              <w:left w:val="nil"/>
              <w:bottom w:val="nil"/>
              <w:right w:val="nil"/>
            </w:tcBorders>
            <w:vAlign w:val="bottom"/>
          </w:tcPr>
          <w:p w14:paraId="3AB35AAF">
            <w:pPr>
              <w:snapToGrid w:val="0"/>
              <w:ind w:firstLine="0" w:firstLineChars="0"/>
              <w:jc w:val="center"/>
            </w:pPr>
            <w:r>
              <w:rPr>
                <w:rFonts w:hint="eastAsia"/>
              </w:rPr>
              <w:t>1478</w:t>
            </w:r>
          </w:p>
        </w:tc>
        <w:tc>
          <w:tcPr>
            <w:tcW w:w="1086" w:type="dxa"/>
            <w:tcBorders>
              <w:top w:val="nil"/>
              <w:left w:val="nil"/>
              <w:bottom w:val="nil"/>
              <w:right w:val="nil"/>
            </w:tcBorders>
            <w:vAlign w:val="bottom"/>
          </w:tcPr>
          <w:p w14:paraId="0DAACE09">
            <w:pPr>
              <w:snapToGrid w:val="0"/>
              <w:ind w:firstLine="0" w:firstLineChars="0"/>
              <w:jc w:val="center"/>
            </w:pPr>
            <w:r>
              <w:rPr>
                <w:rFonts w:hint="eastAsia"/>
              </w:rPr>
              <w:t>7831</w:t>
            </w:r>
          </w:p>
        </w:tc>
        <w:tc>
          <w:tcPr>
            <w:tcW w:w="1086" w:type="dxa"/>
            <w:tcBorders>
              <w:top w:val="nil"/>
              <w:left w:val="nil"/>
              <w:bottom w:val="nil"/>
              <w:right w:val="nil"/>
            </w:tcBorders>
            <w:vAlign w:val="bottom"/>
          </w:tcPr>
          <w:p w14:paraId="6CAED64E">
            <w:pPr>
              <w:snapToGrid w:val="0"/>
              <w:ind w:firstLine="0" w:firstLineChars="0"/>
              <w:jc w:val="center"/>
            </w:pPr>
            <w:r>
              <w:rPr>
                <w:rFonts w:hint="eastAsia"/>
              </w:rPr>
              <w:t>8575</w:t>
            </w:r>
          </w:p>
        </w:tc>
        <w:tc>
          <w:tcPr>
            <w:tcW w:w="1086" w:type="dxa"/>
            <w:tcBorders>
              <w:top w:val="nil"/>
              <w:left w:val="nil"/>
              <w:bottom w:val="nil"/>
              <w:right w:val="nil"/>
            </w:tcBorders>
            <w:vAlign w:val="bottom"/>
          </w:tcPr>
          <w:p w14:paraId="0A606088">
            <w:pPr>
              <w:snapToGrid w:val="0"/>
              <w:ind w:firstLine="0" w:firstLineChars="0"/>
              <w:jc w:val="center"/>
            </w:pPr>
            <w:r>
              <w:rPr>
                <w:rFonts w:hint="eastAsia"/>
              </w:rPr>
              <w:t>1472</w:t>
            </w:r>
          </w:p>
        </w:tc>
      </w:tr>
      <w:tr w14:paraId="30B5E129">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blHeader/>
        </w:trPr>
        <w:tc>
          <w:tcPr>
            <w:tcW w:w="1441" w:type="dxa"/>
            <w:tcBorders>
              <w:top w:val="nil"/>
              <w:left w:val="nil"/>
              <w:right w:val="nil"/>
            </w:tcBorders>
            <w:vAlign w:val="bottom"/>
          </w:tcPr>
          <w:p w14:paraId="4AADDFAC">
            <w:pPr>
              <w:snapToGrid w:val="0"/>
              <w:ind w:firstLine="0" w:firstLineChars="0"/>
              <w:jc w:val="center"/>
            </w:pPr>
            <w:r>
              <w:rPr>
                <w:rFonts w:hint="eastAsia"/>
              </w:rPr>
              <w:t># Tasks</w:t>
            </w:r>
          </w:p>
        </w:tc>
        <w:tc>
          <w:tcPr>
            <w:tcW w:w="1086" w:type="dxa"/>
            <w:tcBorders>
              <w:top w:val="nil"/>
              <w:left w:val="nil"/>
              <w:right w:val="nil"/>
            </w:tcBorders>
            <w:vAlign w:val="bottom"/>
          </w:tcPr>
          <w:p w14:paraId="0B6A9E62">
            <w:pPr>
              <w:snapToGrid w:val="0"/>
              <w:ind w:firstLine="0" w:firstLineChars="0"/>
              <w:jc w:val="center"/>
            </w:pPr>
            <w:r>
              <w:rPr>
                <w:rFonts w:hint="eastAsia"/>
              </w:rPr>
              <w:t>1</w:t>
            </w:r>
          </w:p>
        </w:tc>
        <w:tc>
          <w:tcPr>
            <w:tcW w:w="1086" w:type="dxa"/>
            <w:tcBorders>
              <w:top w:val="nil"/>
              <w:left w:val="nil"/>
              <w:right w:val="nil"/>
            </w:tcBorders>
            <w:vAlign w:val="bottom"/>
          </w:tcPr>
          <w:p w14:paraId="144AC15D">
            <w:pPr>
              <w:snapToGrid w:val="0"/>
              <w:ind w:firstLine="0" w:firstLineChars="0"/>
              <w:jc w:val="center"/>
            </w:pPr>
            <w:r>
              <w:rPr>
                <w:rFonts w:hint="eastAsia"/>
              </w:rPr>
              <w:t>1</w:t>
            </w:r>
          </w:p>
        </w:tc>
        <w:tc>
          <w:tcPr>
            <w:tcW w:w="1086" w:type="dxa"/>
            <w:tcBorders>
              <w:top w:val="nil"/>
              <w:left w:val="nil"/>
              <w:right w:val="nil"/>
            </w:tcBorders>
            <w:vAlign w:val="bottom"/>
          </w:tcPr>
          <w:p w14:paraId="12E8C343">
            <w:pPr>
              <w:snapToGrid w:val="0"/>
              <w:ind w:firstLine="0" w:firstLineChars="0"/>
              <w:jc w:val="center"/>
            </w:pPr>
            <w:r>
              <w:rPr>
                <w:rFonts w:hint="eastAsia"/>
              </w:rPr>
              <w:t>2</w:t>
            </w:r>
          </w:p>
        </w:tc>
        <w:tc>
          <w:tcPr>
            <w:tcW w:w="1086" w:type="dxa"/>
            <w:tcBorders>
              <w:top w:val="nil"/>
              <w:left w:val="nil"/>
              <w:right w:val="nil"/>
            </w:tcBorders>
            <w:vAlign w:val="bottom"/>
          </w:tcPr>
          <w:p w14:paraId="069796D8">
            <w:pPr>
              <w:snapToGrid w:val="0"/>
              <w:ind w:firstLine="0" w:firstLineChars="0"/>
              <w:jc w:val="center"/>
            </w:pPr>
            <w:r>
              <w:rPr>
                <w:rFonts w:hint="eastAsia"/>
              </w:rPr>
              <w:t>12</w:t>
            </w:r>
          </w:p>
        </w:tc>
        <w:tc>
          <w:tcPr>
            <w:tcW w:w="1086" w:type="dxa"/>
            <w:tcBorders>
              <w:top w:val="nil"/>
              <w:left w:val="nil"/>
              <w:right w:val="nil"/>
            </w:tcBorders>
            <w:vAlign w:val="bottom"/>
          </w:tcPr>
          <w:p w14:paraId="0082841C">
            <w:pPr>
              <w:snapToGrid w:val="0"/>
              <w:ind w:firstLine="0" w:firstLineChars="0"/>
              <w:jc w:val="center"/>
            </w:pPr>
            <w:r>
              <w:rPr>
                <w:rFonts w:hint="eastAsia"/>
              </w:rPr>
              <w:t>617</w:t>
            </w:r>
          </w:p>
        </w:tc>
        <w:tc>
          <w:tcPr>
            <w:tcW w:w="1086" w:type="dxa"/>
            <w:tcBorders>
              <w:top w:val="nil"/>
              <w:left w:val="nil"/>
              <w:right w:val="nil"/>
            </w:tcBorders>
            <w:vAlign w:val="bottom"/>
          </w:tcPr>
          <w:p w14:paraId="2A12DD05">
            <w:pPr>
              <w:snapToGrid w:val="0"/>
              <w:ind w:firstLine="0" w:firstLineChars="0"/>
              <w:jc w:val="center"/>
            </w:pPr>
            <w:r>
              <w:rPr>
                <w:rFonts w:hint="eastAsia"/>
              </w:rPr>
              <w:t>27</w:t>
            </w:r>
          </w:p>
        </w:tc>
      </w:tr>
      <w:tr w14:paraId="2E37BD7A">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blHeader/>
        </w:trPr>
        <w:tc>
          <w:tcPr>
            <w:tcW w:w="1441" w:type="dxa"/>
            <w:tcBorders>
              <w:left w:val="nil"/>
              <w:bottom w:val="nil"/>
              <w:right w:val="nil"/>
            </w:tcBorders>
            <w:vAlign w:val="bottom"/>
          </w:tcPr>
          <w:p w14:paraId="4C8BA6CA">
            <w:pPr>
              <w:snapToGrid w:val="0"/>
              <w:ind w:firstLine="0" w:firstLineChars="0"/>
              <w:jc w:val="center"/>
            </w:pPr>
            <w:r>
              <w:rPr>
                <w:rFonts w:hint="eastAsia"/>
              </w:rPr>
              <w:t>AttentiveFP</w:t>
            </w:r>
          </w:p>
        </w:tc>
        <w:tc>
          <w:tcPr>
            <w:tcW w:w="1086" w:type="dxa"/>
            <w:tcBorders>
              <w:left w:val="nil"/>
              <w:bottom w:val="nil"/>
              <w:right w:val="nil"/>
            </w:tcBorders>
            <w:vAlign w:val="bottom"/>
          </w:tcPr>
          <w:p w14:paraId="248A811E">
            <w:pPr>
              <w:snapToGrid w:val="0"/>
              <w:ind w:firstLine="0" w:firstLineChars="0"/>
              <w:jc w:val="center"/>
            </w:pPr>
            <w:r>
              <w:rPr>
                <w:rFonts w:hint="eastAsia"/>
              </w:rPr>
              <w:t>0.863</w:t>
            </w:r>
            <w:r>
              <w:rPr>
                <w:rFonts w:hint="eastAsia"/>
                <w:vertAlign w:val="subscript"/>
              </w:rPr>
              <w:t>(0.150)</w:t>
            </w:r>
          </w:p>
        </w:tc>
        <w:tc>
          <w:tcPr>
            <w:tcW w:w="1086" w:type="dxa"/>
            <w:tcBorders>
              <w:left w:val="nil"/>
              <w:bottom w:val="nil"/>
              <w:right w:val="nil"/>
            </w:tcBorders>
            <w:vAlign w:val="bottom"/>
          </w:tcPr>
          <w:p w14:paraId="70882314">
            <w:pPr>
              <w:snapToGrid w:val="0"/>
              <w:ind w:firstLine="0" w:firstLineChars="0"/>
              <w:jc w:val="center"/>
            </w:pPr>
            <w:r>
              <w:rPr>
                <w:rFonts w:hint="eastAsia"/>
              </w:rPr>
              <w:t>0.908</w:t>
            </w:r>
            <w:r>
              <w:rPr>
                <w:rFonts w:hint="eastAsia"/>
                <w:vertAlign w:val="subscript"/>
              </w:rPr>
              <w:t>(0.050)</w:t>
            </w:r>
          </w:p>
        </w:tc>
        <w:tc>
          <w:tcPr>
            <w:tcW w:w="1086" w:type="dxa"/>
            <w:tcBorders>
              <w:left w:val="nil"/>
              <w:bottom w:val="nil"/>
              <w:right w:val="nil"/>
            </w:tcBorders>
            <w:vAlign w:val="bottom"/>
          </w:tcPr>
          <w:p w14:paraId="31B6A589">
            <w:pPr>
              <w:snapToGrid w:val="0"/>
              <w:ind w:firstLine="0" w:firstLineChars="0"/>
              <w:jc w:val="center"/>
            </w:pPr>
            <w:r>
              <w:rPr>
                <w:rFonts w:hint="eastAsia"/>
              </w:rPr>
              <w:t>0.933</w:t>
            </w:r>
            <w:r>
              <w:rPr>
                <w:rFonts w:hint="eastAsia"/>
                <w:vertAlign w:val="subscript"/>
              </w:rPr>
              <w:t>(0.020)</w:t>
            </w:r>
          </w:p>
        </w:tc>
        <w:tc>
          <w:tcPr>
            <w:tcW w:w="1086" w:type="dxa"/>
            <w:tcBorders>
              <w:left w:val="nil"/>
              <w:bottom w:val="nil"/>
              <w:right w:val="nil"/>
            </w:tcBorders>
            <w:vAlign w:val="bottom"/>
          </w:tcPr>
          <w:p w14:paraId="46F94891">
            <w:pPr>
              <w:snapToGrid w:val="0"/>
              <w:ind w:firstLine="0" w:firstLineChars="0"/>
              <w:jc w:val="center"/>
            </w:pPr>
            <w:r>
              <w:rPr>
                <w:rFonts w:hint="eastAsia"/>
              </w:rPr>
              <w:t>0.807</w:t>
            </w:r>
            <w:r>
              <w:rPr>
                <w:rFonts w:hint="eastAsia"/>
                <w:vertAlign w:val="subscript"/>
              </w:rPr>
              <w:t>(0.021)</w:t>
            </w:r>
          </w:p>
        </w:tc>
        <w:tc>
          <w:tcPr>
            <w:tcW w:w="1086" w:type="dxa"/>
            <w:tcBorders>
              <w:left w:val="nil"/>
              <w:bottom w:val="nil"/>
              <w:right w:val="nil"/>
            </w:tcBorders>
            <w:vAlign w:val="bottom"/>
          </w:tcPr>
          <w:p w14:paraId="6461CDAC">
            <w:pPr>
              <w:snapToGrid w:val="0"/>
              <w:ind w:firstLine="0" w:firstLineChars="0"/>
              <w:jc w:val="center"/>
            </w:pPr>
            <w:r>
              <w:rPr>
                <w:rFonts w:hint="eastAsia"/>
              </w:rPr>
              <w:t>0.637</w:t>
            </w:r>
            <w:r>
              <w:rPr>
                <w:rFonts w:hint="eastAsia"/>
                <w:vertAlign w:val="subscript"/>
              </w:rPr>
              <w:t>(0.103)</w:t>
            </w:r>
          </w:p>
        </w:tc>
        <w:tc>
          <w:tcPr>
            <w:tcW w:w="1086" w:type="dxa"/>
            <w:tcBorders>
              <w:left w:val="nil"/>
              <w:bottom w:val="nil"/>
              <w:right w:val="nil"/>
            </w:tcBorders>
            <w:vAlign w:val="bottom"/>
          </w:tcPr>
          <w:p w14:paraId="171C2803">
            <w:pPr>
              <w:snapToGrid w:val="0"/>
              <w:ind w:firstLine="0" w:firstLineChars="0"/>
              <w:jc w:val="center"/>
            </w:pPr>
            <w:r>
              <w:rPr>
                <w:rFonts w:hint="eastAsia"/>
              </w:rPr>
              <w:t>0.605</w:t>
            </w:r>
            <w:r>
              <w:rPr>
                <w:rFonts w:hint="eastAsia"/>
                <w:vertAlign w:val="subscript"/>
              </w:rPr>
              <w:t>(0.061)</w:t>
            </w:r>
          </w:p>
        </w:tc>
      </w:tr>
      <w:tr w14:paraId="309227CA">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blHeader/>
        </w:trPr>
        <w:tc>
          <w:tcPr>
            <w:tcW w:w="1441" w:type="dxa"/>
            <w:tcBorders>
              <w:top w:val="nil"/>
              <w:left w:val="nil"/>
              <w:bottom w:val="nil"/>
              <w:right w:val="nil"/>
            </w:tcBorders>
            <w:vAlign w:val="bottom"/>
          </w:tcPr>
          <w:p w14:paraId="2B6CC89D">
            <w:pPr>
              <w:snapToGrid w:val="0"/>
              <w:ind w:firstLine="0" w:firstLineChars="0"/>
              <w:jc w:val="center"/>
            </w:pPr>
            <w:r>
              <w:rPr>
                <w:rFonts w:hint="eastAsia"/>
              </w:rPr>
              <w:t>Mol2Vec</w:t>
            </w:r>
          </w:p>
        </w:tc>
        <w:tc>
          <w:tcPr>
            <w:tcW w:w="1086" w:type="dxa"/>
            <w:tcBorders>
              <w:top w:val="nil"/>
              <w:left w:val="nil"/>
              <w:bottom w:val="nil"/>
              <w:right w:val="nil"/>
            </w:tcBorders>
            <w:vAlign w:val="bottom"/>
          </w:tcPr>
          <w:p w14:paraId="0758F9F8">
            <w:pPr>
              <w:snapToGrid w:val="0"/>
              <w:ind w:firstLine="0" w:firstLineChars="0"/>
              <w:jc w:val="center"/>
            </w:pPr>
            <w:r>
              <w:rPr>
                <w:rFonts w:hint="eastAsia"/>
              </w:rPr>
              <w:t>0.802</w:t>
            </w:r>
            <w:r>
              <w:rPr>
                <w:rFonts w:hint="eastAsia"/>
                <w:vertAlign w:val="subscript"/>
              </w:rPr>
              <w:t>(0.008)</w:t>
            </w:r>
          </w:p>
        </w:tc>
        <w:tc>
          <w:tcPr>
            <w:tcW w:w="1086" w:type="dxa"/>
            <w:tcBorders>
              <w:top w:val="nil"/>
              <w:left w:val="nil"/>
              <w:bottom w:val="nil"/>
              <w:right w:val="nil"/>
            </w:tcBorders>
            <w:vAlign w:val="bottom"/>
          </w:tcPr>
          <w:p w14:paraId="7B7A44C8">
            <w:pPr>
              <w:snapToGrid w:val="0"/>
              <w:ind w:firstLine="0" w:firstLineChars="0"/>
              <w:jc w:val="center"/>
            </w:pPr>
            <w:r>
              <w:rPr>
                <w:rFonts w:hint="eastAsia"/>
              </w:rPr>
              <w:t>0.826</w:t>
            </w:r>
            <w:r>
              <w:rPr>
                <w:rFonts w:hint="eastAsia"/>
                <w:vertAlign w:val="subscript"/>
              </w:rPr>
              <w:t>(0.027)</w:t>
            </w:r>
          </w:p>
        </w:tc>
        <w:tc>
          <w:tcPr>
            <w:tcW w:w="1086" w:type="dxa"/>
            <w:tcBorders>
              <w:top w:val="nil"/>
              <w:left w:val="nil"/>
              <w:bottom w:val="nil"/>
              <w:right w:val="nil"/>
            </w:tcBorders>
            <w:vAlign w:val="bottom"/>
          </w:tcPr>
          <w:p w14:paraId="1CAD9482">
            <w:pPr>
              <w:snapToGrid w:val="0"/>
              <w:ind w:firstLine="0" w:firstLineChars="0"/>
              <w:jc w:val="center"/>
            </w:pPr>
            <w:r>
              <w:rPr>
                <w:rFonts w:hint="eastAsia"/>
              </w:rPr>
              <w:t>0.750</w:t>
            </w:r>
            <w:r>
              <w:rPr>
                <w:rFonts w:hint="eastAsia"/>
                <w:vertAlign w:val="subscript"/>
              </w:rPr>
              <w:t>(0.127)</w:t>
            </w:r>
          </w:p>
        </w:tc>
        <w:tc>
          <w:tcPr>
            <w:tcW w:w="1086" w:type="dxa"/>
            <w:tcBorders>
              <w:top w:val="nil"/>
              <w:left w:val="nil"/>
              <w:bottom w:val="nil"/>
              <w:right w:val="nil"/>
            </w:tcBorders>
            <w:vAlign w:val="bottom"/>
          </w:tcPr>
          <w:p w14:paraId="4A270FC6">
            <w:pPr>
              <w:snapToGrid w:val="0"/>
              <w:ind w:firstLine="0" w:firstLineChars="0"/>
              <w:jc w:val="center"/>
            </w:pPr>
            <w:r>
              <w:rPr>
                <w:rFonts w:hint="eastAsia"/>
              </w:rPr>
              <w:t>0.754</w:t>
            </w:r>
            <w:r>
              <w:rPr>
                <w:rFonts w:hint="eastAsia"/>
                <w:vertAlign w:val="subscript"/>
              </w:rPr>
              <w:t>(0.101)</w:t>
            </w:r>
          </w:p>
        </w:tc>
        <w:tc>
          <w:tcPr>
            <w:tcW w:w="1086" w:type="dxa"/>
            <w:tcBorders>
              <w:top w:val="nil"/>
              <w:left w:val="nil"/>
              <w:bottom w:val="nil"/>
              <w:right w:val="nil"/>
            </w:tcBorders>
            <w:vAlign w:val="bottom"/>
          </w:tcPr>
          <w:p w14:paraId="579502E2">
            <w:pPr>
              <w:snapToGrid w:val="0"/>
              <w:ind w:firstLine="0" w:firstLineChars="0"/>
              <w:jc w:val="center"/>
            </w:pPr>
            <w:r>
              <w:rPr>
                <w:rFonts w:hint="eastAsia"/>
              </w:rPr>
              <w:t>0.614</w:t>
            </w:r>
            <w:r>
              <w:rPr>
                <w:rFonts w:hint="eastAsia"/>
                <w:vertAlign w:val="subscript"/>
              </w:rPr>
              <w:t>(0.031)</w:t>
            </w:r>
          </w:p>
        </w:tc>
        <w:tc>
          <w:tcPr>
            <w:tcW w:w="1086" w:type="dxa"/>
            <w:tcBorders>
              <w:top w:val="nil"/>
              <w:left w:val="nil"/>
              <w:bottom w:val="nil"/>
              <w:right w:val="nil"/>
            </w:tcBorders>
            <w:vAlign w:val="bottom"/>
          </w:tcPr>
          <w:p w14:paraId="0A9C7DC8">
            <w:pPr>
              <w:snapToGrid w:val="0"/>
              <w:ind w:firstLine="0" w:firstLineChars="0"/>
              <w:jc w:val="center"/>
            </w:pPr>
            <w:r>
              <w:rPr>
                <w:rFonts w:hint="eastAsia"/>
              </w:rPr>
              <w:t>0.592</w:t>
            </w:r>
            <w:r>
              <w:rPr>
                <w:rFonts w:hint="eastAsia"/>
                <w:vertAlign w:val="subscript"/>
              </w:rPr>
              <w:t>(0.003)</w:t>
            </w:r>
          </w:p>
        </w:tc>
      </w:tr>
      <w:tr w14:paraId="6A3CF6AD">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blHeader/>
        </w:trPr>
        <w:tc>
          <w:tcPr>
            <w:tcW w:w="1441" w:type="dxa"/>
            <w:tcBorders>
              <w:top w:val="nil"/>
              <w:left w:val="nil"/>
              <w:bottom w:val="nil"/>
              <w:right w:val="nil"/>
            </w:tcBorders>
            <w:vAlign w:val="bottom"/>
          </w:tcPr>
          <w:p w14:paraId="720D4AD2">
            <w:pPr>
              <w:snapToGrid w:val="0"/>
              <w:ind w:firstLine="0" w:firstLineChars="0"/>
              <w:jc w:val="center"/>
            </w:pPr>
            <w:r>
              <w:rPr>
                <w:rFonts w:hint="eastAsia"/>
              </w:rPr>
              <w:t>GROVER</w:t>
            </w:r>
          </w:p>
        </w:tc>
        <w:tc>
          <w:tcPr>
            <w:tcW w:w="1086" w:type="dxa"/>
            <w:tcBorders>
              <w:top w:val="nil"/>
              <w:left w:val="nil"/>
              <w:bottom w:val="nil"/>
              <w:right w:val="nil"/>
            </w:tcBorders>
            <w:vAlign w:val="bottom"/>
          </w:tcPr>
          <w:p w14:paraId="02FC3D59">
            <w:pPr>
              <w:snapToGrid w:val="0"/>
              <w:ind w:firstLine="0" w:firstLineChars="0"/>
              <w:jc w:val="center"/>
            </w:pPr>
            <w:r>
              <w:rPr>
                <w:rFonts w:hint="eastAsia"/>
              </w:rPr>
              <w:t>0.810</w:t>
            </w:r>
            <w:r>
              <w:rPr>
                <w:rFonts w:hint="eastAsia"/>
                <w:vertAlign w:val="subscript"/>
              </w:rPr>
              <w:t>(0.044)</w:t>
            </w:r>
          </w:p>
        </w:tc>
        <w:tc>
          <w:tcPr>
            <w:tcW w:w="1086" w:type="dxa"/>
            <w:tcBorders>
              <w:top w:val="nil"/>
              <w:left w:val="nil"/>
              <w:bottom w:val="nil"/>
              <w:right w:val="nil"/>
            </w:tcBorders>
            <w:vAlign w:val="bottom"/>
          </w:tcPr>
          <w:p w14:paraId="21CA37E8">
            <w:pPr>
              <w:snapToGrid w:val="0"/>
              <w:ind w:firstLine="0" w:firstLineChars="0"/>
              <w:jc w:val="center"/>
            </w:pPr>
            <w:r>
              <w:rPr>
                <w:rFonts w:hint="eastAsia"/>
              </w:rPr>
              <w:t>0.695</w:t>
            </w:r>
            <w:r>
              <w:rPr>
                <w:rFonts w:hint="eastAsia"/>
                <w:vertAlign w:val="subscript"/>
              </w:rPr>
              <w:t>(0.185)</w:t>
            </w:r>
          </w:p>
        </w:tc>
        <w:tc>
          <w:tcPr>
            <w:tcW w:w="1086" w:type="dxa"/>
            <w:tcBorders>
              <w:top w:val="nil"/>
              <w:left w:val="nil"/>
              <w:bottom w:val="nil"/>
              <w:right w:val="nil"/>
            </w:tcBorders>
            <w:vAlign w:val="bottom"/>
          </w:tcPr>
          <w:p w14:paraId="65CF7814">
            <w:pPr>
              <w:snapToGrid w:val="0"/>
              <w:ind w:firstLine="0" w:firstLineChars="0"/>
              <w:jc w:val="center"/>
            </w:pPr>
            <w:r>
              <w:rPr>
                <w:rFonts w:hint="eastAsia"/>
              </w:rPr>
              <w:t>0.762</w:t>
            </w:r>
            <w:r>
              <w:rPr>
                <w:rFonts w:hint="eastAsia"/>
                <w:vertAlign w:val="subscript"/>
              </w:rPr>
              <w:t>(0.013)</w:t>
            </w:r>
          </w:p>
        </w:tc>
        <w:tc>
          <w:tcPr>
            <w:tcW w:w="1086" w:type="dxa"/>
            <w:tcBorders>
              <w:top w:val="nil"/>
              <w:left w:val="nil"/>
              <w:bottom w:val="nil"/>
              <w:right w:val="nil"/>
            </w:tcBorders>
            <w:vAlign w:val="bottom"/>
          </w:tcPr>
          <w:p w14:paraId="633E7BF8">
            <w:pPr>
              <w:snapToGrid w:val="0"/>
              <w:ind w:firstLine="0" w:firstLineChars="0"/>
              <w:jc w:val="center"/>
            </w:pPr>
            <w:r>
              <w:rPr>
                <w:rFonts w:hint="eastAsia"/>
              </w:rPr>
              <w:t>0.735</w:t>
            </w:r>
            <w:r>
              <w:rPr>
                <w:rFonts w:hint="eastAsia"/>
                <w:vertAlign w:val="subscript"/>
              </w:rPr>
              <w:t>(0.027)</w:t>
            </w:r>
          </w:p>
        </w:tc>
        <w:tc>
          <w:tcPr>
            <w:tcW w:w="1086" w:type="dxa"/>
            <w:tcBorders>
              <w:top w:val="nil"/>
              <w:left w:val="nil"/>
              <w:bottom w:val="nil"/>
              <w:right w:val="nil"/>
            </w:tcBorders>
            <w:vAlign w:val="bottom"/>
          </w:tcPr>
          <w:p w14:paraId="6F26B7BA">
            <w:pPr>
              <w:snapToGrid w:val="0"/>
              <w:ind w:firstLine="0" w:firstLineChars="0"/>
              <w:jc w:val="center"/>
            </w:pPr>
            <w:r>
              <w:rPr>
                <w:rFonts w:hint="eastAsia"/>
              </w:rPr>
              <w:t>0.653</w:t>
            </w:r>
            <w:r>
              <w:rPr>
                <w:rFonts w:hint="eastAsia"/>
                <w:vertAlign w:val="subscript"/>
              </w:rPr>
              <w:t>(0.005)</w:t>
            </w:r>
          </w:p>
        </w:tc>
        <w:tc>
          <w:tcPr>
            <w:tcW w:w="1086" w:type="dxa"/>
            <w:tcBorders>
              <w:top w:val="nil"/>
              <w:left w:val="nil"/>
              <w:bottom w:val="nil"/>
              <w:right w:val="nil"/>
            </w:tcBorders>
            <w:vAlign w:val="bottom"/>
          </w:tcPr>
          <w:p w14:paraId="3B634438">
            <w:pPr>
              <w:snapToGrid w:val="0"/>
              <w:ind w:firstLine="0" w:firstLineChars="0"/>
              <w:jc w:val="center"/>
            </w:pPr>
            <w:r>
              <w:rPr>
                <w:rFonts w:hint="eastAsia"/>
              </w:rPr>
              <w:t>0.614</w:t>
            </w:r>
            <w:r>
              <w:rPr>
                <w:rFonts w:hint="eastAsia"/>
                <w:vertAlign w:val="subscript"/>
              </w:rPr>
              <w:t>(0.017)</w:t>
            </w:r>
          </w:p>
        </w:tc>
      </w:tr>
      <w:tr w14:paraId="43D677B9">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blHeader/>
        </w:trPr>
        <w:tc>
          <w:tcPr>
            <w:tcW w:w="1441" w:type="dxa"/>
            <w:tcBorders>
              <w:top w:val="nil"/>
              <w:left w:val="nil"/>
              <w:bottom w:val="nil"/>
              <w:right w:val="nil"/>
            </w:tcBorders>
            <w:vAlign w:val="bottom"/>
          </w:tcPr>
          <w:p w14:paraId="3FD03EFD">
            <w:pPr>
              <w:snapToGrid w:val="0"/>
              <w:ind w:firstLine="0" w:firstLineChars="0"/>
              <w:jc w:val="center"/>
            </w:pPr>
            <w:r>
              <w:rPr>
                <w:rFonts w:hint="eastAsia"/>
              </w:rPr>
              <w:t>GraphMVP</w:t>
            </w:r>
          </w:p>
        </w:tc>
        <w:tc>
          <w:tcPr>
            <w:tcW w:w="1086" w:type="dxa"/>
            <w:tcBorders>
              <w:top w:val="nil"/>
              <w:left w:val="nil"/>
              <w:bottom w:val="nil"/>
              <w:right w:val="nil"/>
            </w:tcBorders>
            <w:vAlign w:val="bottom"/>
          </w:tcPr>
          <w:p w14:paraId="330D3838">
            <w:pPr>
              <w:snapToGrid w:val="0"/>
              <w:ind w:firstLine="0" w:firstLineChars="0"/>
              <w:jc w:val="center"/>
            </w:pPr>
            <w:r>
              <w:rPr>
                <w:rFonts w:hint="eastAsia"/>
              </w:rPr>
              <w:t>0.812</w:t>
            </w:r>
            <w:r>
              <w:rPr>
                <w:rFonts w:hint="eastAsia"/>
                <w:vertAlign w:val="subscript"/>
              </w:rPr>
              <w:t>(0.009)</w:t>
            </w:r>
          </w:p>
        </w:tc>
        <w:tc>
          <w:tcPr>
            <w:tcW w:w="1086" w:type="dxa"/>
            <w:tcBorders>
              <w:top w:val="nil"/>
              <w:left w:val="nil"/>
              <w:bottom w:val="nil"/>
              <w:right w:val="nil"/>
            </w:tcBorders>
            <w:vAlign w:val="bottom"/>
          </w:tcPr>
          <w:p w14:paraId="1D327AB0">
            <w:pPr>
              <w:snapToGrid w:val="0"/>
              <w:ind w:firstLine="0" w:firstLineChars="0"/>
              <w:jc w:val="center"/>
            </w:pPr>
            <w:r>
              <w:rPr>
                <w:rFonts w:hint="eastAsia"/>
              </w:rPr>
              <w:t>0.724</w:t>
            </w:r>
            <w:r>
              <w:rPr>
                <w:rFonts w:hint="eastAsia"/>
                <w:vertAlign w:val="subscript"/>
              </w:rPr>
              <w:t>(0.016)</w:t>
            </w:r>
          </w:p>
        </w:tc>
        <w:tc>
          <w:tcPr>
            <w:tcW w:w="1086" w:type="dxa"/>
            <w:tcBorders>
              <w:top w:val="nil"/>
              <w:left w:val="nil"/>
              <w:bottom w:val="nil"/>
              <w:right w:val="nil"/>
            </w:tcBorders>
            <w:vAlign w:val="bottom"/>
          </w:tcPr>
          <w:p w14:paraId="34996A36">
            <w:pPr>
              <w:snapToGrid w:val="0"/>
              <w:ind w:firstLine="0" w:firstLineChars="0"/>
              <w:jc w:val="center"/>
            </w:pPr>
            <w:r>
              <w:rPr>
                <w:rFonts w:hint="eastAsia"/>
              </w:rPr>
              <w:t>0.791</w:t>
            </w:r>
            <w:r>
              <w:rPr>
                <w:rFonts w:hint="eastAsia"/>
                <w:vertAlign w:val="subscript"/>
              </w:rPr>
              <w:t>(0.028)</w:t>
            </w:r>
          </w:p>
        </w:tc>
        <w:tc>
          <w:tcPr>
            <w:tcW w:w="1086" w:type="dxa"/>
            <w:tcBorders>
              <w:top w:val="nil"/>
              <w:left w:val="nil"/>
              <w:bottom w:val="nil"/>
              <w:right w:val="nil"/>
            </w:tcBorders>
            <w:vAlign w:val="bottom"/>
          </w:tcPr>
          <w:p w14:paraId="7C8C5CE6">
            <w:pPr>
              <w:snapToGrid w:val="0"/>
              <w:ind w:firstLine="0" w:firstLineChars="0"/>
              <w:jc w:val="center"/>
            </w:pPr>
            <w:r>
              <w:rPr>
                <w:rFonts w:hint="eastAsia"/>
              </w:rPr>
              <w:t>0.759</w:t>
            </w:r>
            <w:r>
              <w:rPr>
                <w:rFonts w:hint="eastAsia"/>
                <w:vertAlign w:val="subscript"/>
              </w:rPr>
              <w:t>(0.005)</w:t>
            </w:r>
          </w:p>
        </w:tc>
        <w:tc>
          <w:tcPr>
            <w:tcW w:w="1086" w:type="dxa"/>
            <w:tcBorders>
              <w:top w:val="nil"/>
              <w:left w:val="nil"/>
              <w:bottom w:val="nil"/>
              <w:right w:val="nil"/>
            </w:tcBorders>
            <w:vAlign w:val="bottom"/>
          </w:tcPr>
          <w:p w14:paraId="2FD4E81B">
            <w:pPr>
              <w:snapToGrid w:val="0"/>
              <w:ind w:firstLine="0" w:firstLineChars="0"/>
              <w:jc w:val="center"/>
            </w:pPr>
            <w:r>
              <w:rPr>
                <w:rFonts w:hint="eastAsia"/>
              </w:rPr>
              <w:t>0.631</w:t>
            </w:r>
            <w:r>
              <w:rPr>
                <w:rFonts w:hint="eastAsia"/>
                <w:vertAlign w:val="subscript"/>
              </w:rPr>
              <w:t>(0.114)</w:t>
            </w:r>
          </w:p>
        </w:tc>
        <w:tc>
          <w:tcPr>
            <w:tcW w:w="1086" w:type="dxa"/>
            <w:tcBorders>
              <w:top w:val="nil"/>
              <w:left w:val="nil"/>
              <w:bottom w:val="nil"/>
              <w:right w:val="nil"/>
            </w:tcBorders>
            <w:vAlign w:val="bottom"/>
          </w:tcPr>
          <w:p w14:paraId="15D913BA">
            <w:pPr>
              <w:snapToGrid w:val="0"/>
              <w:ind w:firstLine="0" w:firstLineChars="0"/>
              <w:jc w:val="center"/>
            </w:pPr>
            <w:r>
              <w:rPr>
                <w:rFonts w:hint="eastAsia"/>
              </w:rPr>
              <w:t>0.639</w:t>
            </w:r>
            <w:r>
              <w:rPr>
                <w:rFonts w:hint="eastAsia"/>
                <w:vertAlign w:val="subscript"/>
              </w:rPr>
              <w:t>(0.012)</w:t>
            </w:r>
          </w:p>
        </w:tc>
      </w:tr>
      <w:tr w14:paraId="7DD3D23C">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blHeader/>
        </w:trPr>
        <w:tc>
          <w:tcPr>
            <w:tcW w:w="1441" w:type="dxa"/>
            <w:tcBorders>
              <w:top w:val="nil"/>
              <w:left w:val="nil"/>
              <w:bottom w:val="nil"/>
              <w:right w:val="nil"/>
            </w:tcBorders>
            <w:vAlign w:val="bottom"/>
          </w:tcPr>
          <w:p w14:paraId="15BBD40B">
            <w:pPr>
              <w:snapToGrid w:val="0"/>
              <w:ind w:firstLine="0" w:firstLineChars="0"/>
              <w:jc w:val="center"/>
            </w:pPr>
            <w:r>
              <w:rPr>
                <w:rFonts w:hint="eastAsia"/>
              </w:rPr>
              <w:t>MPNN</w:t>
            </w:r>
          </w:p>
        </w:tc>
        <w:tc>
          <w:tcPr>
            <w:tcW w:w="1086" w:type="dxa"/>
            <w:tcBorders>
              <w:top w:val="nil"/>
              <w:left w:val="nil"/>
              <w:bottom w:val="nil"/>
              <w:right w:val="nil"/>
            </w:tcBorders>
            <w:vAlign w:val="bottom"/>
          </w:tcPr>
          <w:p w14:paraId="61C269AF">
            <w:pPr>
              <w:snapToGrid w:val="0"/>
              <w:ind w:firstLine="0" w:firstLineChars="0"/>
              <w:jc w:val="center"/>
            </w:pPr>
            <w:r>
              <w:rPr>
                <w:rFonts w:hint="eastAsia"/>
              </w:rPr>
              <w:t>0.815</w:t>
            </w:r>
            <w:r>
              <w:rPr>
                <w:rFonts w:hint="eastAsia"/>
                <w:vertAlign w:val="subscript"/>
              </w:rPr>
              <w:t>(0.043)</w:t>
            </w:r>
          </w:p>
        </w:tc>
        <w:tc>
          <w:tcPr>
            <w:tcW w:w="1086" w:type="dxa"/>
            <w:tcBorders>
              <w:top w:val="nil"/>
              <w:left w:val="nil"/>
              <w:bottom w:val="nil"/>
              <w:right w:val="nil"/>
            </w:tcBorders>
            <w:vAlign w:val="bottom"/>
          </w:tcPr>
          <w:p w14:paraId="7A5D478C">
            <w:pPr>
              <w:snapToGrid w:val="0"/>
              <w:ind w:firstLine="0" w:firstLineChars="0"/>
              <w:jc w:val="center"/>
            </w:pPr>
            <w:r>
              <w:rPr>
                <w:rFonts w:hint="eastAsia"/>
              </w:rPr>
              <w:t>0.913</w:t>
            </w:r>
            <w:r>
              <w:rPr>
                <w:rFonts w:hint="eastAsia"/>
                <w:vertAlign w:val="subscript"/>
              </w:rPr>
              <w:t>(0.042)</w:t>
            </w:r>
          </w:p>
        </w:tc>
        <w:tc>
          <w:tcPr>
            <w:tcW w:w="1086" w:type="dxa"/>
            <w:tcBorders>
              <w:top w:val="nil"/>
              <w:left w:val="nil"/>
              <w:bottom w:val="nil"/>
              <w:right w:val="nil"/>
            </w:tcBorders>
            <w:vAlign w:val="bottom"/>
          </w:tcPr>
          <w:p w14:paraId="678EB20E">
            <w:pPr>
              <w:snapToGrid w:val="0"/>
              <w:ind w:firstLine="0" w:firstLineChars="0"/>
              <w:jc w:val="center"/>
            </w:pPr>
            <w:r>
              <w:rPr>
                <w:rFonts w:hint="eastAsia"/>
              </w:rPr>
              <w:t>0.879</w:t>
            </w:r>
            <w:r>
              <w:rPr>
                <w:rFonts w:hint="eastAsia"/>
                <w:vertAlign w:val="subscript"/>
              </w:rPr>
              <w:t>(0.054)</w:t>
            </w:r>
          </w:p>
        </w:tc>
        <w:tc>
          <w:tcPr>
            <w:tcW w:w="1086" w:type="dxa"/>
            <w:tcBorders>
              <w:top w:val="nil"/>
              <w:left w:val="nil"/>
              <w:bottom w:val="nil"/>
              <w:right w:val="nil"/>
            </w:tcBorders>
            <w:vAlign w:val="bottom"/>
          </w:tcPr>
          <w:p w14:paraId="6851A803">
            <w:pPr>
              <w:snapToGrid w:val="0"/>
              <w:ind w:firstLine="0" w:firstLineChars="0"/>
              <w:jc w:val="center"/>
            </w:pPr>
            <w:r>
              <w:rPr>
                <w:rFonts w:hint="eastAsia"/>
              </w:rPr>
              <w:t>0.808</w:t>
            </w:r>
            <w:r>
              <w:rPr>
                <w:rFonts w:hint="eastAsia"/>
                <w:vertAlign w:val="subscript"/>
              </w:rPr>
              <w:t>(0.024)</w:t>
            </w:r>
          </w:p>
        </w:tc>
        <w:tc>
          <w:tcPr>
            <w:tcW w:w="1086" w:type="dxa"/>
            <w:tcBorders>
              <w:top w:val="nil"/>
              <w:left w:val="nil"/>
              <w:bottom w:val="nil"/>
              <w:right w:val="nil"/>
            </w:tcBorders>
            <w:vAlign w:val="bottom"/>
          </w:tcPr>
          <w:p w14:paraId="1FA76EA2">
            <w:pPr>
              <w:snapToGrid w:val="0"/>
              <w:ind w:firstLine="0" w:firstLineChars="0"/>
              <w:jc w:val="center"/>
            </w:pPr>
            <w:r>
              <w:rPr>
                <w:rFonts w:hint="eastAsia"/>
              </w:rPr>
              <w:t>0.691</w:t>
            </w:r>
            <w:r>
              <w:rPr>
                <w:rFonts w:hint="eastAsia"/>
                <w:vertAlign w:val="subscript"/>
              </w:rPr>
              <w:t>(0.018)</w:t>
            </w:r>
          </w:p>
        </w:tc>
        <w:tc>
          <w:tcPr>
            <w:tcW w:w="1086" w:type="dxa"/>
            <w:tcBorders>
              <w:top w:val="nil"/>
              <w:left w:val="nil"/>
              <w:bottom w:val="nil"/>
              <w:right w:val="nil"/>
            </w:tcBorders>
            <w:vAlign w:val="bottom"/>
          </w:tcPr>
          <w:p w14:paraId="754BF3C5">
            <w:pPr>
              <w:snapToGrid w:val="0"/>
              <w:ind w:firstLine="0" w:firstLineChars="0"/>
              <w:jc w:val="center"/>
            </w:pPr>
            <w:r>
              <w:rPr>
                <w:rFonts w:hint="eastAsia"/>
              </w:rPr>
              <w:t>0.595</w:t>
            </w:r>
            <w:r>
              <w:rPr>
                <w:rFonts w:hint="eastAsia"/>
                <w:vertAlign w:val="subscript"/>
              </w:rPr>
              <w:t>(0.031)</w:t>
            </w:r>
          </w:p>
        </w:tc>
      </w:tr>
      <w:tr w14:paraId="3E140BB7">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blHeader/>
        </w:trPr>
        <w:tc>
          <w:tcPr>
            <w:tcW w:w="1441" w:type="dxa"/>
            <w:tcBorders>
              <w:top w:val="nil"/>
              <w:left w:val="nil"/>
              <w:bottom w:val="nil"/>
              <w:right w:val="nil"/>
            </w:tcBorders>
            <w:vAlign w:val="bottom"/>
          </w:tcPr>
          <w:p w14:paraId="423549CC">
            <w:pPr>
              <w:snapToGrid w:val="0"/>
              <w:ind w:firstLine="0" w:firstLineChars="0"/>
              <w:jc w:val="center"/>
            </w:pPr>
            <w:r>
              <w:rPr>
                <w:rFonts w:hint="eastAsia"/>
              </w:rPr>
              <w:t>DMPNN</w:t>
            </w:r>
          </w:p>
        </w:tc>
        <w:tc>
          <w:tcPr>
            <w:tcW w:w="1086" w:type="dxa"/>
            <w:tcBorders>
              <w:top w:val="nil"/>
              <w:left w:val="nil"/>
              <w:bottom w:val="nil"/>
              <w:right w:val="nil"/>
            </w:tcBorders>
            <w:vAlign w:val="bottom"/>
          </w:tcPr>
          <w:p w14:paraId="115CF6A5">
            <w:pPr>
              <w:snapToGrid w:val="0"/>
              <w:ind w:firstLine="0" w:firstLineChars="0"/>
              <w:jc w:val="center"/>
            </w:pPr>
            <w:r>
              <w:rPr>
                <w:rFonts w:hint="eastAsia"/>
              </w:rPr>
              <w:t>0.823</w:t>
            </w:r>
            <w:r>
              <w:rPr>
                <w:rFonts w:hint="eastAsia"/>
                <w:vertAlign w:val="subscript"/>
              </w:rPr>
              <w:t>(0.038)</w:t>
            </w:r>
          </w:p>
        </w:tc>
        <w:tc>
          <w:tcPr>
            <w:tcW w:w="1086" w:type="dxa"/>
            <w:tcBorders>
              <w:top w:val="nil"/>
              <w:left w:val="nil"/>
              <w:bottom w:val="nil"/>
              <w:right w:val="nil"/>
            </w:tcBorders>
            <w:vAlign w:val="bottom"/>
          </w:tcPr>
          <w:p w14:paraId="366EE21F">
            <w:pPr>
              <w:snapToGrid w:val="0"/>
              <w:ind w:firstLine="0" w:firstLineChars="0"/>
              <w:jc w:val="center"/>
            </w:pPr>
            <w:r>
              <w:rPr>
                <w:rFonts w:hint="eastAsia"/>
              </w:rPr>
              <w:t>0.919</w:t>
            </w:r>
            <w:r>
              <w:rPr>
                <w:rFonts w:hint="eastAsia"/>
                <w:vertAlign w:val="subscript"/>
              </w:rPr>
              <w:t>(0.048)</w:t>
            </w:r>
          </w:p>
        </w:tc>
        <w:tc>
          <w:tcPr>
            <w:tcW w:w="1086" w:type="dxa"/>
            <w:tcBorders>
              <w:top w:val="nil"/>
              <w:left w:val="nil"/>
              <w:bottom w:val="nil"/>
              <w:right w:val="nil"/>
            </w:tcBorders>
            <w:vAlign w:val="bottom"/>
          </w:tcPr>
          <w:p w14:paraId="56E5925B">
            <w:pPr>
              <w:snapToGrid w:val="0"/>
              <w:ind w:firstLine="0" w:firstLineChars="0"/>
              <w:jc w:val="center"/>
            </w:pPr>
            <w:r>
              <w:rPr>
                <w:rFonts w:hint="eastAsia"/>
              </w:rPr>
              <w:t>0.897</w:t>
            </w:r>
            <w:r>
              <w:rPr>
                <w:rFonts w:hint="eastAsia"/>
                <w:vertAlign w:val="subscript"/>
              </w:rPr>
              <w:t>(0.041)</w:t>
            </w:r>
          </w:p>
        </w:tc>
        <w:tc>
          <w:tcPr>
            <w:tcW w:w="1086" w:type="dxa"/>
            <w:tcBorders>
              <w:top w:val="nil"/>
              <w:left w:val="nil"/>
              <w:bottom w:val="nil"/>
              <w:right w:val="nil"/>
            </w:tcBorders>
            <w:vAlign w:val="bottom"/>
          </w:tcPr>
          <w:p w14:paraId="402C97C2">
            <w:pPr>
              <w:snapToGrid w:val="0"/>
              <w:ind w:firstLine="0" w:firstLineChars="0"/>
              <w:jc w:val="center"/>
            </w:pPr>
            <w:r>
              <w:rPr>
                <w:rFonts w:hint="eastAsia"/>
              </w:rPr>
              <w:t>0.759</w:t>
            </w:r>
            <w:r>
              <w:rPr>
                <w:rFonts w:hint="eastAsia"/>
                <w:vertAlign w:val="subscript"/>
              </w:rPr>
              <w:t>(0.034)</w:t>
            </w:r>
          </w:p>
        </w:tc>
        <w:tc>
          <w:tcPr>
            <w:tcW w:w="1086" w:type="dxa"/>
            <w:tcBorders>
              <w:top w:val="nil"/>
              <w:left w:val="nil"/>
              <w:bottom w:val="nil"/>
              <w:right w:val="nil"/>
            </w:tcBorders>
            <w:vAlign w:val="bottom"/>
          </w:tcPr>
          <w:p w14:paraId="09C6BA22">
            <w:pPr>
              <w:snapToGrid w:val="0"/>
              <w:ind w:firstLine="0" w:firstLineChars="0"/>
              <w:jc w:val="center"/>
            </w:pPr>
            <w:r>
              <w:rPr>
                <w:rFonts w:hint="eastAsia"/>
              </w:rPr>
              <w:t>0.655</w:t>
            </w:r>
            <w:r>
              <w:rPr>
                <w:rFonts w:hint="eastAsia"/>
                <w:vertAlign w:val="subscript"/>
              </w:rPr>
              <w:t>(0.101)</w:t>
            </w:r>
          </w:p>
        </w:tc>
        <w:tc>
          <w:tcPr>
            <w:tcW w:w="1086" w:type="dxa"/>
            <w:tcBorders>
              <w:top w:val="nil"/>
              <w:left w:val="nil"/>
              <w:bottom w:val="nil"/>
              <w:right w:val="nil"/>
            </w:tcBorders>
            <w:vAlign w:val="bottom"/>
          </w:tcPr>
          <w:p w14:paraId="27DF56DC">
            <w:pPr>
              <w:snapToGrid w:val="0"/>
              <w:ind w:firstLine="0" w:firstLineChars="0"/>
              <w:jc w:val="center"/>
            </w:pPr>
            <w:r>
              <w:rPr>
                <w:rFonts w:hint="eastAsia"/>
              </w:rPr>
              <w:t>0.570</w:t>
            </w:r>
            <w:r>
              <w:rPr>
                <w:rFonts w:hint="eastAsia"/>
                <w:vertAlign w:val="subscript"/>
              </w:rPr>
              <w:t>(0.031)</w:t>
            </w:r>
          </w:p>
        </w:tc>
      </w:tr>
      <w:tr w14:paraId="5A27BCFA">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blHeader/>
        </w:trPr>
        <w:tc>
          <w:tcPr>
            <w:tcW w:w="1441" w:type="dxa"/>
            <w:tcBorders>
              <w:top w:val="nil"/>
              <w:left w:val="nil"/>
              <w:bottom w:val="nil"/>
              <w:right w:val="nil"/>
            </w:tcBorders>
            <w:vAlign w:val="bottom"/>
          </w:tcPr>
          <w:p w14:paraId="2212447F">
            <w:pPr>
              <w:snapToGrid w:val="0"/>
              <w:ind w:firstLine="0" w:firstLineChars="0"/>
              <w:jc w:val="center"/>
            </w:pPr>
            <w:r>
              <w:rPr>
                <w:rFonts w:hint="eastAsia"/>
              </w:rPr>
              <w:t>CMPNN</w:t>
            </w:r>
          </w:p>
        </w:tc>
        <w:tc>
          <w:tcPr>
            <w:tcW w:w="1086" w:type="dxa"/>
            <w:tcBorders>
              <w:top w:val="nil"/>
              <w:left w:val="nil"/>
              <w:bottom w:val="nil"/>
              <w:right w:val="nil"/>
            </w:tcBorders>
            <w:vAlign w:val="bottom"/>
          </w:tcPr>
          <w:p w14:paraId="31DA8DE2">
            <w:pPr>
              <w:snapToGrid w:val="0"/>
              <w:ind w:firstLine="0" w:firstLineChars="0"/>
              <w:jc w:val="center"/>
            </w:pPr>
            <w:r>
              <w:rPr>
                <w:rFonts w:hint="eastAsia"/>
              </w:rPr>
              <w:t>0.869</w:t>
            </w:r>
            <w:r>
              <w:rPr>
                <w:rFonts w:hint="eastAsia"/>
                <w:vertAlign w:val="subscript"/>
              </w:rPr>
              <w:t>(0.006)</w:t>
            </w:r>
          </w:p>
        </w:tc>
        <w:tc>
          <w:tcPr>
            <w:tcW w:w="1086" w:type="dxa"/>
            <w:tcBorders>
              <w:top w:val="nil"/>
              <w:left w:val="nil"/>
              <w:bottom w:val="nil"/>
              <w:right w:val="nil"/>
            </w:tcBorders>
            <w:vAlign w:val="bottom"/>
          </w:tcPr>
          <w:p w14:paraId="2881F776">
            <w:pPr>
              <w:snapToGrid w:val="0"/>
              <w:ind w:firstLine="0" w:firstLineChars="0"/>
              <w:jc w:val="center"/>
            </w:pPr>
            <w:r>
              <w:rPr>
                <w:rFonts w:hint="eastAsia"/>
              </w:rPr>
              <w:t>0.927</w:t>
            </w:r>
            <w:r>
              <w:rPr>
                <w:rFonts w:hint="eastAsia"/>
                <w:vertAlign w:val="subscript"/>
              </w:rPr>
              <w:t>(0.002)</w:t>
            </w:r>
          </w:p>
        </w:tc>
        <w:tc>
          <w:tcPr>
            <w:tcW w:w="1086" w:type="dxa"/>
            <w:tcBorders>
              <w:top w:val="nil"/>
              <w:left w:val="nil"/>
              <w:bottom w:val="nil"/>
              <w:right w:val="nil"/>
            </w:tcBorders>
            <w:vAlign w:val="bottom"/>
          </w:tcPr>
          <w:p w14:paraId="1CFF33F9">
            <w:pPr>
              <w:snapToGrid w:val="0"/>
              <w:ind w:firstLine="0" w:firstLineChars="0"/>
              <w:jc w:val="center"/>
            </w:pPr>
            <w:r>
              <w:rPr>
                <w:rFonts w:hint="eastAsia"/>
              </w:rPr>
              <w:t>0.901</w:t>
            </w:r>
            <w:r>
              <w:rPr>
                <w:rFonts w:hint="eastAsia"/>
                <w:vertAlign w:val="subscript"/>
              </w:rPr>
              <w:t>(0.012)</w:t>
            </w:r>
          </w:p>
        </w:tc>
        <w:tc>
          <w:tcPr>
            <w:tcW w:w="1086" w:type="dxa"/>
            <w:tcBorders>
              <w:top w:val="nil"/>
              <w:left w:val="nil"/>
              <w:bottom w:val="nil"/>
              <w:right w:val="nil"/>
            </w:tcBorders>
            <w:vAlign w:val="bottom"/>
          </w:tcPr>
          <w:p w14:paraId="0579A397">
            <w:pPr>
              <w:snapToGrid w:val="0"/>
              <w:ind w:firstLine="0" w:firstLineChars="0"/>
              <w:jc w:val="center"/>
            </w:pPr>
            <w:r>
              <w:rPr>
                <w:rFonts w:hint="eastAsia"/>
              </w:rPr>
              <w:t>0.837</w:t>
            </w:r>
            <w:r>
              <w:rPr>
                <w:rFonts w:hint="eastAsia"/>
                <w:vertAlign w:val="subscript"/>
              </w:rPr>
              <w:t>(0.016)</w:t>
            </w:r>
          </w:p>
        </w:tc>
        <w:tc>
          <w:tcPr>
            <w:tcW w:w="1086" w:type="dxa"/>
            <w:tcBorders>
              <w:top w:val="nil"/>
              <w:left w:val="nil"/>
              <w:bottom w:val="nil"/>
              <w:right w:val="nil"/>
            </w:tcBorders>
            <w:vAlign w:val="bottom"/>
          </w:tcPr>
          <w:p w14:paraId="268579F3">
            <w:pPr>
              <w:snapToGrid w:val="0"/>
              <w:ind w:firstLine="0" w:firstLineChars="0"/>
              <w:jc w:val="center"/>
            </w:pPr>
            <w:r>
              <w:rPr>
                <w:rFonts w:hint="eastAsia"/>
              </w:rPr>
              <w:t>0.709</w:t>
            </w:r>
            <w:r>
              <w:rPr>
                <w:rFonts w:hint="eastAsia"/>
                <w:vertAlign w:val="subscript"/>
              </w:rPr>
              <w:t>(0.002)</w:t>
            </w:r>
          </w:p>
        </w:tc>
        <w:tc>
          <w:tcPr>
            <w:tcW w:w="1086" w:type="dxa"/>
            <w:tcBorders>
              <w:top w:val="nil"/>
              <w:left w:val="nil"/>
              <w:bottom w:val="nil"/>
              <w:right w:val="nil"/>
            </w:tcBorders>
            <w:vAlign w:val="bottom"/>
          </w:tcPr>
          <w:p w14:paraId="69A42B8D">
            <w:pPr>
              <w:snapToGrid w:val="0"/>
              <w:ind w:firstLine="0" w:firstLineChars="0"/>
              <w:jc w:val="center"/>
            </w:pPr>
            <w:r>
              <w:rPr>
                <w:rFonts w:hint="eastAsia"/>
              </w:rPr>
              <w:t>0.617</w:t>
            </w:r>
            <w:r>
              <w:rPr>
                <w:rFonts w:hint="eastAsia"/>
                <w:vertAlign w:val="subscript"/>
              </w:rPr>
              <w:t>(0.003)</w:t>
            </w:r>
          </w:p>
        </w:tc>
      </w:tr>
      <w:tr w14:paraId="639D5638">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blHeader/>
        </w:trPr>
        <w:tc>
          <w:tcPr>
            <w:tcW w:w="1441" w:type="dxa"/>
            <w:tcBorders>
              <w:top w:val="nil"/>
              <w:left w:val="nil"/>
              <w:bottom w:val="nil"/>
              <w:right w:val="nil"/>
            </w:tcBorders>
            <w:vAlign w:val="bottom"/>
          </w:tcPr>
          <w:p w14:paraId="4189AD38">
            <w:pPr>
              <w:snapToGrid w:val="0"/>
              <w:ind w:firstLine="0" w:firstLineChars="0"/>
              <w:jc w:val="center"/>
            </w:pPr>
            <w:r>
              <w:rPr>
                <w:rFonts w:hint="eastAsia"/>
              </w:rPr>
              <w:t>GIN</w:t>
            </w:r>
          </w:p>
        </w:tc>
        <w:tc>
          <w:tcPr>
            <w:tcW w:w="1086" w:type="dxa"/>
            <w:tcBorders>
              <w:top w:val="nil"/>
              <w:left w:val="nil"/>
              <w:bottom w:val="nil"/>
              <w:right w:val="nil"/>
            </w:tcBorders>
            <w:vAlign w:val="bottom"/>
          </w:tcPr>
          <w:p w14:paraId="59C7147C">
            <w:pPr>
              <w:snapToGrid w:val="0"/>
              <w:ind w:firstLine="0" w:firstLineChars="0"/>
              <w:jc w:val="center"/>
            </w:pPr>
            <w:r>
              <w:rPr>
                <w:rFonts w:hint="eastAsia"/>
              </w:rPr>
              <w:t>0.845</w:t>
            </w:r>
            <w:r>
              <w:rPr>
                <w:rFonts w:hint="eastAsia"/>
                <w:vertAlign w:val="subscript"/>
              </w:rPr>
              <w:t>(0.021)</w:t>
            </w:r>
          </w:p>
        </w:tc>
        <w:tc>
          <w:tcPr>
            <w:tcW w:w="1086" w:type="dxa"/>
            <w:tcBorders>
              <w:top w:val="nil"/>
              <w:left w:val="nil"/>
              <w:bottom w:val="nil"/>
              <w:right w:val="nil"/>
            </w:tcBorders>
            <w:vAlign w:val="bottom"/>
          </w:tcPr>
          <w:p w14:paraId="4569BC67">
            <w:pPr>
              <w:snapToGrid w:val="0"/>
              <w:ind w:firstLine="0" w:firstLineChars="0"/>
              <w:jc w:val="center"/>
            </w:pPr>
            <w:r>
              <w:rPr>
                <w:rFonts w:hint="eastAsia"/>
              </w:rPr>
              <w:t>0.894</w:t>
            </w:r>
            <w:r>
              <w:rPr>
                <w:rFonts w:hint="eastAsia"/>
                <w:vertAlign w:val="subscript"/>
              </w:rPr>
              <w:t>(0.019)</w:t>
            </w:r>
          </w:p>
        </w:tc>
        <w:tc>
          <w:tcPr>
            <w:tcW w:w="1086" w:type="dxa"/>
            <w:tcBorders>
              <w:top w:val="nil"/>
              <w:left w:val="nil"/>
              <w:bottom w:val="nil"/>
              <w:right w:val="nil"/>
            </w:tcBorders>
            <w:vAlign w:val="bottom"/>
          </w:tcPr>
          <w:p w14:paraId="046D8FB7">
            <w:pPr>
              <w:snapToGrid w:val="0"/>
              <w:ind w:firstLine="0" w:firstLineChars="0"/>
              <w:jc w:val="center"/>
            </w:pPr>
            <w:r>
              <w:rPr>
                <w:rFonts w:hint="eastAsia"/>
              </w:rPr>
              <w:t>0.869</w:t>
            </w:r>
            <w:r>
              <w:rPr>
                <w:rFonts w:hint="eastAsia"/>
                <w:vertAlign w:val="subscript"/>
              </w:rPr>
              <w:t>(0.034)</w:t>
            </w:r>
          </w:p>
        </w:tc>
        <w:tc>
          <w:tcPr>
            <w:tcW w:w="1086" w:type="dxa"/>
            <w:tcBorders>
              <w:top w:val="nil"/>
              <w:left w:val="nil"/>
              <w:bottom w:val="nil"/>
              <w:right w:val="nil"/>
            </w:tcBorders>
            <w:vAlign w:val="bottom"/>
          </w:tcPr>
          <w:p w14:paraId="7A2F2037">
            <w:pPr>
              <w:snapToGrid w:val="0"/>
              <w:ind w:firstLine="0" w:firstLineChars="0"/>
              <w:jc w:val="center"/>
            </w:pPr>
            <w:r>
              <w:rPr>
                <w:rFonts w:hint="eastAsia"/>
              </w:rPr>
              <w:t>0.811</w:t>
            </w:r>
            <w:r>
              <w:rPr>
                <w:rFonts w:hint="eastAsia"/>
                <w:vertAlign w:val="subscript"/>
              </w:rPr>
              <w:t>(0.002)</w:t>
            </w:r>
          </w:p>
        </w:tc>
        <w:tc>
          <w:tcPr>
            <w:tcW w:w="1086" w:type="dxa"/>
            <w:tcBorders>
              <w:top w:val="nil"/>
              <w:left w:val="nil"/>
              <w:bottom w:val="nil"/>
              <w:right w:val="nil"/>
            </w:tcBorders>
            <w:vAlign w:val="bottom"/>
          </w:tcPr>
          <w:p w14:paraId="7CF3DBC8">
            <w:pPr>
              <w:snapToGrid w:val="0"/>
              <w:ind w:firstLine="0" w:firstLineChars="0"/>
              <w:jc w:val="center"/>
            </w:pPr>
            <w:r>
              <w:rPr>
                <w:rFonts w:hint="eastAsia"/>
              </w:rPr>
              <w:t>0.703</w:t>
            </w:r>
            <w:r>
              <w:rPr>
                <w:rFonts w:hint="eastAsia"/>
                <w:vertAlign w:val="subscript"/>
              </w:rPr>
              <w:t>(0.004)</w:t>
            </w:r>
          </w:p>
        </w:tc>
        <w:tc>
          <w:tcPr>
            <w:tcW w:w="1086" w:type="dxa"/>
            <w:tcBorders>
              <w:top w:val="nil"/>
              <w:left w:val="nil"/>
              <w:bottom w:val="nil"/>
              <w:right w:val="nil"/>
            </w:tcBorders>
            <w:vAlign w:val="bottom"/>
          </w:tcPr>
          <w:p w14:paraId="324386F6">
            <w:pPr>
              <w:snapToGrid w:val="0"/>
              <w:ind w:firstLine="0" w:firstLineChars="0"/>
              <w:jc w:val="center"/>
            </w:pPr>
            <w:r>
              <w:rPr>
                <w:rFonts w:hint="eastAsia"/>
              </w:rPr>
              <w:t>0.591</w:t>
            </w:r>
            <w:r>
              <w:rPr>
                <w:rFonts w:hint="eastAsia"/>
                <w:vertAlign w:val="subscript"/>
              </w:rPr>
              <w:t>(0.016)</w:t>
            </w:r>
          </w:p>
        </w:tc>
      </w:tr>
      <w:tr w14:paraId="73459B30">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blHeader/>
        </w:trPr>
        <w:tc>
          <w:tcPr>
            <w:tcW w:w="1441" w:type="dxa"/>
            <w:tcBorders>
              <w:top w:val="nil"/>
              <w:left w:val="nil"/>
              <w:bottom w:val="nil"/>
              <w:right w:val="nil"/>
            </w:tcBorders>
            <w:vAlign w:val="bottom"/>
          </w:tcPr>
          <w:p w14:paraId="26018DCB">
            <w:pPr>
              <w:snapToGrid w:val="0"/>
              <w:ind w:firstLine="0" w:firstLineChars="0"/>
              <w:jc w:val="center"/>
            </w:pPr>
            <w:r>
              <w:rPr>
                <w:rFonts w:hint="eastAsia"/>
              </w:rPr>
              <w:t>SchNet</w:t>
            </w:r>
          </w:p>
        </w:tc>
        <w:tc>
          <w:tcPr>
            <w:tcW w:w="1086" w:type="dxa"/>
            <w:tcBorders>
              <w:top w:val="nil"/>
              <w:left w:val="nil"/>
              <w:bottom w:val="nil"/>
              <w:right w:val="nil"/>
            </w:tcBorders>
            <w:vAlign w:val="bottom"/>
          </w:tcPr>
          <w:p w14:paraId="24A96A5B">
            <w:pPr>
              <w:snapToGrid w:val="0"/>
              <w:ind w:firstLine="0" w:firstLineChars="0"/>
              <w:jc w:val="center"/>
            </w:pPr>
            <w:r>
              <w:rPr>
                <w:rFonts w:hint="eastAsia"/>
              </w:rPr>
              <w:t>0.751</w:t>
            </w:r>
            <w:r>
              <w:rPr>
                <w:rFonts w:hint="eastAsia"/>
                <w:vertAlign w:val="subscript"/>
              </w:rPr>
              <w:t>(0.033)</w:t>
            </w:r>
          </w:p>
        </w:tc>
        <w:tc>
          <w:tcPr>
            <w:tcW w:w="1086" w:type="dxa"/>
            <w:tcBorders>
              <w:top w:val="nil"/>
              <w:left w:val="nil"/>
              <w:bottom w:val="nil"/>
              <w:right w:val="nil"/>
            </w:tcBorders>
            <w:vAlign w:val="bottom"/>
          </w:tcPr>
          <w:p w14:paraId="1261F516">
            <w:pPr>
              <w:snapToGrid w:val="0"/>
              <w:ind w:firstLine="0" w:firstLineChars="0"/>
              <w:jc w:val="center"/>
            </w:pPr>
            <w:r>
              <w:rPr>
                <w:rFonts w:hint="eastAsia"/>
              </w:rPr>
              <w:t>0.847</w:t>
            </w:r>
            <w:r>
              <w:rPr>
                <w:rFonts w:hint="eastAsia"/>
                <w:vertAlign w:val="subscript"/>
              </w:rPr>
              <w:t>(0.025)</w:t>
            </w:r>
          </w:p>
        </w:tc>
        <w:tc>
          <w:tcPr>
            <w:tcW w:w="1086" w:type="dxa"/>
            <w:tcBorders>
              <w:top w:val="nil"/>
              <w:left w:val="nil"/>
              <w:bottom w:val="nil"/>
              <w:right w:val="nil"/>
            </w:tcBorders>
            <w:vAlign w:val="bottom"/>
          </w:tcPr>
          <w:p w14:paraId="5304002B">
            <w:pPr>
              <w:snapToGrid w:val="0"/>
              <w:ind w:firstLine="0" w:firstLineChars="0"/>
              <w:jc w:val="center"/>
            </w:pPr>
            <w:r>
              <w:rPr>
                <w:rFonts w:hint="eastAsia"/>
              </w:rPr>
              <w:t>0.717</w:t>
            </w:r>
            <w:r>
              <w:rPr>
                <w:rFonts w:hint="eastAsia"/>
                <w:vertAlign w:val="subscript"/>
              </w:rPr>
              <w:t>(0.041)</w:t>
            </w:r>
          </w:p>
        </w:tc>
        <w:tc>
          <w:tcPr>
            <w:tcW w:w="1086" w:type="dxa"/>
            <w:tcBorders>
              <w:top w:val="nil"/>
              <w:left w:val="nil"/>
              <w:bottom w:val="nil"/>
              <w:right w:val="nil"/>
            </w:tcBorders>
            <w:vAlign w:val="bottom"/>
          </w:tcPr>
          <w:p w14:paraId="5B874DC8">
            <w:pPr>
              <w:snapToGrid w:val="0"/>
              <w:ind w:firstLine="0" w:firstLineChars="0"/>
              <w:jc w:val="center"/>
            </w:pPr>
            <w:r>
              <w:rPr>
                <w:rFonts w:hint="eastAsia"/>
              </w:rPr>
              <w:t>0.767</w:t>
            </w:r>
            <w:r>
              <w:rPr>
                <w:rFonts w:hint="eastAsia"/>
                <w:vertAlign w:val="subscript"/>
              </w:rPr>
              <w:t>(0.023)</w:t>
            </w:r>
          </w:p>
        </w:tc>
        <w:tc>
          <w:tcPr>
            <w:tcW w:w="1086" w:type="dxa"/>
            <w:tcBorders>
              <w:top w:val="nil"/>
              <w:left w:val="nil"/>
              <w:bottom w:val="nil"/>
              <w:right w:val="nil"/>
            </w:tcBorders>
            <w:vAlign w:val="bottom"/>
          </w:tcPr>
          <w:p w14:paraId="70BFDB87">
            <w:pPr>
              <w:snapToGrid w:val="0"/>
              <w:ind w:firstLine="0" w:firstLineChars="0"/>
              <w:jc w:val="center"/>
            </w:pPr>
            <w:r>
              <w:rPr>
                <w:rFonts w:hint="eastAsia"/>
              </w:rPr>
              <w:t>0.679</w:t>
            </w:r>
            <w:r>
              <w:rPr>
                <w:rFonts w:hint="eastAsia"/>
                <w:vertAlign w:val="subscript"/>
              </w:rPr>
              <w:t>(0.021)</w:t>
            </w:r>
          </w:p>
        </w:tc>
        <w:tc>
          <w:tcPr>
            <w:tcW w:w="1086" w:type="dxa"/>
            <w:tcBorders>
              <w:top w:val="nil"/>
              <w:left w:val="nil"/>
              <w:bottom w:val="nil"/>
              <w:right w:val="nil"/>
            </w:tcBorders>
            <w:vAlign w:val="bottom"/>
          </w:tcPr>
          <w:p w14:paraId="0B55BD23">
            <w:pPr>
              <w:snapToGrid w:val="0"/>
              <w:ind w:firstLine="0" w:firstLineChars="0"/>
              <w:jc w:val="center"/>
            </w:pPr>
            <w:r>
              <w:rPr>
                <w:rFonts w:hint="eastAsia"/>
              </w:rPr>
              <w:t>0.545</w:t>
            </w:r>
            <w:r>
              <w:rPr>
                <w:rFonts w:hint="eastAsia"/>
                <w:vertAlign w:val="subscript"/>
              </w:rPr>
              <w:t>(0.038)</w:t>
            </w:r>
          </w:p>
        </w:tc>
      </w:tr>
      <w:tr w14:paraId="0E36E54A">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blHeader/>
        </w:trPr>
        <w:tc>
          <w:tcPr>
            <w:tcW w:w="1441" w:type="dxa"/>
            <w:tcBorders>
              <w:top w:val="nil"/>
              <w:left w:val="nil"/>
              <w:bottom w:val="nil"/>
              <w:right w:val="nil"/>
            </w:tcBorders>
            <w:vAlign w:val="bottom"/>
          </w:tcPr>
          <w:p w14:paraId="505F7879">
            <w:pPr>
              <w:snapToGrid w:val="0"/>
              <w:ind w:firstLine="0" w:firstLineChars="0"/>
              <w:jc w:val="center"/>
            </w:pPr>
            <w:r>
              <w:rPr>
                <w:rFonts w:hint="eastAsia"/>
              </w:rPr>
              <w:t>N-Gram</w:t>
            </w:r>
          </w:p>
        </w:tc>
        <w:tc>
          <w:tcPr>
            <w:tcW w:w="1086" w:type="dxa"/>
            <w:tcBorders>
              <w:top w:val="nil"/>
              <w:left w:val="nil"/>
              <w:bottom w:val="nil"/>
              <w:right w:val="nil"/>
            </w:tcBorders>
            <w:vAlign w:val="bottom"/>
          </w:tcPr>
          <w:p w14:paraId="799D937E">
            <w:pPr>
              <w:snapToGrid w:val="0"/>
              <w:ind w:firstLine="0" w:firstLineChars="0"/>
              <w:jc w:val="center"/>
            </w:pPr>
            <w:r>
              <w:rPr>
                <w:rFonts w:hint="eastAsia"/>
              </w:rPr>
              <w:t>0.779</w:t>
            </w:r>
            <w:r>
              <w:rPr>
                <w:rFonts w:hint="eastAsia"/>
                <w:vertAlign w:val="subscript"/>
              </w:rPr>
              <w:t>(0.031)</w:t>
            </w:r>
          </w:p>
        </w:tc>
        <w:tc>
          <w:tcPr>
            <w:tcW w:w="1086" w:type="dxa"/>
            <w:tcBorders>
              <w:top w:val="nil"/>
              <w:left w:val="nil"/>
              <w:bottom w:val="nil"/>
              <w:right w:val="nil"/>
            </w:tcBorders>
            <w:vAlign w:val="bottom"/>
          </w:tcPr>
          <w:p w14:paraId="2D304B4D">
            <w:pPr>
              <w:snapToGrid w:val="0"/>
              <w:ind w:firstLine="0" w:firstLineChars="0"/>
              <w:jc w:val="center"/>
            </w:pPr>
            <w:r>
              <w:rPr>
                <w:rFonts w:hint="eastAsia"/>
              </w:rPr>
              <w:t>0.912</w:t>
            </w:r>
            <w:r>
              <w:rPr>
                <w:rFonts w:hint="eastAsia"/>
                <w:vertAlign w:val="subscript"/>
              </w:rPr>
              <w:t>(0.004)</w:t>
            </w:r>
          </w:p>
        </w:tc>
        <w:tc>
          <w:tcPr>
            <w:tcW w:w="1086" w:type="dxa"/>
            <w:tcBorders>
              <w:top w:val="nil"/>
              <w:left w:val="nil"/>
              <w:bottom w:val="nil"/>
              <w:right w:val="nil"/>
            </w:tcBorders>
            <w:vAlign w:val="bottom"/>
          </w:tcPr>
          <w:p w14:paraId="30C58CA2">
            <w:pPr>
              <w:snapToGrid w:val="0"/>
              <w:ind w:firstLine="0" w:firstLineChars="0"/>
              <w:jc w:val="center"/>
            </w:pPr>
            <w:r>
              <w:rPr>
                <w:rFonts w:hint="eastAsia"/>
              </w:rPr>
              <w:t>0.855</w:t>
            </w:r>
            <w:r>
              <w:rPr>
                <w:rFonts w:hint="eastAsia"/>
                <w:vertAlign w:val="subscript"/>
              </w:rPr>
              <w:t>(0.013)</w:t>
            </w:r>
          </w:p>
        </w:tc>
        <w:tc>
          <w:tcPr>
            <w:tcW w:w="1086" w:type="dxa"/>
            <w:tcBorders>
              <w:top w:val="nil"/>
              <w:left w:val="nil"/>
              <w:bottom w:val="nil"/>
              <w:right w:val="nil"/>
            </w:tcBorders>
            <w:vAlign w:val="bottom"/>
          </w:tcPr>
          <w:p w14:paraId="25B0FD84">
            <w:pPr>
              <w:snapToGrid w:val="0"/>
              <w:ind w:firstLine="0" w:firstLineChars="0"/>
              <w:jc w:val="center"/>
            </w:pPr>
            <w:r>
              <w:rPr>
                <w:rFonts w:hint="eastAsia"/>
              </w:rPr>
              <w:t>0.761</w:t>
            </w:r>
            <w:r>
              <w:rPr>
                <w:rFonts w:hint="eastAsia"/>
                <w:vertAlign w:val="subscript"/>
              </w:rPr>
              <w:t>(0.130)</w:t>
            </w:r>
          </w:p>
        </w:tc>
        <w:tc>
          <w:tcPr>
            <w:tcW w:w="1086" w:type="dxa"/>
            <w:tcBorders>
              <w:top w:val="nil"/>
              <w:left w:val="nil"/>
              <w:bottom w:val="nil"/>
              <w:right w:val="nil"/>
            </w:tcBorders>
            <w:vAlign w:val="bottom"/>
          </w:tcPr>
          <w:p w14:paraId="11FA828E">
            <w:pPr>
              <w:snapToGrid w:val="0"/>
              <w:ind w:firstLine="0" w:firstLineChars="0"/>
              <w:jc w:val="center"/>
            </w:pPr>
            <w:r>
              <w:rPr>
                <w:rFonts w:hint="eastAsia"/>
              </w:rPr>
              <w:t>0.659</w:t>
            </w:r>
            <w:r>
              <w:rPr>
                <w:rFonts w:hint="eastAsia"/>
                <w:vertAlign w:val="subscript"/>
              </w:rPr>
              <w:t>(0.133)</w:t>
            </w:r>
          </w:p>
        </w:tc>
        <w:tc>
          <w:tcPr>
            <w:tcW w:w="1086" w:type="dxa"/>
            <w:tcBorders>
              <w:top w:val="nil"/>
              <w:left w:val="nil"/>
              <w:bottom w:val="nil"/>
              <w:right w:val="nil"/>
            </w:tcBorders>
            <w:vAlign w:val="bottom"/>
          </w:tcPr>
          <w:p w14:paraId="526F2DA5">
            <w:pPr>
              <w:snapToGrid w:val="0"/>
              <w:ind w:firstLine="0" w:firstLineChars="0"/>
              <w:jc w:val="center"/>
            </w:pPr>
            <w:r>
              <w:rPr>
                <w:rFonts w:hint="eastAsia"/>
              </w:rPr>
              <w:t>0.662</w:t>
            </w:r>
            <w:r>
              <w:rPr>
                <w:rFonts w:hint="eastAsia"/>
                <w:vertAlign w:val="subscript"/>
              </w:rPr>
              <w:t>(0.009)</w:t>
            </w:r>
          </w:p>
        </w:tc>
      </w:tr>
      <w:tr w14:paraId="72495738">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blHeader/>
        </w:trPr>
        <w:tc>
          <w:tcPr>
            <w:tcW w:w="1441" w:type="dxa"/>
            <w:tcBorders>
              <w:top w:val="nil"/>
              <w:left w:val="nil"/>
              <w:bottom w:val="nil"/>
              <w:right w:val="nil"/>
            </w:tcBorders>
            <w:vAlign w:val="bottom"/>
          </w:tcPr>
          <w:p w14:paraId="6B071342">
            <w:pPr>
              <w:snapToGrid w:val="0"/>
              <w:ind w:firstLine="0" w:firstLineChars="0"/>
              <w:jc w:val="center"/>
            </w:pPr>
            <w:r>
              <w:rPr>
                <w:rFonts w:hint="eastAsia"/>
              </w:rPr>
              <w:t>MoleculeSTM</w:t>
            </w:r>
          </w:p>
        </w:tc>
        <w:tc>
          <w:tcPr>
            <w:tcW w:w="1086" w:type="dxa"/>
            <w:tcBorders>
              <w:top w:val="nil"/>
              <w:left w:val="nil"/>
              <w:bottom w:val="nil"/>
              <w:right w:val="nil"/>
            </w:tcBorders>
            <w:vAlign w:val="bottom"/>
          </w:tcPr>
          <w:p w14:paraId="097AC0D8">
            <w:pPr>
              <w:snapToGrid w:val="0"/>
              <w:ind w:firstLine="0" w:firstLineChars="0"/>
              <w:jc w:val="center"/>
            </w:pPr>
            <w:r>
              <w:rPr>
                <w:rFonts w:hint="eastAsia"/>
              </w:rPr>
              <w:t>0.808</w:t>
            </w:r>
            <w:r>
              <w:rPr>
                <w:rFonts w:hint="eastAsia"/>
                <w:vertAlign w:val="subscript"/>
              </w:rPr>
              <w:t>(0.002)</w:t>
            </w:r>
          </w:p>
        </w:tc>
        <w:tc>
          <w:tcPr>
            <w:tcW w:w="1086" w:type="dxa"/>
            <w:tcBorders>
              <w:top w:val="nil"/>
              <w:left w:val="nil"/>
              <w:bottom w:val="nil"/>
              <w:right w:val="nil"/>
            </w:tcBorders>
            <w:vAlign w:val="bottom"/>
          </w:tcPr>
          <w:p w14:paraId="4544C74E">
            <w:pPr>
              <w:snapToGrid w:val="0"/>
              <w:ind w:firstLine="0" w:firstLineChars="0"/>
              <w:jc w:val="center"/>
            </w:pPr>
            <w:r>
              <w:rPr>
                <w:rFonts w:hint="eastAsia"/>
              </w:rPr>
              <w:t>0.712</w:t>
            </w:r>
            <w:r>
              <w:rPr>
                <w:rFonts w:hint="eastAsia"/>
                <w:vertAlign w:val="subscript"/>
              </w:rPr>
              <w:t>(0.019)</w:t>
            </w:r>
          </w:p>
        </w:tc>
        <w:tc>
          <w:tcPr>
            <w:tcW w:w="1086" w:type="dxa"/>
            <w:tcBorders>
              <w:top w:val="nil"/>
              <w:left w:val="nil"/>
              <w:bottom w:val="nil"/>
              <w:right w:val="nil"/>
            </w:tcBorders>
            <w:vAlign w:val="bottom"/>
          </w:tcPr>
          <w:p w14:paraId="7A9ED4F2">
            <w:pPr>
              <w:snapToGrid w:val="0"/>
              <w:ind w:firstLine="0" w:firstLineChars="0"/>
              <w:jc w:val="center"/>
            </w:pPr>
            <w:r>
              <w:rPr>
                <w:rFonts w:hint="eastAsia"/>
              </w:rPr>
              <w:t>0.925</w:t>
            </w:r>
            <w:r>
              <w:rPr>
                <w:rFonts w:hint="eastAsia"/>
                <w:vertAlign w:val="subscript"/>
              </w:rPr>
              <w:t>(0.011)</w:t>
            </w:r>
          </w:p>
        </w:tc>
        <w:tc>
          <w:tcPr>
            <w:tcW w:w="1086" w:type="dxa"/>
            <w:tcBorders>
              <w:top w:val="nil"/>
              <w:left w:val="nil"/>
              <w:bottom w:val="nil"/>
              <w:right w:val="nil"/>
            </w:tcBorders>
            <w:vAlign w:val="bottom"/>
          </w:tcPr>
          <w:p w14:paraId="3A5C5168">
            <w:pPr>
              <w:snapToGrid w:val="0"/>
              <w:ind w:firstLine="0" w:firstLineChars="0"/>
              <w:jc w:val="center"/>
            </w:pPr>
            <w:r>
              <w:rPr>
                <w:rFonts w:hint="eastAsia"/>
              </w:rPr>
              <w:t>0.769</w:t>
            </w:r>
            <w:r>
              <w:rPr>
                <w:rFonts w:hint="eastAsia"/>
                <w:vertAlign w:val="subscript"/>
              </w:rPr>
              <w:t>(0.005)</w:t>
            </w:r>
          </w:p>
        </w:tc>
        <w:tc>
          <w:tcPr>
            <w:tcW w:w="1086" w:type="dxa"/>
            <w:tcBorders>
              <w:top w:val="nil"/>
              <w:left w:val="nil"/>
              <w:bottom w:val="nil"/>
              <w:right w:val="nil"/>
            </w:tcBorders>
            <w:vAlign w:val="bottom"/>
          </w:tcPr>
          <w:p w14:paraId="02ABE89D">
            <w:pPr>
              <w:snapToGrid w:val="0"/>
              <w:ind w:firstLine="0" w:firstLineChars="0"/>
              <w:jc w:val="center"/>
            </w:pPr>
            <w:r>
              <w:rPr>
                <w:rFonts w:hint="eastAsia"/>
              </w:rPr>
              <w:t>0.651</w:t>
            </w:r>
            <w:r>
              <w:rPr>
                <w:rFonts w:hint="eastAsia"/>
                <w:vertAlign w:val="subscript"/>
              </w:rPr>
              <w:t>(0.014)</w:t>
            </w:r>
          </w:p>
        </w:tc>
        <w:tc>
          <w:tcPr>
            <w:tcW w:w="1086" w:type="dxa"/>
            <w:tcBorders>
              <w:top w:val="nil"/>
              <w:left w:val="nil"/>
              <w:bottom w:val="nil"/>
              <w:right w:val="nil"/>
            </w:tcBorders>
            <w:vAlign w:val="bottom"/>
          </w:tcPr>
          <w:p w14:paraId="18077CBF">
            <w:pPr>
              <w:snapToGrid w:val="0"/>
              <w:ind w:firstLine="0" w:firstLineChars="0"/>
              <w:jc w:val="center"/>
            </w:pPr>
            <w:r>
              <w:rPr>
                <w:rFonts w:hint="eastAsia"/>
              </w:rPr>
              <w:t>0.610</w:t>
            </w:r>
            <w:r>
              <w:rPr>
                <w:rFonts w:hint="eastAsia"/>
                <w:vertAlign w:val="subscript"/>
              </w:rPr>
              <w:t>(0.008)</w:t>
            </w:r>
          </w:p>
        </w:tc>
      </w:tr>
      <w:tr w14:paraId="30CEBBDD">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blHeader/>
        </w:trPr>
        <w:tc>
          <w:tcPr>
            <w:tcW w:w="1441" w:type="dxa"/>
            <w:tcBorders>
              <w:top w:val="nil"/>
              <w:left w:val="nil"/>
              <w:bottom w:val="nil"/>
              <w:right w:val="nil"/>
            </w:tcBorders>
            <w:vAlign w:val="bottom"/>
          </w:tcPr>
          <w:p w14:paraId="02A3FA28">
            <w:pPr>
              <w:snapToGrid w:val="0"/>
              <w:ind w:firstLine="0" w:firstLineChars="0"/>
              <w:jc w:val="center"/>
            </w:pPr>
            <w:r>
              <w:rPr>
                <w:rFonts w:hint="eastAsia"/>
              </w:rPr>
              <w:t>MoMu</w:t>
            </w:r>
          </w:p>
        </w:tc>
        <w:tc>
          <w:tcPr>
            <w:tcW w:w="1086" w:type="dxa"/>
            <w:tcBorders>
              <w:top w:val="nil"/>
              <w:left w:val="nil"/>
              <w:bottom w:val="nil"/>
              <w:right w:val="nil"/>
            </w:tcBorders>
            <w:vAlign w:val="bottom"/>
          </w:tcPr>
          <w:p w14:paraId="67C078EA">
            <w:pPr>
              <w:snapToGrid w:val="0"/>
              <w:ind w:firstLine="0" w:firstLineChars="0"/>
              <w:jc w:val="center"/>
            </w:pPr>
            <w:r>
              <w:rPr>
                <w:rFonts w:hint="eastAsia"/>
              </w:rPr>
              <w:t>0.767</w:t>
            </w:r>
            <w:r>
              <w:rPr>
                <w:rFonts w:hint="eastAsia"/>
                <w:vertAlign w:val="subscript"/>
              </w:rPr>
              <w:t>(0.014)</w:t>
            </w:r>
          </w:p>
        </w:tc>
        <w:tc>
          <w:tcPr>
            <w:tcW w:w="1086" w:type="dxa"/>
            <w:tcBorders>
              <w:top w:val="nil"/>
              <w:left w:val="nil"/>
              <w:bottom w:val="nil"/>
              <w:right w:val="nil"/>
            </w:tcBorders>
            <w:vAlign w:val="bottom"/>
          </w:tcPr>
          <w:p w14:paraId="5DEBA58A">
            <w:pPr>
              <w:snapToGrid w:val="0"/>
              <w:ind w:firstLine="0" w:firstLineChars="0"/>
              <w:jc w:val="center"/>
            </w:pPr>
            <w:r>
              <w:rPr>
                <w:rFonts w:hint="eastAsia"/>
              </w:rPr>
              <w:t>0.705</w:t>
            </w:r>
            <w:r>
              <w:rPr>
                <w:rFonts w:hint="eastAsia"/>
                <w:vertAlign w:val="subscript"/>
              </w:rPr>
              <w:t>(0.020)</w:t>
            </w:r>
          </w:p>
        </w:tc>
        <w:tc>
          <w:tcPr>
            <w:tcW w:w="1086" w:type="dxa"/>
            <w:tcBorders>
              <w:top w:val="nil"/>
              <w:left w:val="nil"/>
              <w:bottom w:val="nil"/>
              <w:right w:val="nil"/>
            </w:tcBorders>
            <w:vAlign w:val="bottom"/>
          </w:tcPr>
          <w:p w14:paraId="343A8BA1">
            <w:pPr>
              <w:snapToGrid w:val="0"/>
              <w:ind w:firstLine="0" w:firstLineChars="0"/>
              <w:jc w:val="center"/>
            </w:pPr>
            <w:r>
              <w:rPr>
                <w:rFonts w:hint="eastAsia"/>
              </w:rPr>
              <w:t>0.799</w:t>
            </w:r>
            <w:r>
              <w:rPr>
                <w:rFonts w:hint="eastAsia"/>
                <w:vertAlign w:val="subscript"/>
              </w:rPr>
              <w:t>(0.041)</w:t>
            </w:r>
          </w:p>
        </w:tc>
        <w:tc>
          <w:tcPr>
            <w:tcW w:w="1086" w:type="dxa"/>
            <w:tcBorders>
              <w:top w:val="nil"/>
              <w:left w:val="nil"/>
              <w:bottom w:val="nil"/>
              <w:right w:val="nil"/>
            </w:tcBorders>
            <w:vAlign w:val="bottom"/>
          </w:tcPr>
          <w:p w14:paraId="450B79ED">
            <w:pPr>
              <w:snapToGrid w:val="0"/>
              <w:ind w:firstLine="0" w:firstLineChars="0"/>
              <w:jc w:val="center"/>
            </w:pPr>
            <w:r>
              <w:rPr>
                <w:rFonts w:hint="eastAsia"/>
              </w:rPr>
              <w:t>0.756</w:t>
            </w:r>
            <w:r>
              <w:rPr>
                <w:rFonts w:hint="eastAsia"/>
                <w:vertAlign w:val="subscript"/>
              </w:rPr>
              <w:t>(0.003)</w:t>
            </w:r>
          </w:p>
        </w:tc>
        <w:tc>
          <w:tcPr>
            <w:tcW w:w="1086" w:type="dxa"/>
            <w:tcBorders>
              <w:top w:val="nil"/>
              <w:left w:val="nil"/>
              <w:bottom w:val="nil"/>
              <w:right w:val="nil"/>
            </w:tcBorders>
            <w:vAlign w:val="bottom"/>
          </w:tcPr>
          <w:p w14:paraId="64515C27">
            <w:pPr>
              <w:snapToGrid w:val="0"/>
              <w:ind w:firstLine="0" w:firstLineChars="0"/>
              <w:jc w:val="center"/>
            </w:pPr>
            <w:r>
              <w:rPr>
                <w:rFonts w:hint="eastAsia"/>
              </w:rPr>
              <w:t>0.634</w:t>
            </w:r>
            <w:r>
              <w:rPr>
                <w:rFonts w:hint="eastAsia"/>
                <w:vertAlign w:val="subscript"/>
              </w:rPr>
              <w:t>(0.011)</w:t>
            </w:r>
          </w:p>
        </w:tc>
        <w:tc>
          <w:tcPr>
            <w:tcW w:w="1086" w:type="dxa"/>
            <w:tcBorders>
              <w:top w:val="nil"/>
              <w:left w:val="nil"/>
              <w:bottom w:val="nil"/>
              <w:right w:val="nil"/>
            </w:tcBorders>
            <w:vAlign w:val="bottom"/>
          </w:tcPr>
          <w:p w14:paraId="204922F4">
            <w:pPr>
              <w:snapToGrid w:val="0"/>
              <w:ind w:firstLine="0" w:firstLineChars="0"/>
              <w:jc w:val="center"/>
            </w:pPr>
            <w:r>
              <w:rPr>
                <w:rFonts w:hint="eastAsia"/>
              </w:rPr>
              <w:t>0.605</w:t>
            </w:r>
            <w:r>
              <w:rPr>
                <w:rFonts w:hint="eastAsia"/>
                <w:vertAlign w:val="subscript"/>
              </w:rPr>
              <w:t>(0.009)</w:t>
            </w:r>
          </w:p>
        </w:tc>
      </w:tr>
      <w:tr w14:paraId="57E3E307">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blHeader/>
        </w:trPr>
        <w:tc>
          <w:tcPr>
            <w:tcW w:w="1441" w:type="dxa"/>
            <w:tcBorders>
              <w:top w:val="nil"/>
              <w:left w:val="nil"/>
              <w:right w:val="nil"/>
            </w:tcBorders>
            <w:vAlign w:val="bottom"/>
          </w:tcPr>
          <w:p w14:paraId="0609E33B">
            <w:pPr>
              <w:snapToGrid w:val="0"/>
              <w:ind w:firstLine="0" w:firstLineChars="0"/>
              <w:jc w:val="center"/>
            </w:pPr>
            <w:r>
              <w:rPr>
                <w:rFonts w:hint="eastAsia"/>
              </w:rPr>
              <w:t>KV-PLM</w:t>
            </w:r>
          </w:p>
        </w:tc>
        <w:tc>
          <w:tcPr>
            <w:tcW w:w="1086" w:type="dxa"/>
            <w:tcBorders>
              <w:top w:val="nil"/>
              <w:left w:val="nil"/>
              <w:right w:val="nil"/>
            </w:tcBorders>
            <w:vAlign w:val="bottom"/>
          </w:tcPr>
          <w:p w14:paraId="445F0F06">
            <w:pPr>
              <w:snapToGrid w:val="0"/>
              <w:ind w:firstLine="0" w:firstLineChars="0"/>
              <w:jc w:val="center"/>
            </w:pPr>
            <w:r>
              <w:rPr>
                <w:rFonts w:hint="eastAsia"/>
              </w:rPr>
              <w:t>0.785</w:t>
            </w:r>
            <w:r>
              <w:rPr>
                <w:rFonts w:hint="eastAsia"/>
                <w:vertAlign w:val="subscript"/>
              </w:rPr>
              <w:t>(0.027)</w:t>
            </w:r>
          </w:p>
        </w:tc>
        <w:tc>
          <w:tcPr>
            <w:tcW w:w="1086" w:type="dxa"/>
            <w:tcBorders>
              <w:top w:val="nil"/>
              <w:left w:val="nil"/>
              <w:right w:val="nil"/>
            </w:tcBorders>
            <w:vAlign w:val="bottom"/>
          </w:tcPr>
          <w:p w14:paraId="0DD022B0">
            <w:pPr>
              <w:snapToGrid w:val="0"/>
              <w:ind w:firstLine="0" w:firstLineChars="0"/>
              <w:jc w:val="center"/>
            </w:pPr>
            <w:r>
              <w:rPr>
                <w:rFonts w:hint="eastAsia"/>
              </w:rPr>
              <w:t>0.731</w:t>
            </w:r>
            <w:r>
              <w:rPr>
                <w:rFonts w:hint="eastAsia"/>
                <w:vertAlign w:val="subscript"/>
              </w:rPr>
              <w:t>(0.054)</w:t>
            </w:r>
          </w:p>
        </w:tc>
        <w:tc>
          <w:tcPr>
            <w:tcW w:w="1086" w:type="dxa"/>
            <w:tcBorders>
              <w:top w:val="nil"/>
              <w:left w:val="nil"/>
              <w:right w:val="nil"/>
            </w:tcBorders>
            <w:vAlign w:val="bottom"/>
          </w:tcPr>
          <w:p w14:paraId="04CF74AF">
            <w:pPr>
              <w:snapToGrid w:val="0"/>
              <w:ind w:firstLine="0" w:firstLineChars="0"/>
              <w:jc w:val="center"/>
            </w:pPr>
            <w:r>
              <w:rPr>
                <w:rFonts w:hint="eastAsia"/>
              </w:rPr>
              <w:t>0.892</w:t>
            </w:r>
            <w:r>
              <w:rPr>
                <w:rFonts w:hint="eastAsia"/>
                <w:vertAlign w:val="subscript"/>
              </w:rPr>
              <w:t>(0.073)</w:t>
            </w:r>
          </w:p>
        </w:tc>
        <w:tc>
          <w:tcPr>
            <w:tcW w:w="1086" w:type="dxa"/>
            <w:tcBorders>
              <w:top w:val="nil"/>
              <w:left w:val="nil"/>
              <w:right w:val="nil"/>
            </w:tcBorders>
            <w:vAlign w:val="bottom"/>
          </w:tcPr>
          <w:p w14:paraId="25BC20A3">
            <w:pPr>
              <w:snapToGrid w:val="0"/>
              <w:ind w:firstLine="0" w:firstLineChars="0"/>
              <w:jc w:val="center"/>
            </w:pPr>
            <w:r>
              <w:rPr>
                <w:rFonts w:hint="eastAsia"/>
              </w:rPr>
              <w:t>0.725</w:t>
            </w:r>
            <w:r>
              <w:rPr>
                <w:rFonts w:hint="eastAsia"/>
                <w:vertAlign w:val="subscript"/>
              </w:rPr>
              <w:t>(0.102)</w:t>
            </w:r>
          </w:p>
        </w:tc>
        <w:tc>
          <w:tcPr>
            <w:tcW w:w="1086" w:type="dxa"/>
            <w:tcBorders>
              <w:top w:val="nil"/>
              <w:left w:val="nil"/>
              <w:right w:val="nil"/>
            </w:tcBorders>
            <w:vAlign w:val="bottom"/>
          </w:tcPr>
          <w:p w14:paraId="3D3CD67F">
            <w:pPr>
              <w:snapToGrid w:val="0"/>
              <w:ind w:firstLine="0" w:firstLineChars="0"/>
              <w:jc w:val="center"/>
            </w:pPr>
            <w:r>
              <w:rPr>
                <w:rFonts w:hint="eastAsia"/>
              </w:rPr>
              <w:t>0.550</w:t>
            </w:r>
            <w:r>
              <w:rPr>
                <w:rFonts w:hint="eastAsia"/>
                <w:vertAlign w:val="subscript"/>
              </w:rPr>
              <w:t>(0.065)</w:t>
            </w:r>
          </w:p>
        </w:tc>
        <w:tc>
          <w:tcPr>
            <w:tcW w:w="1086" w:type="dxa"/>
            <w:tcBorders>
              <w:top w:val="nil"/>
              <w:left w:val="nil"/>
              <w:right w:val="nil"/>
            </w:tcBorders>
            <w:vAlign w:val="bottom"/>
          </w:tcPr>
          <w:p w14:paraId="61FD9256">
            <w:pPr>
              <w:snapToGrid w:val="0"/>
              <w:ind w:firstLine="0" w:firstLineChars="0"/>
              <w:jc w:val="center"/>
            </w:pPr>
            <w:r>
              <w:rPr>
                <w:rFonts w:hint="eastAsia"/>
              </w:rPr>
              <w:t>0.598</w:t>
            </w:r>
            <w:r>
              <w:rPr>
                <w:rFonts w:hint="eastAsia"/>
                <w:vertAlign w:val="subscript"/>
              </w:rPr>
              <w:t>(0.056)</w:t>
            </w:r>
          </w:p>
        </w:tc>
      </w:tr>
      <w:tr w14:paraId="24EC8339">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blHeader/>
        </w:trPr>
        <w:tc>
          <w:tcPr>
            <w:tcW w:w="1441" w:type="dxa"/>
            <w:tcBorders>
              <w:left w:val="nil"/>
              <w:bottom w:val="single" w:color="000000" w:sz="12" w:space="0"/>
              <w:right w:val="nil"/>
            </w:tcBorders>
            <w:vAlign w:val="bottom"/>
          </w:tcPr>
          <w:p w14:paraId="5C897210">
            <w:pPr>
              <w:snapToGrid w:val="0"/>
              <w:ind w:firstLine="0" w:firstLineChars="0"/>
              <w:jc w:val="center"/>
            </w:pPr>
            <w:r>
              <w:t>KGAMA</w:t>
            </w:r>
          </w:p>
        </w:tc>
        <w:tc>
          <w:tcPr>
            <w:tcW w:w="1086" w:type="dxa"/>
            <w:tcBorders>
              <w:left w:val="nil"/>
              <w:bottom w:val="single" w:color="000000" w:sz="12" w:space="0"/>
              <w:right w:val="nil"/>
            </w:tcBorders>
            <w:vAlign w:val="bottom"/>
          </w:tcPr>
          <w:p w14:paraId="1FE9A695">
            <w:pPr>
              <w:snapToGrid w:val="0"/>
              <w:ind w:firstLine="0" w:firstLineChars="0"/>
              <w:jc w:val="center"/>
            </w:pPr>
            <w:r>
              <w:rPr>
                <w:rFonts w:hint="eastAsia"/>
              </w:rPr>
              <w:t>0.870</w:t>
            </w:r>
            <w:r>
              <w:rPr>
                <w:rFonts w:hint="eastAsia"/>
                <w:vertAlign w:val="subscript"/>
              </w:rPr>
              <w:t>(0.006)</w:t>
            </w:r>
          </w:p>
        </w:tc>
        <w:tc>
          <w:tcPr>
            <w:tcW w:w="1086" w:type="dxa"/>
            <w:tcBorders>
              <w:left w:val="nil"/>
              <w:bottom w:val="single" w:color="000000" w:sz="12" w:space="0"/>
              <w:right w:val="nil"/>
            </w:tcBorders>
            <w:vAlign w:val="bottom"/>
          </w:tcPr>
          <w:p w14:paraId="61A862A4">
            <w:pPr>
              <w:snapToGrid w:val="0"/>
              <w:ind w:firstLine="0" w:firstLineChars="0"/>
              <w:jc w:val="center"/>
            </w:pPr>
            <w:r>
              <w:rPr>
                <w:rFonts w:hint="eastAsia"/>
              </w:rPr>
              <w:t>0.930</w:t>
            </w:r>
            <w:r>
              <w:rPr>
                <w:rFonts w:hint="eastAsia"/>
                <w:vertAlign w:val="subscript"/>
              </w:rPr>
              <w:t>(0.002)</w:t>
            </w:r>
          </w:p>
        </w:tc>
        <w:tc>
          <w:tcPr>
            <w:tcW w:w="1086" w:type="dxa"/>
            <w:tcBorders>
              <w:left w:val="nil"/>
              <w:bottom w:val="single" w:color="000000" w:sz="12" w:space="0"/>
              <w:right w:val="nil"/>
            </w:tcBorders>
            <w:vAlign w:val="bottom"/>
          </w:tcPr>
          <w:p w14:paraId="13DD167B">
            <w:pPr>
              <w:snapToGrid w:val="0"/>
              <w:ind w:firstLine="0" w:firstLineChars="0"/>
              <w:jc w:val="center"/>
            </w:pPr>
            <w:r>
              <w:rPr>
                <w:rFonts w:hint="eastAsia"/>
              </w:rPr>
              <w:t>0.939</w:t>
            </w:r>
            <w:r>
              <w:rPr>
                <w:rFonts w:hint="eastAsia"/>
                <w:vertAlign w:val="subscript"/>
              </w:rPr>
              <w:t>(0.012)</w:t>
            </w:r>
          </w:p>
        </w:tc>
        <w:tc>
          <w:tcPr>
            <w:tcW w:w="1086" w:type="dxa"/>
            <w:tcBorders>
              <w:left w:val="nil"/>
              <w:bottom w:val="single" w:color="000000" w:sz="12" w:space="0"/>
              <w:right w:val="nil"/>
            </w:tcBorders>
            <w:vAlign w:val="bottom"/>
          </w:tcPr>
          <w:p w14:paraId="23B42B8D">
            <w:pPr>
              <w:snapToGrid w:val="0"/>
              <w:ind w:firstLine="0" w:firstLineChars="0"/>
              <w:jc w:val="center"/>
            </w:pPr>
            <w:r>
              <w:rPr>
                <w:rFonts w:hint="eastAsia"/>
              </w:rPr>
              <w:t>0.841</w:t>
            </w:r>
            <w:r>
              <w:rPr>
                <w:rFonts w:hint="eastAsia"/>
                <w:vertAlign w:val="subscript"/>
              </w:rPr>
              <w:t>(0.005)</w:t>
            </w:r>
          </w:p>
        </w:tc>
        <w:tc>
          <w:tcPr>
            <w:tcW w:w="1086" w:type="dxa"/>
            <w:tcBorders>
              <w:left w:val="nil"/>
              <w:bottom w:val="single" w:color="000000" w:sz="12" w:space="0"/>
              <w:right w:val="nil"/>
            </w:tcBorders>
            <w:vAlign w:val="bottom"/>
          </w:tcPr>
          <w:p w14:paraId="51F782E8">
            <w:pPr>
              <w:snapToGrid w:val="0"/>
              <w:ind w:firstLine="0" w:firstLineChars="0"/>
              <w:jc w:val="center"/>
            </w:pPr>
            <w:r>
              <w:rPr>
                <w:rFonts w:hint="eastAsia"/>
              </w:rPr>
              <w:t>0.712</w:t>
            </w:r>
            <w:r>
              <w:rPr>
                <w:rFonts w:hint="eastAsia"/>
                <w:vertAlign w:val="subscript"/>
              </w:rPr>
              <w:t>(0.011)</w:t>
            </w:r>
          </w:p>
        </w:tc>
        <w:tc>
          <w:tcPr>
            <w:tcW w:w="1086" w:type="dxa"/>
            <w:tcBorders>
              <w:left w:val="nil"/>
              <w:bottom w:val="single" w:color="000000" w:sz="12" w:space="0"/>
              <w:right w:val="nil"/>
            </w:tcBorders>
            <w:vAlign w:val="bottom"/>
          </w:tcPr>
          <w:p w14:paraId="1F65F173">
            <w:pPr>
              <w:snapToGrid w:val="0"/>
              <w:ind w:firstLine="0" w:firstLineChars="0"/>
              <w:jc w:val="center"/>
            </w:pPr>
            <w:r>
              <w:rPr>
                <w:rFonts w:hint="eastAsia"/>
              </w:rPr>
              <w:t>0.669</w:t>
            </w:r>
            <w:r>
              <w:rPr>
                <w:rFonts w:hint="eastAsia"/>
                <w:vertAlign w:val="subscript"/>
              </w:rPr>
              <w:t>(0.004)</w:t>
            </w:r>
          </w:p>
        </w:tc>
      </w:tr>
    </w:tbl>
    <w:p w14:paraId="2072EF43">
      <w:pPr>
        <w:ind w:firstLine="480"/>
      </w:pPr>
      <w:r>
        <w:rPr>
          <w:rFonts w:hint="eastAsia"/>
        </w:rPr>
        <w:t>分类任务性能评估:</w:t>
      </w:r>
      <w:r>
        <w:t>相较于 AttentiveFP、CMPNN 等主流基准模型，KGAMA在 BACE（0.870 ± 0.006）与 BBBP（0.930 ± 0.110）数据集上展现出显著的性能跃升。这种优势首先归功于 Graphormer 编码器对分子图拓扑结构的深度解构：通过引入空间编码与中心性编码，模型成功捕获了传统 GNN 难以触及的长程原子依赖关系。更为关键的是，SMILES 序列与分子指纹的引入，从线性序列与局部子结构两个互补视角，有效补全了分子的全局拓扑信息，从而在复杂的生物活性预测任务中表现出更强的鲁棒性。在 ClinTox（0.941 ± 0.082）与 SIDER（0.669 ± 0.015）等涉及复杂药理毒理机制的任务中，KGAMA相比于同样采用文本对齐的 MoleculeSTM（0.925 / 0.610）实现了大幅领先。这一结果有力佐证了“知识重写流水线”的有效性：通过 LLM 剔除原始 PubChem 文本中的冗余噪声，并将 12 项关键理化性质显式注入语义空间，模型得以在特征学习阶段建立起分子结构与临床毒性间更精准的因果映射，而非仅仅依赖表层的文本共现统计。在包含数百个子任务的 Tox21（0.841）与 ToxCast（0.712）大规模数据集上，KGAMA依然保持了极高的预测稳定性。这得益于本框架设计的基于同方差不确定性的动态加权机制，该机制能够自适应地平衡不同模态间的学习权重，有效抑制了高噪声模态对主表征空间的梯度干扰，确保了模型在应对大规模多任务学习时的泛化上限。</w:t>
      </w:r>
    </w:p>
    <w:tbl>
      <w:tblPr>
        <w:tblStyle w:val="1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30"/>
        <w:gridCol w:w="2130"/>
        <w:gridCol w:w="2131"/>
        <w:gridCol w:w="2131"/>
      </w:tblGrid>
      <w:tr w14:paraId="6A7812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single" w:color="auto" w:sz="12" w:space="0"/>
              <w:left w:val="nil"/>
              <w:bottom w:val="nil"/>
              <w:right w:val="nil"/>
            </w:tcBorders>
            <w:vAlign w:val="bottom"/>
          </w:tcPr>
          <w:p w14:paraId="745190BD">
            <w:pPr>
              <w:snapToGrid w:val="0"/>
              <w:ind w:firstLine="0" w:firstLineChars="0"/>
              <w:jc w:val="center"/>
            </w:pPr>
            <w:r>
              <w:rPr>
                <w:rFonts w:hint="eastAsia"/>
              </w:rPr>
              <w:t>Datasets</w:t>
            </w:r>
          </w:p>
        </w:tc>
        <w:tc>
          <w:tcPr>
            <w:tcW w:w="2130" w:type="dxa"/>
            <w:tcBorders>
              <w:top w:val="single" w:color="auto" w:sz="12" w:space="0"/>
              <w:left w:val="nil"/>
              <w:bottom w:val="nil"/>
              <w:right w:val="nil"/>
            </w:tcBorders>
          </w:tcPr>
          <w:p w14:paraId="782A93B9">
            <w:pPr>
              <w:ind w:firstLine="480"/>
            </w:pPr>
            <w:r>
              <w:rPr>
                <w:rFonts w:hint="eastAsia"/>
              </w:rPr>
              <w:t>ESOL</w:t>
            </w:r>
          </w:p>
        </w:tc>
        <w:tc>
          <w:tcPr>
            <w:tcW w:w="2131" w:type="dxa"/>
            <w:tcBorders>
              <w:top w:val="single" w:color="auto" w:sz="12" w:space="0"/>
              <w:left w:val="nil"/>
              <w:bottom w:val="nil"/>
              <w:right w:val="nil"/>
            </w:tcBorders>
          </w:tcPr>
          <w:p w14:paraId="14722429">
            <w:pPr>
              <w:ind w:firstLine="480"/>
            </w:pPr>
            <w:r>
              <w:rPr>
                <w:rFonts w:hint="eastAsia"/>
              </w:rPr>
              <w:t>FreeSolv</w:t>
            </w:r>
          </w:p>
        </w:tc>
        <w:tc>
          <w:tcPr>
            <w:tcW w:w="2131" w:type="dxa"/>
            <w:tcBorders>
              <w:top w:val="single" w:color="auto" w:sz="12" w:space="0"/>
              <w:left w:val="nil"/>
              <w:bottom w:val="nil"/>
              <w:right w:val="nil"/>
            </w:tcBorders>
          </w:tcPr>
          <w:p w14:paraId="79E1E76C">
            <w:pPr>
              <w:ind w:firstLine="480"/>
            </w:pPr>
            <w:r>
              <w:rPr>
                <w:rFonts w:hint="eastAsia"/>
              </w:rPr>
              <w:t>Lipo</w:t>
            </w:r>
          </w:p>
        </w:tc>
      </w:tr>
      <w:tr w14:paraId="68F1C3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vAlign w:val="bottom"/>
          </w:tcPr>
          <w:p w14:paraId="1B72F9AF">
            <w:pPr>
              <w:snapToGrid w:val="0"/>
              <w:ind w:firstLine="0" w:firstLineChars="0"/>
              <w:jc w:val="center"/>
            </w:pPr>
            <w:r>
              <w:rPr>
                <w:rFonts w:hint="eastAsia"/>
              </w:rPr>
              <w:t># Molecules</w:t>
            </w:r>
          </w:p>
        </w:tc>
        <w:tc>
          <w:tcPr>
            <w:tcW w:w="2130" w:type="dxa"/>
            <w:tcBorders>
              <w:top w:val="nil"/>
              <w:left w:val="nil"/>
              <w:bottom w:val="nil"/>
              <w:right w:val="nil"/>
            </w:tcBorders>
          </w:tcPr>
          <w:p w14:paraId="24E16413">
            <w:pPr>
              <w:ind w:firstLine="480"/>
            </w:pPr>
            <w:r>
              <w:rPr>
                <w:rFonts w:hint="eastAsia"/>
              </w:rPr>
              <w:t>1128</w:t>
            </w:r>
          </w:p>
        </w:tc>
        <w:tc>
          <w:tcPr>
            <w:tcW w:w="2131" w:type="dxa"/>
            <w:tcBorders>
              <w:top w:val="nil"/>
              <w:left w:val="nil"/>
              <w:bottom w:val="nil"/>
              <w:right w:val="nil"/>
            </w:tcBorders>
          </w:tcPr>
          <w:p w14:paraId="75C8FAE6">
            <w:pPr>
              <w:ind w:firstLine="480"/>
            </w:pPr>
            <w:r>
              <w:rPr>
                <w:rFonts w:hint="eastAsia"/>
              </w:rPr>
              <w:t>642</w:t>
            </w:r>
          </w:p>
        </w:tc>
        <w:tc>
          <w:tcPr>
            <w:tcW w:w="2131" w:type="dxa"/>
            <w:tcBorders>
              <w:top w:val="nil"/>
              <w:left w:val="nil"/>
              <w:bottom w:val="nil"/>
              <w:right w:val="nil"/>
            </w:tcBorders>
          </w:tcPr>
          <w:p w14:paraId="3A4E4D21">
            <w:pPr>
              <w:ind w:firstLine="480"/>
            </w:pPr>
            <w:r>
              <w:rPr>
                <w:rFonts w:hint="eastAsia"/>
              </w:rPr>
              <w:t>4200</w:t>
            </w:r>
          </w:p>
        </w:tc>
      </w:tr>
      <w:tr w14:paraId="05D5A3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single" w:color="auto" w:sz="8" w:space="0"/>
              <w:right w:val="nil"/>
            </w:tcBorders>
            <w:vAlign w:val="bottom"/>
          </w:tcPr>
          <w:p w14:paraId="1DDF4D47">
            <w:pPr>
              <w:snapToGrid w:val="0"/>
              <w:ind w:firstLine="0" w:firstLineChars="0"/>
              <w:jc w:val="center"/>
            </w:pPr>
            <w:r>
              <w:rPr>
                <w:rFonts w:hint="eastAsia"/>
              </w:rPr>
              <w:t># Tasks</w:t>
            </w:r>
          </w:p>
        </w:tc>
        <w:tc>
          <w:tcPr>
            <w:tcW w:w="2130" w:type="dxa"/>
            <w:tcBorders>
              <w:top w:val="nil"/>
              <w:left w:val="nil"/>
              <w:bottom w:val="single" w:color="auto" w:sz="8" w:space="0"/>
              <w:right w:val="nil"/>
            </w:tcBorders>
          </w:tcPr>
          <w:p w14:paraId="1AA45584">
            <w:pPr>
              <w:ind w:firstLine="480"/>
            </w:pPr>
            <w:r>
              <w:rPr>
                <w:rFonts w:hint="eastAsia"/>
              </w:rPr>
              <w:t>1</w:t>
            </w:r>
          </w:p>
        </w:tc>
        <w:tc>
          <w:tcPr>
            <w:tcW w:w="2131" w:type="dxa"/>
            <w:tcBorders>
              <w:top w:val="nil"/>
              <w:left w:val="nil"/>
              <w:bottom w:val="single" w:color="auto" w:sz="8" w:space="0"/>
              <w:right w:val="nil"/>
            </w:tcBorders>
          </w:tcPr>
          <w:p w14:paraId="2D716FB0">
            <w:pPr>
              <w:ind w:firstLine="480"/>
            </w:pPr>
            <w:r>
              <w:rPr>
                <w:rFonts w:hint="eastAsia"/>
              </w:rPr>
              <w:t>1</w:t>
            </w:r>
          </w:p>
        </w:tc>
        <w:tc>
          <w:tcPr>
            <w:tcW w:w="2131" w:type="dxa"/>
            <w:tcBorders>
              <w:top w:val="nil"/>
              <w:left w:val="nil"/>
              <w:bottom w:val="single" w:color="auto" w:sz="8" w:space="0"/>
              <w:right w:val="nil"/>
            </w:tcBorders>
          </w:tcPr>
          <w:p w14:paraId="73D67865">
            <w:pPr>
              <w:ind w:firstLine="480"/>
            </w:pPr>
            <w:r>
              <w:rPr>
                <w:rFonts w:hint="eastAsia"/>
              </w:rPr>
              <w:t>1</w:t>
            </w:r>
          </w:p>
        </w:tc>
      </w:tr>
      <w:tr w14:paraId="294DD0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single" w:color="auto" w:sz="8" w:space="0"/>
              <w:left w:val="nil"/>
              <w:bottom w:val="nil"/>
              <w:right w:val="nil"/>
            </w:tcBorders>
            <w:vAlign w:val="bottom"/>
          </w:tcPr>
          <w:p w14:paraId="6FE07E02">
            <w:pPr>
              <w:snapToGrid w:val="0"/>
              <w:ind w:firstLine="0" w:firstLineChars="0"/>
              <w:jc w:val="center"/>
            </w:pPr>
            <w:r>
              <w:rPr>
                <w:rFonts w:hint="eastAsia"/>
              </w:rPr>
              <w:t>AttentiveFP</w:t>
            </w:r>
          </w:p>
        </w:tc>
        <w:tc>
          <w:tcPr>
            <w:tcW w:w="2130" w:type="dxa"/>
            <w:tcBorders>
              <w:top w:val="single" w:color="auto" w:sz="8" w:space="0"/>
              <w:left w:val="nil"/>
              <w:bottom w:val="nil"/>
              <w:right w:val="nil"/>
            </w:tcBorders>
            <w:vAlign w:val="center"/>
          </w:tcPr>
          <w:p w14:paraId="124EFC14">
            <w:pPr>
              <w:ind w:firstLine="480"/>
            </w:pPr>
            <w:r>
              <w:rPr>
                <w:rFonts w:hint="eastAsia"/>
              </w:rPr>
              <w:t>0.877</w:t>
            </w:r>
            <w:r>
              <w:rPr>
                <w:rFonts w:hint="eastAsia"/>
                <w:vertAlign w:val="subscript"/>
              </w:rPr>
              <w:t>(0.060)</w:t>
            </w:r>
          </w:p>
        </w:tc>
        <w:tc>
          <w:tcPr>
            <w:tcW w:w="2131" w:type="dxa"/>
            <w:tcBorders>
              <w:top w:val="single" w:color="auto" w:sz="8" w:space="0"/>
              <w:left w:val="nil"/>
              <w:bottom w:val="nil"/>
              <w:right w:val="nil"/>
            </w:tcBorders>
            <w:vAlign w:val="center"/>
          </w:tcPr>
          <w:p w14:paraId="7B294DB9">
            <w:pPr>
              <w:ind w:firstLine="480"/>
            </w:pPr>
            <w:r>
              <w:rPr>
                <w:rFonts w:hint="eastAsia"/>
              </w:rPr>
              <w:t>2.073</w:t>
            </w:r>
            <w:r>
              <w:rPr>
                <w:rFonts w:hint="eastAsia"/>
                <w:vertAlign w:val="subscript"/>
              </w:rPr>
              <w:t>(0.220)</w:t>
            </w:r>
          </w:p>
        </w:tc>
        <w:tc>
          <w:tcPr>
            <w:tcW w:w="2131" w:type="dxa"/>
            <w:tcBorders>
              <w:top w:val="single" w:color="auto" w:sz="8" w:space="0"/>
              <w:left w:val="nil"/>
              <w:bottom w:val="nil"/>
              <w:right w:val="nil"/>
            </w:tcBorders>
            <w:vAlign w:val="center"/>
          </w:tcPr>
          <w:p w14:paraId="7A97B6D4">
            <w:pPr>
              <w:ind w:firstLine="480"/>
            </w:pPr>
            <w:r>
              <w:rPr>
                <w:rFonts w:hint="eastAsia"/>
              </w:rPr>
              <w:t>0.721</w:t>
            </w:r>
            <w:r>
              <w:rPr>
                <w:rFonts w:hint="eastAsia"/>
                <w:vertAlign w:val="subscript"/>
              </w:rPr>
              <w:t>(0.030)</w:t>
            </w:r>
          </w:p>
        </w:tc>
      </w:tr>
      <w:tr w14:paraId="375B6A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vAlign w:val="bottom"/>
          </w:tcPr>
          <w:p w14:paraId="293E4DAF">
            <w:pPr>
              <w:snapToGrid w:val="0"/>
              <w:ind w:firstLine="0" w:firstLineChars="0"/>
              <w:jc w:val="center"/>
            </w:pPr>
            <w:r>
              <w:rPr>
                <w:rFonts w:hint="eastAsia"/>
              </w:rPr>
              <w:t>Mol2Vec</w:t>
            </w:r>
          </w:p>
        </w:tc>
        <w:tc>
          <w:tcPr>
            <w:tcW w:w="2130" w:type="dxa"/>
            <w:tcBorders>
              <w:top w:val="nil"/>
              <w:left w:val="nil"/>
              <w:bottom w:val="nil"/>
              <w:right w:val="nil"/>
            </w:tcBorders>
            <w:vAlign w:val="center"/>
          </w:tcPr>
          <w:p w14:paraId="5636EF44">
            <w:pPr>
              <w:ind w:firstLine="480"/>
            </w:pPr>
            <w:r>
              <w:rPr>
                <w:rFonts w:hint="eastAsia"/>
              </w:rPr>
              <w:t>0.995</w:t>
            </w:r>
            <w:r>
              <w:rPr>
                <w:rFonts w:hint="eastAsia"/>
                <w:vertAlign w:val="subscript"/>
              </w:rPr>
              <w:t>(0.032)</w:t>
            </w:r>
          </w:p>
        </w:tc>
        <w:tc>
          <w:tcPr>
            <w:tcW w:w="2131" w:type="dxa"/>
            <w:tcBorders>
              <w:top w:val="nil"/>
              <w:left w:val="nil"/>
              <w:bottom w:val="nil"/>
              <w:right w:val="nil"/>
            </w:tcBorders>
            <w:vAlign w:val="center"/>
          </w:tcPr>
          <w:p w14:paraId="1485E27E">
            <w:pPr>
              <w:ind w:firstLine="480"/>
            </w:pPr>
            <w:r>
              <w:rPr>
                <w:rFonts w:hint="eastAsia"/>
              </w:rPr>
              <w:t>2.021</w:t>
            </w:r>
            <w:r>
              <w:rPr>
                <w:rFonts w:hint="eastAsia"/>
                <w:vertAlign w:val="subscript"/>
              </w:rPr>
              <w:t>(0.154)</w:t>
            </w:r>
          </w:p>
        </w:tc>
        <w:tc>
          <w:tcPr>
            <w:tcW w:w="2131" w:type="dxa"/>
            <w:tcBorders>
              <w:top w:val="nil"/>
              <w:left w:val="nil"/>
              <w:bottom w:val="nil"/>
              <w:right w:val="nil"/>
            </w:tcBorders>
            <w:vAlign w:val="center"/>
          </w:tcPr>
          <w:p w14:paraId="6F4EA6A1">
            <w:pPr>
              <w:ind w:firstLine="480"/>
            </w:pPr>
            <w:r>
              <w:rPr>
                <w:rFonts w:hint="eastAsia"/>
              </w:rPr>
              <w:t>0.803</w:t>
            </w:r>
            <w:r>
              <w:rPr>
                <w:rFonts w:hint="eastAsia"/>
                <w:vertAlign w:val="subscript"/>
              </w:rPr>
              <w:t>(0.021)</w:t>
            </w:r>
          </w:p>
        </w:tc>
      </w:tr>
      <w:tr w14:paraId="41778A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vAlign w:val="bottom"/>
          </w:tcPr>
          <w:p w14:paraId="491CD4C6">
            <w:pPr>
              <w:snapToGrid w:val="0"/>
              <w:ind w:firstLine="0" w:firstLineChars="0"/>
              <w:jc w:val="center"/>
            </w:pPr>
            <w:r>
              <w:rPr>
                <w:rFonts w:hint="eastAsia"/>
              </w:rPr>
              <w:t>GROVER</w:t>
            </w:r>
          </w:p>
        </w:tc>
        <w:tc>
          <w:tcPr>
            <w:tcW w:w="2130" w:type="dxa"/>
            <w:tcBorders>
              <w:top w:val="nil"/>
              <w:left w:val="nil"/>
              <w:bottom w:val="nil"/>
              <w:right w:val="nil"/>
            </w:tcBorders>
            <w:vAlign w:val="center"/>
          </w:tcPr>
          <w:p w14:paraId="721B8066">
            <w:pPr>
              <w:ind w:firstLine="480"/>
            </w:pPr>
            <w:r>
              <w:rPr>
                <w:rFonts w:hint="eastAsia"/>
              </w:rPr>
              <w:t>0.921</w:t>
            </w:r>
            <w:r>
              <w:rPr>
                <w:rFonts w:hint="eastAsia"/>
                <w:vertAlign w:val="subscript"/>
              </w:rPr>
              <w:t>(0.087)</w:t>
            </w:r>
          </w:p>
        </w:tc>
        <w:tc>
          <w:tcPr>
            <w:tcW w:w="2131" w:type="dxa"/>
            <w:tcBorders>
              <w:top w:val="nil"/>
              <w:left w:val="nil"/>
              <w:bottom w:val="nil"/>
              <w:right w:val="nil"/>
            </w:tcBorders>
            <w:vAlign w:val="center"/>
          </w:tcPr>
          <w:p w14:paraId="2419CC68">
            <w:pPr>
              <w:ind w:firstLine="480"/>
            </w:pPr>
            <w:r>
              <w:rPr>
                <w:rFonts w:hint="eastAsia"/>
              </w:rPr>
              <w:t>2.026</w:t>
            </w:r>
            <w:r>
              <w:rPr>
                <w:rFonts w:hint="eastAsia"/>
                <w:vertAlign w:val="subscript"/>
              </w:rPr>
              <w:t>(0.127)</w:t>
            </w:r>
          </w:p>
        </w:tc>
        <w:tc>
          <w:tcPr>
            <w:tcW w:w="2131" w:type="dxa"/>
            <w:tcBorders>
              <w:top w:val="nil"/>
              <w:left w:val="nil"/>
              <w:bottom w:val="nil"/>
              <w:right w:val="nil"/>
            </w:tcBorders>
            <w:vAlign w:val="center"/>
          </w:tcPr>
          <w:p w14:paraId="0CC3754C">
            <w:pPr>
              <w:ind w:firstLine="480"/>
            </w:pPr>
            <w:r>
              <w:rPr>
                <w:rFonts w:hint="eastAsia"/>
              </w:rPr>
              <w:t>0.646</w:t>
            </w:r>
            <w:r>
              <w:rPr>
                <w:rFonts w:hint="eastAsia"/>
                <w:vertAlign w:val="subscript"/>
              </w:rPr>
              <w:t>(0.022)</w:t>
            </w:r>
          </w:p>
        </w:tc>
      </w:tr>
      <w:tr w14:paraId="43D02C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vAlign w:val="bottom"/>
          </w:tcPr>
          <w:p w14:paraId="221B4C4C">
            <w:pPr>
              <w:snapToGrid w:val="0"/>
              <w:ind w:firstLine="0" w:firstLineChars="0"/>
              <w:jc w:val="center"/>
            </w:pPr>
            <w:r>
              <w:rPr>
                <w:rFonts w:hint="eastAsia"/>
              </w:rPr>
              <w:t>GraphMVP</w:t>
            </w:r>
          </w:p>
        </w:tc>
        <w:tc>
          <w:tcPr>
            <w:tcW w:w="2130" w:type="dxa"/>
            <w:tcBorders>
              <w:top w:val="nil"/>
              <w:left w:val="nil"/>
              <w:bottom w:val="nil"/>
              <w:right w:val="nil"/>
            </w:tcBorders>
            <w:vAlign w:val="center"/>
          </w:tcPr>
          <w:p w14:paraId="0C4AD149">
            <w:pPr>
              <w:ind w:firstLine="480"/>
            </w:pPr>
            <w:r>
              <w:rPr>
                <w:rFonts w:hint="eastAsia"/>
              </w:rPr>
              <w:t>1.029</w:t>
            </w:r>
            <w:r>
              <w:rPr>
                <w:rFonts w:hint="eastAsia"/>
                <w:vertAlign w:val="subscript"/>
              </w:rPr>
              <w:t>(0.033)</w:t>
            </w:r>
          </w:p>
        </w:tc>
        <w:tc>
          <w:tcPr>
            <w:tcW w:w="2131" w:type="dxa"/>
            <w:tcBorders>
              <w:top w:val="nil"/>
              <w:left w:val="nil"/>
              <w:bottom w:val="nil"/>
              <w:right w:val="nil"/>
            </w:tcBorders>
            <w:vAlign w:val="center"/>
          </w:tcPr>
          <w:p w14:paraId="2D4B908C">
            <w:pPr>
              <w:ind w:firstLine="480"/>
            </w:pPr>
            <w:r>
              <w:rPr>
                <w:rFonts w:hint="eastAsia"/>
              </w:rPr>
              <w:t>1.893</w:t>
            </w:r>
            <w:r>
              <w:rPr>
                <w:rFonts w:hint="eastAsia"/>
                <w:vertAlign w:val="subscript"/>
              </w:rPr>
              <w:t>(0.063)</w:t>
            </w:r>
          </w:p>
        </w:tc>
        <w:tc>
          <w:tcPr>
            <w:tcW w:w="2131" w:type="dxa"/>
            <w:tcBorders>
              <w:top w:val="nil"/>
              <w:left w:val="nil"/>
              <w:bottom w:val="nil"/>
              <w:right w:val="nil"/>
            </w:tcBorders>
            <w:vAlign w:val="center"/>
          </w:tcPr>
          <w:p w14:paraId="46F51916">
            <w:pPr>
              <w:ind w:firstLine="480"/>
            </w:pPr>
            <w:r>
              <w:rPr>
                <w:rFonts w:hint="eastAsia"/>
              </w:rPr>
              <w:t>0.681</w:t>
            </w:r>
            <w:r>
              <w:rPr>
                <w:rFonts w:hint="eastAsia"/>
                <w:vertAlign w:val="subscript"/>
              </w:rPr>
              <w:t>(0.002)</w:t>
            </w:r>
          </w:p>
        </w:tc>
      </w:tr>
      <w:tr w14:paraId="7703B5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vAlign w:val="bottom"/>
          </w:tcPr>
          <w:p w14:paraId="2451675E">
            <w:pPr>
              <w:snapToGrid w:val="0"/>
              <w:ind w:firstLine="0" w:firstLineChars="0"/>
              <w:jc w:val="center"/>
            </w:pPr>
            <w:r>
              <w:rPr>
                <w:rFonts w:hint="eastAsia"/>
              </w:rPr>
              <w:t>MPNN</w:t>
            </w:r>
          </w:p>
        </w:tc>
        <w:tc>
          <w:tcPr>
            <w:tcW w:w="2130" w:type="dxa"/>
            <w:tcBorders>
              <w:top w:val="nil"/>
              <w:left w:val="nil"/>
              <w:bottom w:val="nil"/>
              <w:right w:val="nil"/>
            </w:tcBorders>
            <w:vAlign w:val="center"/>
          </w:tcPr>
          <w:p w14:paraId="61F73BAA">
            <w:pPr>
              <w:ind w:firstLine="480"/>
            </w:pPr>
            <w:r>
              <w:rPr>
                <w:rFonts w:hint="eastAsia"/>
              </w:rPr>
              <w:t>1.167</w:t>
            </w:r>
            <w:r>
              <w:rPr>
                <w:rFonts w:hint="eastAsia"/>
                <w:vertAlign w:val="subscript"/>
              </w:rPr>
              <w:t>(0.430)</w:t>
            </w:r>
          </w:p>
        </w:tc>
        <w:tc>
          <w:tcPr>
            <w:tcW w:w="2131" w:type="dxa"/>
            <w:tcBorders>
              <w:top w:val="nil"/>
              <w:left w:val="nil"/>
              <w:bottom w:val="nil"/>
              <w:right w:val="nil"/>
            </w:tcBorders>
            <w:vAlign w:val="center"/>
          </w:tcPr>
          <w:p w14:paraId="64B8E3A3">
            <w:pPr>
              <w:ind w:firstLine="480"/>
            </w:pPr>
            <w:r>
              <w:rPr>
                <w:rFonts w:hint="eastAsia"/>
              </w:rPr>
              <w:t>2.185</w:t>
            </w:r>
            <w:r>
              <w:rPr>
                <w:rFonts w:hint="eastAsia"/>
                <w:vertAlign w:val="subscript"/>
              </w:rPr>
              <w:t>(0.952)</w:t>
            </w:r>
          </w:p>
        </w:tc>
        <w:tc>
          <w:tcPr>
            <w:tcW w:w="2131" w:type="dxa"/>
            <w:tcBorders>
              <w:top w:val="nil"/>
              <w:left w:val="nil"/>
              <w:bottom w:val="nil"/>
              <w:right w:val="nil"/>
            </w:tcBorders>
            <w:vAlign w:val="center"/>
          </w:tcPr>
          <w:p w14:paraId="2401E039">
            <w:pPr>
              <w:ind w:firstLine="480"/>
            </w:pPr>
            <w:r>
              <w:rPr>
                <w:rFonts w:hint="eastAsia"/>
              </w:rPr>
              <w:t>0.672</w:t>
            </w:r>
            <w:r>
              <w:rPr>
                <w:rFonts w:hint="eastAsia"/>
                <w:vertAlign w:val="subscript"/>
              </w:rPr>
              <w:t>(0.051)</w:t>
            </w:r>
          </w:p>
        </w:tc>
      </w:tr>
      <w:tr w14:paraId="3FF28E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vAlign w:val="bottom"/>
          </w:tcPr>
          <w:p w14:paraId="6461BA02">
            <w:pPr>
              <w:snapToGrid w:val="0"/>
              <w:ind w:firstLine="0" w:firstLineChars="0"/>
              <w:jc w:val="center"/>
            </w:pPr>
            <w:r>
              <w:rPr>
                <w:rFonts w:hint="eastAsia"/>
              </w:rPr>
              <w:t>DMPNN</w:t>
            </w:r>
          </w:p>
        </w:tc>
        <w:tc>
          <w:tcPr>
            <w:tcW w:w="2130" w:type="dxa"/>
            <w:tcBorders>
              <w:top w:val="nil"/>
              <w:left w:val="nil"/>
              <w:bottom w:val="nil"/>
              <w:right w:val="nil"/>
            </w:tcBorders>
            <w:vAlign w:val="center"/>
          </w:tcPr>
          <w:p w14:paraId="1429BE6A">
            <w:pPr>
              <w:ind w:firstLine="480"/>
            </w:pPr>
            <w:r>
              <w:rPr>
                <w:rFonts w:hint="eastAsia"/>
              </w:rPr>
              <w:t>0.972</w:t>
            </w:r>
            <w:r>
              <w:rPr>
                <w:rFonts w:hint="eastAsia"/>
                <w:vertAlign w:val="subscript"/>
              </w:rPr>
              <w:t>(0.097)</w:t>
            </w:r>
          </w:p>
        </w:tc>
        <w:tc>
          <w:tcPr>
            <w:tcW w:w="2131" w:type="dxa"/>
            <w:tcBorders>
              <w:top w:val="nil"/>
              <w:left w:val="nil"/>
              <w:bottom w:val="nil"/>
              <w:right w:val="nil"/>
            </w:tcBorders>
            <w:vAlign w:val="center"/>
          </w:tcPr>
          <w:p w14:paraId="207A9A43">
            <w:pPr>
              <w:ind w:firstLine="480"/>
            </w:pPr>
            <w:r>
              <w:rPr>
                <w:rFonts w:hint="eastAsia"/>
              </w:rPr>
              <w:t>2.170</w:t>
            </w:r>
            <w:r>
              <w:rPr>
                <w:rFonts w:hint="eastAsia"/>
                <w:vertAlign w:val="subscript"/>
              </w:rPr>
              <w:t>(0.536)</w:t>
            </w:r>
          </w:p>
        </w:tc>
        <w:tc>
          <w:tcPr>
            <w:tcW w:w="2131" w:type="dxa"/>
            <w:tcBorders>
              <w:top w:val="nil"/>
              <w:left w:val="nil"/>
              <w:bottom w:val="nil"/>
              <w:right w:val="nil"/>
            </w:tcBorders>
            <w:vAlign w:val="center"/>
          </w:tcPr>
          <w:p w14:paraId="1A7CC732">
            <w:pPr>
              <w:ind w:firstLine="480"/>
            </w:pPr>
            <w:r>
              <w:rPr>
                <w:rFonts w:hint="eastAsia"/>
              </w:rPr>
              <w:t>0.662</w:t>
            </w:r>
            <w:r>
              <w:rPr>
                <w:rFonts w:hint="eastAsia"/>
                <w:vertAlign w:val="subscript"/>
              </w:rPr>
              <w:t>(0.051)</w:t>
            </w:r>
          </w:p>
        </w:tc>
      </w:tr>
      <w:tr w14:paraId="75BC13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vAlign w:val="bottom"/>
          </w:tcPr>
          <w:p w14:paraId="5747F2DB">
            <w:pPr>
              <w:snapToGrid w:val="0"/>
              <w:ind w:firstLine="0" w:firstLineChars="0"/>
              <w:jc w:val="center"/>
            </w:pPr>
            <w:r>
              <w:rPr>
                <w:rFonts w:hint="eastAsia"/>
              </w:rPr>
              <w:t>CMPNN</w:t>
            </w:r>
          </w:p>
        </w:tc>
        <w:tc>
          <w:tcPr>
            <w:tcW w:w="2130" w:type="dxa"/>
            <w:tcBorders>
              <w:top w:val="nil"/>
              <w:left w:val="nil"/>
              <w:bottom w:val="nil"/>
              <w:right w:val="nil"/>
            </w:tcBorders>
            <w:vAlign w:val="center"/>
          </w:tcPr>
          <w:p w14:paraId="7E3CB1F1">
            <w:pPr>
              <w:ind w:firstLine="480"/>
            </w:pPr>
            <w:r>
              <w:rPr>
                <w:rFonts w:hint="eastAsia"/>
              </w:rPr>
              <w:t>0.845</w:t>
            </w:r>
            <w:r>
              <w:rPr>
                <w:rFonts w:hint="eastAsia"/>
                <w:vertAlign w:val="subscript"/>
              </w:rPr>
              <w:t>(0.039)</w:t>
            </w:r>
          </w:p>
        </w:tc>
        <w:tc>
          <w:tcPr>
            <w:tcW w:w="2131" w:type="dxa"/>
            <w:tcBorders>
              <w:top w:val="nil"/>
              <w:left w:val="nil"/>
              <w:bottom w:val="nil"/>
              <w:right w:val="nil"/>
            </w:tcBorders>
            <w:vAlign w:val="center"/>
          </w:tcPr>
          <w:p w14:paraId="79836A73">
            <w:pPr>
              <w:ind w:firstLine="480"/>
            </w:pPr>
            <w:r>
              <w:rPr>
                <w:rFonts w:hint="eastAsia"/>
              </w:rPr>
              <w:t>1.833</w:t>
            </w:r>
            <w:r>
              <w:rPr>
                <w:rFonts w:hint="eastAsia"/>
                <w:vertAlign w:val="subscript"/>
              </w:rPr>
              <w:t>(0.581)</w:t>
            </w:r>
          </w:p>
        </w:tc>
        <w:tc>
          <w:tcPr>
            <w:tcW w:w="2131" w:type="dxa"/>
            <w:tcBorders>
              <w:top w:val="nil"/>
              <w:left w:val="nil"/>
              <w:bottom w:val="nil"/>
              <w:right w:val="nil"/>
            </w:tcBorders>
            <w:vAlign w:val="center"/>
          </w:tcPr>
          <w:p w14:paraId="4197C061">
            <w:pPr>
              <w:ind w:firstLine="480"/>
            </w:pPr>
            <w:r>
              <w:rPr>
                <w:rFonts w:hint="eastAsia"/>
              </w:rPr>
              <w:t>0.658</w:t>
            </w:r>
            <w:r>
              <w:rPr>
                <w:rFonts w:hint="eastAsia"/>
                <w:vertAlign w:val="subscript"/>
              </w:rPr>
              <w:t>(0.029)</w:t>
            </w:r>
          </w:p>
        </w:tc>
      </w:tr>
      <w:tr w14:paraId="46FE6E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vAlign w:val="bottom"/>
          </w:tcPr>
          <w:p w14:paraId="4B502252">
            <w:pPr>
              <w:snapToGrid w:val="0"/>
              <w:ind w:firstLine="0" w:firstLineChars="0"/>
              <w:jc w:val="center"/>
            </w:pPr>
            <w:r>
              <w:rPr>
                <w:rFonts w:hint="eastAsia"/>
              </w:rPr>
              <w:t>GIN</w:t>
            </w:r>
          </w:p>
        </w:tc>
        <w:tc>
          <w:tcPr>
            <w:tcW w:w="2130" w:type="dxa"/>
            <w:tcBorders>
              <w:top w:val="nil"/>
              <w:left w:val="nil"/>
              <w:bottom w:val="nil"/>
              <w:right w:val="nil"/>
            </w:tcBorders>
            <w:vAlign w:val="center"/>
          </w:tcPr>
          <w:p w14:paraId="5C417A08">
            <w:pPr>
              <w:ind w:firstLine="480"/>
            </w:pPr>
            <w:r>
              <w:rPr>
                <w:rFonts w:hint="eastAsia"/>
              </w:rPr>
              <w:t>0.885</w:t>
            </w:r>
            <w:r>
              <w:rPr>
                <w:rFonts w:hint="eastAsia"/>
                <w:vertAlign w:val="subscript"/>
              </w:rPr>
              <w:t>(0.051)</w:t>
            </w:r>
          </w:p>
        </w:tc>
        <w:tc>
          <w:tcPr>
            <w:tcW w:w="2131" w:type="dxa"/>
            <w:tcBorders>
              <w:top w:val="nil"/>
              <w:left w:val="nil"/>
              <w:bottom w:val="nil"/>
              <w:right w:val="nil"/>
            </w:tcBorders>
            <w:vAlign w:val="center"/>
          </w:tcPr>
          <w:p w14:paraId="56F3615E">
            <w:pPr>
              <w:ind w:firstLine="480"/>
            </w:pPr>
            <w:r>
              <w:rPr>
                <w:rFonts w:hint="eastAsia"/>
              </w:rPr>
              <w:t>1.619</w:t>
            </w:r>
            <w:r>
              <w:rPr>
                <w:rFonts w:hint="eastAsia"/>
                <w:vertAlign w:val="subscript"/>
              </w:rPr>
              <w:t>(0.202)</w:t>
            </w:r>
          </w:p>
        </w:tc>
        <w:tc>
          <w:tcPr>
            <w:tcW w:w="2131" w:type="dxa"/>
            <w:tcBorders>
              <w:top w:val="nil"/>
              <w:left w:val="nil"/>
              <w:bottom w:val="nil"/>
              <w:right w:val="nil"/>
            </w:tcBorders>
            <w:vAlign w:val="center"/>
          </w:tcPr>
          <w:p w14:paraId="51EB3288">
            <w:pPr>
              <w:ind w:firstLine="480"/>
            </w:pPr>
            <w:r>
              <w:rPr>
                <w:rFonts w:hint="eastAsia"/>
              </w:rPr>
              <w:t>0.659</w:t>
            </w:r>
            <w:r>
              <w:rPr>
                <w:rFonts w:hint="eastAsia"/>
                <w:vertAlign w:val="subscript"/>
              </w:rPr>
              <w:t>(0.085)</w:t>
            </w:r>
          </w:p>
        </w:tc>
      </w:tr>
      <w:tr w14:paraId="4FC888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vAlign w:val="bottom"/>
          </w:tcPr>
          <w:p w14:paraId="29CF446E">
            <w:pPr>
              <w:snapToGrid w:val="0"/>
              <w:ind w:firstLine="0" w:firstLineChars="0"/>
              <w:jc w:val="center"/>
            </w:pPr>
            <w:r>
              <w:rPr>
                <w:rFonts w:hint="eastAsia"/>
              </w:rPr>
              <w:t>SchNet</w:t>
            </w:r>
          </w:p>
        </w:tc>
        <w:tc>
          <w:tcPr>
            <w:tcW w:w="2130" w:type="dxa"/>
            <w:tcBorders>
              <w:top w:val="nil"/>
              <w:left w:val="nil"/>
              <w:bottom w:val="nil"/>
              <w:right w:val="nil"/>
            </w:tcBorders>
            <w:vAlign w:val="center"/>
          </w:tcPr>
          <w:p w14:paraId="0F80F38D">
            <w:pPr>
              <w:ind w:firstLine="480"/>
            </w:pPr>
            <w:r>
              <w:rPr>
                <w:rFonts w:hint="eastAsia"/>
              </w:rPr>
              <w:t>1.045</w:t>
            </w:r>
            <w:r>
              <w:rPr>
                <w:rFonts w:hint="eastAsia"/>
                <w:vertAlign w:val="subscript"/>
              </w:rPr>
              <w:t>(0.064)</w:t>
            </w:r>
          </w:p>
        </w:tc>
        <w:tc>
          <w:tcPr>
            <w:tcW w:w="2131" w:type="dxa"/>
            <w:tcBorders>
              <w:top w:val="nil"/>
              <w:left w:val="nil"/>
              <w:bottom w:val="nil"/>
              <w:right w:val="nil"/>
            </w:tcBorders>
            <w:vAlign w:val="center"/>
          </w:tcPr>
          <w:p w14:paraId="610C158D">
            <w:pPr>
              <w:ind w:firstLine="480"/>
            </w:pPr>
            <w:r>
              <w:rPr>
                <w:rFonts w:hint="eastAsia"/>
              </w:rPr>
              <w:t>3.215</w:t>
            </w:r>
            <w:r>
              <w:rPr>
                <w:rFonts w:hint="eastAsia"/>
                <w:vertAlign w:val="subscript"/>
              </w:rPr>
              <w:t>(0.355)</w:t>
            </w:r>
          </w:p>
        </w:tc>
        <w:tc>
          <w:tcPr>
            <w:tcW w:w="2131" w:type="dxa"/>
            <w:tcBorders>
              <w:top w:val="nil"/>
              <w:left w:val="nil"/>
              <w:bottom w:val="nil"/>
              <w:right w:val="nil"/>
            </w:tcBorders>
            <w:vAlign w:val="center"/>
          </w:tcPr>
          <w:p w14:paraId="27A3BE4E">
            <w:pPr>
              <w:ind w:firstLine="480"/>
            </w:pPr>
            <w:r>
              <w:rPr>
                <w:rFonts w:hint="eastAsia"/>
              </w:rPr>
              <w:t>0.909</w:t>
            </w:r>
            <w:r>
              <w:rPr>
                <w:rFonts w:hint="eastAsia"/>
                <w:vertAlign w:val="subscript"/>
              </w:rPr>
              <w:t>(0.098)</w:t>
            </w:r>
          </w:p>
        </w:tc>
      </w:tr>
      <w:tr w14:paraId="05F54C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vAlign w:val="bottom"/>
          </w:tcPr>
          <w:p w14:paraId="5B24ED78">
            <w:pPr>
              <w:snapToGrid w:val="0"/>
              <w:ind w:firstLine="0" w:firstLineChars="0"/>
              <w:jc w:val="center"/>
            </w:pPr>
            <w:r>
              <w:rPr>
                <w:rFonts w:hint="eastAsia"/>
              </w:rPr>
              <w:t>N-Gram</w:t>
            </w:r>
          </w:p>
        </w:tc>
        <w:tc>
          <w:tcPr>
            <w:tcW w:w="2130" w:type="dxa"/>
            <w:tcBorders>
              <w:top w:val="nil"/>
              <w:left w:val="nil"/>
              <w:bottom w:val="nil"/>
              <w:right w:val="nil"/>
            </w:tcBorders>
            <w:vAlign w:val="center"/>
          </w:tcPr>
          <w:p w14:paraId="32B6F494">
            <w:pPr>
              <w:ind w:firstLine="480"/>
            </w:pPr>
            <w:r>
              <w:rPr>
                <w:rFonts w:hint="eastAsia"/>
              </w:rPr>
              <w:t>1.074</w:t>
            </w:r>
            <w:r>
              <w:rPr>
                <w:rFonts w:hint="eastAsia"/>
                <w:vertAlign w:val="subscript"/>
              </w:rPr>
              <w:t>(0.112)</w:t>
            </w:r>
          </w:p>
        </w:tc>
        <w:tc>
          <w:tcPr>
            <w:tcW w:w="2131" w:type="dxa"/>
            <w:tcBorders>
              <w:top w:val="nil"/>
              <w:left w:val="nil"/>
              <w:bottom w:val="nil"/>
              <w:right w:val="nil"/>
            </w:tcBorders>
            <w:vAlign w:val="center"/>
          </w:tcPr>
          <w:p w14:paraId="2FD19F65">
            <w:pPr>
              <w:ind w:firstLine="480"/>
            </w:pPr>
            <w:r>
              <w:rPr>
                <w:rFonts w:hint="eastAsia"/>
              </w:rPr>
              <w:t>2.688</w:t>
            </w:r>
            <w:r>
              <w:rPr>
                <w:rFonts w:hint="eastAsia"/>
                <w:vertAlign w:val="subscript"/>
              </w:rPr>
              <w:t>(0.251)</w:t>
            </w:r>
          </w:p>
        </w:tc>
        <w:tc>
          <w:tcPr>
            <w:tcW w:w="2131" w:type="dxa"/>
            <w:tcBorders>
              <w:top w:val="nil"/>
              <w:left w:val="nil"/>
              <w:bottom w:val="nil"/>
              <w:right w:val="nil"/>
            </w:tcBorders>
            <w:vAlign w:val="center"/>
          </w:tcPr>
          <w:p w14:paraId="17DCA010">
            <w:pPr>
              <w:ind w:firstLine="480"/>
            </w:pPr>
            <w:r>
              <w:rPr>
                <w:rFonts w:hint="eastAsia"/>
              </w:rPr>
              <w:t>0.812</w:t>
            </w:r>
            <w:r>
              <w:rPr>
                <w:rFonts w:hint="eastAsia"/>
                <w:vertAlign w:val="subscript"/>
              </w:rPr>
              <w:t>(0.031)</w:t>
            </w:r>
          </w:p>
        </w:tc>
      </w:tr>
      <w:tr w14:paraId="4F9CFB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vAlign w:val="bottom"/>
          </w:tcPr>
          <w:p w14:paraId="2E809C94">
            <w:pPr>
              <w:snapToGrid w:val="0"/>
              <w:ind w:firstLine="0" w:firstLineChars="0"/>
              <w:jc w:val="center"/>
            </w:pPr>
            <w:r>
              <w:rPr>
                <w:rFonts w:hint="eastAsia"/>
              </w:rPr>
              <w:t>MoleculeSTM</w:t>
            </w:r>
          </w:p>
        </w:tc>
        <w:tc>
          <w:tcPr>
            <w:tcW w:w="2130" w:type="dxa"/>
            <w:tcBorders>
              <w:top w:val="nil"/>
              <w:left w:val="nil"/>
              <w:bottom w:val="nil"/>
              <w:right w:val="nil"/>
            </w:tcBorders>
            <w:vAlign w:val="center"/>
          </w:tcPr>
          <w:p w14:paraId="1703A419">
            <w:pPr>
              <w:ind w:firstLine="480"/>
            </w:pPr>
            <w:r>
              <w:rPr>
                <w:rFonts w:hint="eastAsia"/>
              </w:rPr>
              <w:t>-</w:t>
            </w:r>
          </w:p>
        </w:tc>
        <w:tc>
          <w:tcPr>
            <w:tcW w:w="2131" w:type="dxa"/>
            <w:tcBorders>
              <w:top w:val="nil"/>
              <w:left w:val="nil"/>
              <w:bottom w:val="nil"/>
              <w:right w:val="nil"/>
            </w:tcBorders>
            <w:vAlign w:val="center"/>
          </w:tcPr>
          <w:p w14:paraId="01BB0DC1">
            <w:pPr>
              <w:ind w:firstLine="480"/>
            </w:pPr>
            <w:r>
              <w:rPr>
                <w:rFonts w:hint="eastAsia"/>
              </w:rPr>
              <w:t>-</w:t>
            </w:r>
          </w:p>
        </w:tc>
        <w:tc>
          <w:tcPr>
            <w:tcW w:w="2131" w:type="dxa"/>
            <w:tcBorders>
              <w:top w:val="nil"/>
              <w:left w:val="nil"/>
              <w:bottom w:val="nil"/>
              <w:right w:val="nil"/>
            </w:tcBorders>
            <w:vAlign w:val="center"/>
          </w:tcPr>
          <w:p w14:paraId="000B6136">
            <w:pPr>
              <w:ind w:firstLine="480"/>
            </w:pPr>
            <w:r>
              <w:rPr>
                <w:rFonts w:hint="eastAsia"/>
              </w:rPr>
              <w:t>-</w:t>
            </w:r>
          </w:p>
        </w:tc>
      </w:tr>
      <w:tr w14:paraId="7A91C1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vAlign w:val="bottom"/>
          </w:tcPr>
          <w:p w14:paraId="546F3EDB">
            <w:pPr>
              <w:snapToGrid w:val="0"/>
              <w:ind w:firstLine="0" w:firstLineChars="0"/>
              <w:jc w:val="center"/>
            </w:pPr>
            <w:r>
              <w:rPr>
                <w:rFonts w:hint="eastAsia"/>
              </w:rPr>
              <w:t>MoMu</w:t>
            </w:r>
          </w:p>
        </w:tc>
        <w:tc>
          <w:tcPr>
            <w:tcW w:w="2130" w:type="dxa"/>
            <w:tcBorders>
              <w:top w:val="nil"/>
              <w:left w:val="nil"/>
              <w:bottom w:val="nil"/>
              <w:right w:val="nil"/>
            </w:tcBorders>
            <w:vAlign w:val="center"/>
          </w:tcPr>
          <w:p w14:paraId="4ACB36DE">
            <w:pPr>
              <w:ind w:firstLine="480"/>
            </w:pPr>
            <w:r>
              <w:rPr>
                <w:rFonts w:hint="eastAsia"/>
              </w:rPr>
              <w:t>-</w:t>
            </w:r>
          </w:p>
        </w:tc>
        <w:tc>
          <w:tcPr>
            <w:tcW w:w="2131" w:type="dxa"/>
            <w:tcBorders>
              <w:top w:val="nil"/>
              <w:left w:val="nil"/>
              <w:bottom w:val="nil"/>
              <w:right w:val="nil"/>
            </w:tcBorders>
            <w:vAlign w:val="center"/>
          </w:tcPr>
          <w:p w14:paraId="7104BE48">
            <w:pPr>
              <w:ind w:firstLine="480"/>
            </w:pPr>
            <w:r>
              <w:rPr>
                <w:rFonts w:hint="eastAsia"/>
              </w:rPr>
              <w:t>-</w:t>
            </w:r>
          </w:p>
        </w:tc>
        <w:tc>
          <w:tcPr>
            <w:tcW w:w="2131" w:type="dxa"/>
            <w:tcBorders>
              <w:top w:val="nil"/>
              <w:left w:val="nil"/>
              <w:bottom w:val="nil"/>
              <w:right w:val="nil"/>
            </w:tcBorders>
            <w:vAlign w:val="center"/>
          </w:tcPr>
          <w:p w14:paraId="5E04D5FA">
            <w:pPr>
              <w:ind w:firstLine="480"/>
            </w:pPr>
            <w:r>
              <w:rPr>
                <w:rFonts w:hint="eastAsia"/>
              </w:rPr>
              <w:t>-</w:t>
            </w:r>
          </w:p>
        </w:tc>
      </w:tr>
      <w:tr w14:paraId="79DB93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single" w:color="auto" w:sz="8" w:space="0"/>
              <w:right w:val="nil"/>
            </w:tcBorders>
            <w:vAlign w:val="bottom"/>
          </w:tcPr>
          <w:p w14:paraId="44BAD6A6">
            <w:pPr>
              <w:snapToGrid w:val="0"/>
              <w:ind w:firstLine="0" w:firstLineChars="0"/>
              <w:jc w:val="center"/>
            </w:pPr>
            <w:r>
              <w:rPr>
                <w:rFonts w:hint="eastAsia"/>
              </w:rPr>
              <w:t>KV-PLM</w:t>
            </w:r>
          </w:p>
        </w:tc>
        <w:tc>
          <w:tcPr>
            <w:tcW w:w="2130" w:type="dxa"/>
            <w:tcBorders>
              <w:top w:val="nil"/>
              <w:left w:val="nil"/>
              <w:bottom w:val="single" w:color="auto" w:sz="8" w:space="0"/>
              <w:right w:val="nil"/>
            </w:tcBorders>
            <w:vAlign w:val="center"/>
          </w:tcPr>
          <w:p w14:paraId="4EC98089">
            <w:pPr>
              <w:ind w:firstLine="480"/>
            </w:pPr>
            <w:r>
              <w:rPr>
                <w:rFonts w:hint="eastAsia"/>
              </w:rPr>
              <w:t>1.124</w:t>
            </w:r>
            <w:r>
              <w:rPr>
                <w:rFonts w:hint="eastAsia"/>
                <w:vertAlign w:val="subscript"/>
              </w:rPr>
              <w:t>(0.251)</w:t>
            </w:r>
          </w:p>
        </w:tc>
        <w:tc>
          <w:tcPr>
            <w:tcW w:w="2131" w:type="dxa"/>
            <w:tcBorders>
              <w:top w:val="nil"/>
              <w:left w:val="nil"/>
              <w:bottom w:val="single" w:color="auto" w:sz="8" w:space="0"/>
              <w:right w:val="nil"/>
            </w:tcBorders>
            <w:vAlign w:val="center"/>
          </w:tcPr>
          <w:p w14:paraId="2354E6A1">
            <w:pPr>
              <w:ind w:firstLine="480"/>
            </w:pPr>
            <w:r>
              <w:rPr>
                <w:rFonts w:hint="eastAsia"/>
              </w:rPr>
              <w:t>2.124</w:t>
            </w:r>
            <w:r>
              <w:rPr>
                <w:rFonts w:hint="eastAsia"/>
                <w:vertAlign w:val="subscript"/>
              </w:rPr>
              <w:t>(0.429)</w:t>
            </w:r>
          </w:p>
        </w:tc>
        <w:tc>
          <w:tcPr>
            <w:tcW w:w="2131" w:type="dxa"/>
            <w:tcBorders>
              <w:top w:val="nil"/>
              <w:left w:val="nil"/>
              <w:bottom w:val="single" w:color="auto" w:sz="8" w:space="0"/>
              <w:right w:val="nil"/>
            </w:tcBorders>
            <w:vAlign w:val="center"/>
          </w:tcPr>
          <w:p w14:paraId="0B2086AF">
            <w:pPr>
              <w:ind w:firstLine="480"/>
            </w:pPr>
            <w:r>
              <w:rPr>
                <w:rFonts w:hint="eastAsia"/>
              </w:rPr>
              <w:t>0.902</w:t>
            </w:r>
            <w:r>
              <w:rPr>
                <w:rFonts w:hint="eastAsia"/>
                <w:vertAlign w:val="subscript"/>
              </w:rPr>
              <w:t>(0.047)</w:t>
            </w:r>
          </w:p>
        </w:tc>
      </w:tr>
      <w:tr w14:paraId="5235AF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single" w:color="auto" w:sz="8" w:space="0"/>
              <w:left w:val="nil"/>
              <w:bottom w:val="single" w:color="auto" w:sz="12" w:space="0"/>
              <w:right w:val="nil"/>
            </w:tcBorders>
            <w:vAlign w:val="bottom"/>
          </w:tcPr>
          <w:p w14:paraId="77A4813B">
            <w:pPr>
              <w:snapToGrid w:val="0"/>
              <w:ind w:firstLine="0" w:firstLineChars="0"/>
              <w:jc w:val="center"/>
            </w:pPr>
            <w:r>
              <w:t>KGAMA</w:t>
            </w:r>
          </w:p>
        </w:tc>
        <w:tc>
          <w:tcPr>
            <w:tcW w:w="2130" w:type="dxa"/>
            <w:tcBorders>
              <w:top w:val="single" w:color="auto" w:sz="8" w:space="0"/>
              <w:left w:val="nil"/>
              <w:bottom w:val="single" w:color="auto" w:sz="12" w:space="0"/>
              <w:right w:val="nil"/>
            </w:tcBorders>
            <w:vAlign w:val="center"/>
          </w:tcPr>
          <w:p w14:paraId="7CFEA0DA">
            <w:pPr>
              <w:ind w:firstLine="480"/>
            </w:pPr>
            <w:r>
              <w:rPr>
                <w:rFonts w:hint="eastAsia"/>
              </w:rPr>
              <w:t>0.831</w:t>
            </w:r>
            <w:r>
              <w:rPr>
                <w:rFonts w:hint="eastAsia"/>
                <w:vertAlign w:val="subscript"/>
              </w:rPr>
              <w:t>(0.024)</w:t>
            </w:r>
          </w:p>
        </w:tc>
        <w:tc>
          <w:tcPr>
            <w:tcW w:w="2131" w:type="dxa"/>
            <w:tcBorders>
              <w:top w:val="single" w:color="auto" w:sz="8" w:space="0"/>
              <w:left w:val="nil"/>
              <w:bottom w:val="single" w:color="auto" w:sz="12" w:space="0"/>
              <w:right w:val="nil"/>
            </w:tcBorders>
            <w:vAlign w:val="center"/>
          </w:tcPr>
          <w:p w14:paraId="4F6DC51A">
            <w:pPr>
              <w:ind w:firstLine="480"/>
            </w:pPr>
            <w:r>
              <w:rPr>
                <w:rFonts w:hint="eastAsia"/>
              </w:rPr>
              <w:t>1.512</w:t>
            </w:r>
            <w:r>
              <w:rPr>
                <w:rFonts w:hint="eastAsia"/>
                <w:vertAlign w:val="subscript"/>
              </w:rPr>
              <w:t>(0.233)</w:t>
            </w:r>
          </w:p>
        </w:tc>
        <w:tc>
          <w:tcPr>
            <w:tcW w:w="2131" w:type="dxa"/>
            <w:tcBorders>
              <w:top w:val="single" w:color="auto" w:sz="8" w:space="0"/>
              <w:left w:val="nil"/>
              <w:bottom w:val="single" w:color="auto" w:sz="12" w:space="0"/>
              <w:right w:val="nil"/>
            </w:tcBorders>
            <w:vAlign w:val="center"/>
          </w:tcPr>
          <w:p w14:paraId="412F64AA">
            <w:pPr>
              <w:ind w:firstLine="480"/>
            </w:pPr>
            <w:r>
              <w:rPr>
                <w:rFonts w:hint="eastAsia"/>
              </w:rPr>
              <w:t>0.656</w:t>
            </w:r>
            <w:r>
              <w:rPr>
                <w:rFonts w:hint="eastAsia"/>
                <w:vertAlign w:val="subscript"/>
              </w:rPr>
              <w:t>(0.006)</w:t>
            </w:r>
          </w:p>
        </w:tc>
      </w:tr>
    </w:tbl>
    <w:p w14:paraId="7087FD73">
      <w:pPr>
        <w:ind w:firstLine="0" w:firstLineChars="0"/>
      </w:pPr>
    </w:p>
    <w:p w14:paraId="2C130C2E">
      <w:pPr>
        <w:ind w:firstLine="480"/>
      </w:pPr>
      <w:r>
        <w:t>表 3-Y 进一步展示了模型在 ESOL、FreeSolv 和 Lipo 三个回归任务上的均方根误差（RMSE）表现（数值越低越好）。在水溶性预测任务（ESOL）中，KGAMA取得了 0.831 的极低误差，显著优于 CMPNN（0.845）与 AttentiveFP（0.877）。这表明模型不仅在离散的分类空间中表现优异，在连续的物理化学性质空间中同样具备精准的回归能力。特别是在 FreeSolv（溶剂化自由能）任务上，模型将 RMSE 降至 1.512，相比于次优模型 GIN（1.619）提升了近 6%，充分体现了多模态特征融合在刻画分子能量状态方面的优势。值得注意的是，在 Lipo（亲脂性）数据集上，MyModel 达到了 0.656 的 SOTA 水平。结合可视化分析可知，这一优异表现很大程度上源于分子指纹模态的引入。亲脂性（LogP）与分子中的特定官能团数量呈强线性相关，而基于统计计数的指纹特征恰好能精确捕捉此类信息，弥补了纯图神经网络在计数能力上的短板。</w:t>
      </w:r>
    </w:p>
    <w:p w14:paraId="71C70DA9">
      <w:pPr>
        <w:ind w:firstLine="0" w:firstLineChars="0"/>
      </w:pPr>
      <w:r>
        <w:t>综上所述，无论是面向离散的生物活性分类，还是连续的理化性质回归，KGAMA均凭借其“图中心对比学习+多模态知识增强”的复合架构，展现出了超越现有 SOTA 方法的综合性能。</w:t>
      </w:r>
      <w:r>
        <w:rPr>
          <w:rFonts w:hint="eastAsia"/>
        </w:rPr>
        <w:t xml:space="preserve"> </w:t>
      </w:r>
    </w:p>
    <w:p w14:paraId="7C63FB23">
      <w:pPr>
        <w:pStyle w:val="4"/>
        <w:rPr>
          <w:rFonts w:hint="default"/>
        </w:rPr>
      </w:pPr>
      <w:r>
        <w:t>消融实验</w:t>
      </w:r>
    </w:p>
    <w:p w14:paraId="22A6598A">
      <w:pPr>
        <w:ind w:firstLine="480"/>
      </w:pPr>
      <w:r>
        <w:t>为系统解构不同输入模态及融合机制对模型最终预测能力的边际贡献，本文基于所提出的 KGAMA (Knowledge-enhanced Graph Anchor Multimodal Alignment) 框架，构建了五种递进式的消融变体。所有变体均在统一的实验配置下进行训练与评测，旨在定量分析各模态信息的有效性及交叉注意力模块的核心价值。</w:t>
      </w:r>
    </w:p>
    <w:p w14:paraId="62C5C54B">
      <w:pPr>
        <w:ind w:firstLine="480"/>
      </w:pPr>
      <w:r>
        <w:rPr>
          <w:rFonts w:hint="eastAsia"/>
        </w:rPr>
        <w:t>本文以分子图（Graph）作为核心语义锚点，逐步引入其他辅助模态，具体变体定义如下：</w:t>
      </w:r>
    </w:p>
    <w:p w14:paraId="582EB6FF">
      <w:pPr>
        <w:ind w:firstLine="480"/>
      </w:pPr>
      <m:oMath>
        <m:r>
          <m:rPr/>
          <w:rPr>
            <w:rFonts w:ascii="Cambria Math"/>
          </w:rPr>
          <m:t>KGAM</m:t>
        </m:r>
        <m:sSub>
          <m:sSubPr>
            <m:ctrlPr>
              <w:rPr>
                <w:rFonts w:ascii="Cambria Math" w:hAnsi="Cambria Math"/>
              </w:rPr>
            </m:ctrlPr>
          </m:sSubPr>
          <m:e>
            <m:r>
              <m:rPr/>
              <w:rPr>
                <w:rFonts w:ascii="Cambria Math"/>
              </w:rPr>
              <m:t>A</m:t>
            </m:r>
            <m:ctrlPr>
              <w:rPr>
                <w:rFonts w:ascii="Cambria Math" w:hAnsi="Cambria Math"/>
              </w:rPr>
            </m:ctrlPr>
          </m:e>
          <m:sub>
            <m:r>
              <m:rPr/>
              <w:rPr>
                <w:rFonts w:ascii="Cambria Math"/>
              </w:rPr>
              <m:t>G</m:t>
            </m:r>
            <m:ctrlPr>
              <w:rPr>
                <w:rFonts w:ascii="Cambria Math" w:hAnsi="Cambria Math"/>
              </w:rPr>
            </m:ctrlPr>
          </m:sub>
        </m:sSub>
      </m:oMath>
      <w:r>
        <w:rPr>
          <w:rFonts w:hint="eastAsia"/>
        </w:rPr>
        <w:t>：基准模型，仅保留图编码器分支，采用 Graphormer 提取分子拓扑特征，作为下游任务的单一输入源，用于评估纯结构视角的预测基线。</w:t>
      </w:r>
    </w:p>
    <w:p w14:paraId="132F2BEE">
      <w:pPr>
        <w:ind w:firstLine="480"/>
      </w:pPr>
      <m:oMath>
        <m:r>
          <m:rPr/>
          <w:rPr>
            <w:rFonts w:ascii="Cambria Math"/>
          </w:rPr>
          <m:t>KGAM</m:t>
        </m:r>
        <m:sSub>
          <m:sSubPr>
            <m:ctrlPr>
              <w:rPr>
                <w:rFonts w:ascii="Cambria Math" w:hAnsi="Cambria Math"/>
              </w:rPr>
            </m:ctrlPr>
          </m:sSubPr>
          <m:e>
            <m:r>
              <m:rPr/>
              <w:rPr>
                <w:rFonts w:ascii="Cambria Math"/>
              </w:rPr>
              <m:t>A</m:t>
            </m:r>
            <m:ctrlPr>
              <w:rPr>
                <w:rFonts w:ascii="Cambria Math" w:hAnsi="Cambria Math"/>
              </w:rPr>
            </m:ctrlPr>
          </m:e>
          <m:sub>
            <m:r>
              <m:rPr/>
              <w:rPr>
                <w:rFonts w:ascii="Cambria Math"/>
              </w:rPr>
              <m:t>G+F</m:t>
            </m:r>
            <m:ctrlPr>
              <w:rPr>
                <w:rFonts w:ascii="Cambria Math" w:hAnsi="Cambria Math"/>
              </w:rPr>
            </m:ctrlPr>
          </m:sub>
        </m:sSub>
      </m:oMath>
      <w:r>
        <w:rPr>
          <w:rFonts w:hint="eastAsia"/>
        </w:rPr>
        <w:t xml:space="preserve">：结构增强。在 </w:t>
      </w:r>
      <m:oMath>
        <m:r>
          <m:rPr/>
          <w:rPr>
            <w:rFonts w:ascii="Cambria Math"/>
          </w:rPr>
          <m:t>KGAM</m:t>
        </m:r>
        <m:sSub>
          <m:sSubPr>
            <m:ctrlPr>
              <w:rPr>
                <w:rFonts w:ascii="Cambria Math" w:hAnsi="Cambria Math"/>
              </w:rPr>
            </m:ctrlPr>
          </m:sSubPr>
          <m:e>
            <m:r>
              <m:rPr/>
              <w:rPr>
                <w:rFonts w:ascii="Cambria Math"/>
              </w:rPr>
              <m:t>A</m:t>
            </m:r>
            <m:ctrlPr>
              <w:rPr>
                <w:rFonts w:ascii="Cambria Math" w:hAnsi="Cambria Math"/>
              </w:rPr>
            </m:ctrlPr>
          </m:e>
          <m:sub>
            <m:r>
              <m:rPr/>
              <w:rPr>
                <w:rFonts w:ascii="Cambria Math"/>
              </w:rPr>
              <m:t>G</m:t>
            </m:r>
            <m:ctrlPr>
              <w:rPr>
                <w:rFonts w:ascii="Cambria Math" w:hAnsi="Cambria Math"/>
              </w:rPr>
            </m:ctrlPr>
          </m:sub>
        </m:sSub>
      </m:oMath>
      <w:r>
        <w:rPr>
          <w:rFonts w:hint="eastAsia"/>
        </w:rPr>
        <w:t xml:space="preserve"> 基础上引入分子指纹模态（Fingerprint），旨在补充图神经网络可能遗漏的全局子结构统计信息。</w:t>
      </w:r>
    </w:p>
    <w:p w14:paraId="13B51464">
      <w:pPr>
        <w:ind w:firstLine="480"/>
      </w:pPr>
      <m:oMath>
        <m:r>
          <m:rPr/>
          <w:rPr>
            <w:rFonts w:ascii="Cambria Math"/>
          </w:rPr>
          <m:t>KGAM</m:t>
        </m:r>
        <m:sSub>
          <m:sSubPr>
            <m:ctrlPr>
              <w:rPr>
                <w:rFonts w:ascii="Cambria Math" w:hAnsi="Cambria Math"/>
              </w:rPr>
            </m:ctrlPr>
          </m:sSubPr>
          <m:e>
            <m:r>
              <m:rPr/>
              <w:rPr>
                <w:rFonts w:ascii="Cambria Math"/>
              </w:rPr>
              <m:t>A</m:t>
            </m:r>
            <m:ctrlPr>
              <w:rPr>
                <w:rFonts w:ascii="Cambria Math" w:hAnsi="Cambria Math"/>
              </w:rPr>
            </m:ctrlPr>
          </m:e>
          <m:sub>
            <m:r>
              <m:rPr/>
              <w:rPr>
                <w:rFonts w:ascii="Cambria Math"/>
              </w:rPr>
              <m:t>G+F+S</m:t>
            </m:r>
            <m:ctrlPr>
              <w:rPr>
                <w:rFonts w:ascii="Cambria Math" w:hAnsi="Cambria Math"/>
              </w:rPr>
            </m:ctrlPr>
          </m:sub>
        </m:sSub>
      </m:oMath>
      <w:r>
        <w:rPr>
          <w:rFonts w:hint="eastAsia"/>
        </w:rPr>
        <w:t>：序列增强，进一步融合 SMILES 序列模态，利用 Transformer 捕获分子的线性化学语法与长程依赖。</w:t>
      </w:r>
    </w:p>
    <w:p w14:paraId="24DC0C62">
      <w:pPr>
        <w:ind w:firstLine="480"/>
      </w:pPr>
      <m:oMath>
        <m:r>
          <m:rPr/>
          <w:rPr>
            <w:rFonts w:ascii="Cambria Math"/>
          </w:rPr>
          <m:t>KGAM</m:t>
        </m:r>
        <m:sSub>
          <m:sSubPr>
            <m:ctrlPr>
              <w:rPr>
                <w:rFonts w:ascii="Cambria Math" w:hAnsi="Cambria Math"/>
              </w:rPr>
            </m:ctrlPr>
          </m:sSubPr>
          <m:e>
            <m:r>
              <m:rPr/>
              <w:rPr>
                <w:rFonts w:ascii="Cambria Math"/>
              </w:rPr>
              <m:t>A</m:t>
            </m:r>
            <m:ctrlPr>
              <w:rPr>
                <w:rFonts w:ascii="Cambria Math" w:hAnsi="Cambria Math"/>
              </w:rPr>
            </m:ctrlPr>
          </m:e>
          <m:sub>
            <m:r>
              <m:rPr/>
              <w:rPr>
                <w:rFonts w:ascii="Cambria Math"/>
              </w:rPr>
              <m:t>Concat</m:t>
            </m:r>
            <m:ctrlPr>
              <w:rPr>
                <w:rFonts w:ascii="Cambria Math" w:hAnsi="Cambria Math"/>
              </w:rPr>
            </m:ctrlPr>
          </m:sub>
        </m:sSub>
      </m:oMath>
      <w:r>
        <w:rPr>
          <w:rFonts w:hint="eastAsia"/>
        </w:rPr>
        <w:t>：静态融合，采用完整的四模态输入（G+F+S+Text），但通过简单的特征拼接（Concatenation）方式进行融合，用于评估多模态信息的原始叠加效应。</w:t>
      </w:r>
    </w:p>
    <w:p w14:paraId="28D3CD17">
      <w:pPr>
        <w:ind w:firstLine="480"/>
      </w:pPr>
      <m:oMath>
        <m:r>
          <m:rPr/>
          <w:rPr>
            <w:rFonts w:ascii="Cambria Math"/>
          </w:rPr>
          <m:t>KGAM</m:t>
        </m:r>
        <m:sSub>
          <m:sSubPr>
            <m:ctrlPr>
              <w:rPr>
                <w:rFonts w:ascii="Cambria Math" w:hAnsi="Cambria Math"/>
              </w:rPr>
            </m:ctrlPr>
          </m:sSubPr>
          <m:e>
            <m:r>
              <m:rPr/>
              <w:rPr>
                <w:rFonts w:ascii="Cambria Math"/>
              </w:rPr>
              <m:t>A</m:t>
            </m:r>
            <m:ctrlPr>
              <w:rPr>
                <w:rFonts w:ascii="Cambria Math" w:hAnsi="Cambria Math"/>
              </w:rPr>
            </m:ctrlPr>
          </m:e>
          <m:sub>
            <m:r>
              <m:rPr/>
              <w:rPr>
                <w:rFonts w:ascii="Cambria Math"/>
              </w:rPr>
              <m:t>Full</m:t>
            </m:r>
            <m:ctrlPr>
              <w:rPr>
                <w:rFonts w:ascii="Cambria Math" w:hAnsi="Cambria Math"/>
              </w:rPr>
            </m:ctrlPr>
          </m:sub>
        </m:sSub>
      </m:oMath>
      <w:r>
        <w:rPr>
          <w:rFonts w:hint="eastAsia"/>
        </w:rPr>
        <w:t>:完整模型,本文提出的最终形态，即在四模态基础上引入交叉注意力（Cross-Attention）机制，实现特征的动态自适应融合。</w:t>
      </w:r>
    </w:p>
    <w:p w14:paraId="4473C86F">
      <w:pPr>
        <w:ind w:firstLine="480"/>
        <w:rPr>
          <w:rFonts w:hint="eastAsia"/>
        </w:rPr>
      </w:pPr>
    </w:p>
    <w:p w14:paraId="606FBBC0">
      <w:pPr>
        <w:ind w:firstLine="480"/>
      </w:pPr>
      <w:r>
        <w:drawing>
          <wp:inline distT="0" distB="0" distL="114300" distR="114300">
            <wp:extent cx="3987800" cy="1607820"/>
            <wp:effectExtent l="0" t="0" r="5080" b="7620"/>
            <wp:docPr id="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1"/>
                    <pic:cNvPicPr>
                      <a:picLocks noChangeAspect="1"/>
                    </pic:cNvPicPr>
                  </pic:nvPicPr>
                  <pic:blipFill>
                    <a:blip r:embed="rId13"/>
                    <a:stretch>
                      <a:fillRect/>
                    </a:stretch>
                  </pic:blipFill>
                  <pic:spPr>
                    <a:xfrm>
                      <a:off x="0" y="0"/>
                      <a:ext cx="3987800" cy="1607820"/>
                    </a:xfrm>
                    <a:prstGeom prst="rect">
                      <a:avLst/>
                    </a:prstGeom>
                    <a:noFill/>
                    <a:ln>
                      <a:noFill/>
                    </a:ln>
                  </pic:spPr>
                </pic:pic>
              </a:graphicData>
            </a:graphic>
          </wp:inline>
        </w:drawing>
      </w:r>
    </w:p>
    <w:p w14:paraId="3B0C143C">
      <w:pPr>
        <w:ind w:firstLine="480"/>
        <w:rPr>
          <w:rFonts w:hint="eastAsia"/>
        </w:rPr>
      </w:pPr>
      <w:r>
        <w:drawing>
          <wp:inline distT="0" distB="0" distL="114300" distR="114300">
            <wp:extent cx="3135630" cy="1863725"/>
            <wp:effectExtent l="0" t="0" r="3810" b="10795"/>
            <wp:docPr id="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1"/>
                    <pic:cNvPicPr>
                      <a:picLocks noChangeAspect="1"/>
                    </pic:cNvPicPr>
                  </pic:nvPicPr>
                  <pic:blipFill>
                    <a:blip r:embed="rId14"/>
                    <a:stretch>
                      <a:fillRect/>
                    </a:stretch>
                  </pic:blipFill>
                  <pic:spPr>
                    <a:xfrm>
                      <a:off x="0" y="0"/>
                      <a:ext cx="3135630" cy="1863725"/>
                    </a:xfrm>
                    <a:prstGeom prst="rect">
                      <a:avLst/>
                    </a:prstGeom>
                    <a:noFill/>
                    <a:ln>
                      <a:noFill/>
                    </a:ln>
                  </pic:spPr>
                </pic:pic>
              </a:graphicData>
            </a:graphic>
          </wp:inline>
        </w:drawing>
      </w:r>
    </w:p>
    <w:p w14:paraId="3982B122">
      <w:pPr>
        <w:ind w:firstLine="480"/>
      </w:pPr>
      <w:r>
        <w:rPr>
          <w:rFonts w:hint="eastAsia"/>
        </w:rPr>
        <w:t xml:space="preserve">图 3-X 与图 3-Y 的实验结果清晰地揭示了模态间的互补规律与交叉注意力机制的关键作用。首先，从单模态基准来看，仅依赖分子图的 </w:t>
      </w:r>
      <m:oMath>
        <m:r>
          <m:rPr>
            <m:nor/>
          </m:rPr>
          <w:rPr>
            <w:i/>
          </w:rPr>
          <m:t>KGAM</m:t>
        </m:r>
        <m:sSub>
          <m:sSubPr>
            <m:ctrlPr>
              <w:rPr>
                <w:rFonts w:ascii="Cambria Math" w:hAnsi="Cambria Math"/>
              </w:rPr>
            </m:ctrlPr>
          </m:sSubPr>
          <m:e>
            <m:r>
              <m:rPr>
                <m:nor/>
              </m:rPr>
              <w:rPr>
                <w:i/>
              </w:rPr>
              <m:t>A</m:t>
            </m:r>
            <m:ctrlPr>
              <w:rPr>
                <w:rFonts w:ascii="Cambria Math" w:hAnsi="Cambria Math"/>
              </w:rPr>
            </m:ctrlPr>
          </m:e>
          <m:sub>
            <m:r>
              <m:rPr>
                <m:nor/>
              </m:rPr>
              <w:rPr>
                <w:i/>
              </w:rPr>
              <m:t>G</m:t>
            </m:r>
            <m:ctrlPr>
              <w:rPr>
                <w:rFonts w:ascii="Cambria Math" w:hAnsi="Cambria Math"/>
              </w:rPr>
            </m:ctrlPr>
          </m:sub>
        </m:sSub>
      </m:oMath>
      <w:r>
        <w:rPr>
          <w:rFonts w:hint="eastAsia"/>
        </w:rPr>
        <w:t xml:space="preserve">已在多个任务上（如 BACE AUROC 0.825）展现出良好的预测基础，验证了 Graphormer 在提取拓扑特征方面的有效性。在此基础上，引入分子指纹后的 </w:t>
      </w:r>
      <m:oMath>
        <m:r>
          <m:rPr>
            <m:nor/>
          </m:rPr>
          <w:rPr>
            <w:i/>
          </w:rPr>
          <m:t>KGAM</m:t>
        </m:r>
        <m:sSub>
          <m:sSubPr>
            <m:ctrlPr>
              <w:rPr>
                <w:rFonts w:ascii="Cambria Math" w:hAnsi="Cambria Math"/>
              </w:rPr>
            </m:ctrlPr>
          </m:sSubPr>
          <m:e>
            <m:r>
              <m:rPr>
                <m:nor/>
              </m:rPr>
              <w:rPr>
                <w:i/>
              </w:rPr>
              <m:t>A</m:t>
            </m:r>
            <m:ctrlPr>
              <w:rPr>
                <w:rFonts w:ascii="Cambria Math" w:hAnsi="Cambria Math"/>
              </w:rPr>
            </m:ctrlPr>
          </m:e>
          <m:sub>
            <m:r>
              <m:rPr>
                <m:nor/>
              </m:rPr>
              <w:rPr>
                <w:i/>
              </w:rPr>
              <m:t>G</m:t>
            </m:r>
            <m:r>
              <m:rPr>
                <m:nor/>
                <m:sty m:val="p"/>
              </m:rPr>
              <m:t>+</m:t>
            </m:r>
            <m:r>
              <m:rPr>
                <m:nor/>
              </m:rPr>
              <w:rPr>
                <w:i/>
              </w:rPr>
              <m:t>F</m:t>
            </m:r>
            <m:ctrlPr>
              <w:rPr>
                <w:rFonts w:ascii="Cambria Math" w:hAnsi="Cambria Math"/>
              </w:rPr>
            </m:ctrlPr>
          </m:sub>
        </m:sSub>
      </m:oMath>
      <w:r>
        <w:rPr>
          <w:rFonts w:hint="eastAsia"/>
        </w:rPr>
        <w:t>在几乎所有任务上均实现了性能跃升，特别是在 Lipo 亲脂性预测任务中 RMSE 的显著降低，表明指纹特征能有效弥补图网络在特定官能团计数方面的短板。随后，</w:t>
      </w:r>
      <m:oMath>
        <m:r>
          <m:rPr>
            <m:nor/>
          </m:rPr>
          <w:rPr>
            <w:i/>
          </w:rPr>
          <m:t>KGAM</m:t>
        </m:r>
        <m:sSub>
          <m:sSubPr>
            <m:ctrlPr>
              <w:rPr>
                <w:rFonts w:ascii="Cambria Math" w:hAnsi="Cambria Math"/>
              </w:rPr>
            </m:ctrlPr>
          </m:sSubPr>
          <m:e>
            <m:r>
              <m:rPr>
                <m:nor/>
              </m:rPr>
              <w:rPr>
                <w:i/>
              </w:rPr>
              <m:t>A</m:t>
            </m:r>
            <m:ctrlPr>
              <w:rPr>
                <w:rFonts w:ascii="Cambria Math" w:hAnsi="Cambria Math"/>
              </w:rPr>
            </m:ctrlPr>
          </m:e>
          <m:sub>
            <m:r>
              <m:rPr>
                <m:nor/>
              </m:rPr>
              <w:rPr>
                <w:i/>
              </w:rPr>
              <m:t>G</m:t>
            </m:r>
            <m:r>
              <m:rPr>
                <m:nor/>
                <m:sty m:val="p"/>
              </m:rPr>
              <m:t>+</m:t>
            </m:r>
            <m:r>
              <m:rPr>
                <m:nor/>
              </m:rPr>
              <w:rPr>
                <w:i/>
              </w:rPr>
              <m:t>F</m:t>
            </m:r>
            <m:r>
              <m:rPr>
                <m:nor/>
                <m:sty m:val="p"/>
              </m:rPr>
              <m:t>+</m:t>
            </m:r>
            <m:r>
              <m:rPr>
                <m:nor/>
              </m:rPr>
              <w:rPr>
                <w:i/>
              </w:rPr>
              <m:t>S</m:t>
            </m:r>
            <m:ctrlPr>
              <w:rPr>
                <w:rFonts w:ascii="Cambria Math" w:hAnsi="Cambria Math"/>
              </w:rPr>
            </m:ctrlPr>
          </m:sub>
        </m:sSub>
      </m:oMath>
      <w:r>
        <w:rPr>
          <w:rFonts w:hint="eastAsia"/>
        </w:rPr>
        <w:t xml:space="preserve"> 的进一步提升证明了序列模态提供的线性视角与图结构的二维视角具有良好的互补性。更重要的是，对比</w:t>
      </w:r>
      <m:oMath>
        <m:r>
          <m:rPr>
            <m:nor/>
          </m:rPr>
          <w:rPr>
            <w:i/>
          </w:rPr>
          <m:t>KGAM</m:t>
        </m:r>
        <m:sSub>
          <m:sSubPr>
            <m:ctrlPr>
              <w:rPr>
                <w:rFonts w:ascii="Cambria Math" w:hAnsi="Cambria Math"/>
              </w:rPr>
            </m:ctrlPr>
          </m:sSubPr>
          <m:e>
            <m:r>
              <m:rPr>
                <m:nor/>
              </m:rPr>
              <w:rPr>
                <w:i/>
              </w:rPr>
              <m:t>A</m:t>
            </m:r>
            <m:ctrlPr>
              <w:rPr>
                <w:rFonts w:ascii="Cambria Math" w:hAnsi="Cambria Math"/>
              </w:rPr>
            </m:ctrlPr>
          </m:e>
          <m:sub>
            <m:r>
              <m:rPr>
                <m:nor/>
              </m:rPr>
              <w:rPr>
                <w:i/>
              </w:rPr>
              <m:t>Concat</m:t>
            </m:r>
            <m:ctrlPr>
              <w:rPr>
                <w:rFonts w:ascii="Cambria Math" w:hAnsi="Cambria Math"/>
              </w:rPr>
            </m:ctrlPr>
          </m:sub>
        </m:sSub>
      </m:oMath>
      <w:r>
        <w:rPr>
          <w:rFonts w:hint="eastAsia"/>
        </w:rPr>
        <w:t xml:space="preserve"> 与 </w:t>
      </w:r>
      <m:oMath>
        <m:r>
          <m:rPr>
            <m:nor/>
          </m:rPr>
          <w:rPr>
            <w:i/>
          </w:rPr>
          <m:t>KGAM</m:t>
        </m:r>
        <m:sSub>
          <m:sSubPr>
            <m:ctrlPr>
              <w:rPr>
                <w:rFonts w:ascii="Cambria Math" w:hAnsi="Cambria Math"/>
              </w:rPr>
            </m:ctrlPr>
          </m:sSubPr>
          <m:e>
            <m:r>
              <m:rPr>
                <m:nor/>
              </m:rPr>
              <w:rPr>
                <w:i/>
              </w:rPr>
              <m:t>A</m:t>
            </m:r>
            <m:ctrlPr>
              <w:rPr>
                <w:rFonts w:ascii="Cambria Math" w:hAnsi="Cambria Math"/>
              </w:rPr>
            </m:ctrlPr>
          </m:e>
          <m:sub>
            <m:r>
              <m:rPr>
                <m:nor/>
              </m:rPr>
              <w:rPr>
                <w:i/>
              </w:rPr>
              <m:t>Full</m:t>
            </m:r>
            <m:ctrlPr>
              <w:rPr>
                <w:rFonts w:ascii="Cambria Math" w:hAnsi="Cambria Math"/>
              </w:rPr>
            </m:ctrlPr>
          </m:sub>
        </m:sSub>
      </m:oMath>
      <w:r>
        <w:rPr>
          <w:rFonts w:hint="eastAsia"/>
        </w:rPr>
        <w:t>的结果发现，交叉注意力机制起到了决定性的“智库”作用：</w:t>
      </w:r>
      <m:oMath>
        <m:r>
          <m:rPr/>
          <w:rPr>
            <w:rFonts w:ascii="Cambria Math" w:hAnsi="Cambria Math"/>
          </w:rPr>
          <m:t>KGAM</m:t>
        </m:r>
        <m:sSub>
          <m:sSubPr>
            <m:ctrlPr>
              <w:rPr>
                <w:rFonts w:ascii="Cambria Math" w:hAnsi="Cambria Math"/>
              </w:rPr>
            </m:ctrlPr>
          </m:sSubPr>
          <m:e>
            <m:r>
              <m:rPr/>
              <w:rPr>
                <w:rFonts w:ascii="Cambria Math" w:hAnsi="Cambria Math"/>
              </w:rPr>
              <m:t>A</m:t>
            </m:r>
            <m:ctrlPr>
              <w:rPr>
                <w:rFonts w:ascii="Cambria Math" w:hAnsi="Cambria Math"/>
              </w:rPr>
            </m:ctrlPr>
          </m:e>
          <m:sub>
            <m:r>
              <m:rPr/>
              <w:rPr>
                <w:rFonts w:ascii="Cambria Math" w:hAnsi="Cambria Math"/>
              </w:rPr>
              <m:t>Full</m:t>
            </m:r>
            <m:ctrlPr>
              <w:rPr>
                <w:rFonts w:ascii="Cambria Math" w:hAnsi="Cambria Math"/>
              </w:rPr>
            </m:ctrlPr>
          </m:sub>
        </m:sSub>
      </m:oMath>
      <w:r>
        <w:rPr>
          <w:rFonts w:hint="eastAsia"/>
        </w:rPr>
        <w:t>在分类任务上的平均 AUROC 相比静态拼接提升了约 1.67%，在回归任务中平均 RMSE 降低了 4.23%。这一显著差距有力证明了简单的特征拼接无法有效处理多模态间的语义冲突与噪声——拼接本质上默认了各模态具有同等重要性，而忽略了分子性质决定因素的高度差异性。相比之下，这种性能的全面超越源于动态权重的机理，即交叉注意力模块能够根据具体预测任务自适应调节模态权重。例如在 ClinTox 任务中，</w:t>
      </w:r>
      <m:oMath>
        <m:r>
          <m:rPr/>
          <w:rPr>
            <w:rFonts w:ascii="Cambria Math" w:hAnsi="Cambria Math"/>
          </w:rPr>
          <m:t>KGAM</m:t>
        </m:r>
        <m:sSub>
          <m:sSubPr>
            <m:ctrlPr>
              <w:rPr>
                <w:rFonts w:ascii="Cambria Math" w:hAnsi="Cambria Math"/>
              </w:rPr>
            </m:ctrlPr>
          </m:sSubPr>
          <m:e>
            <m:r>
              <m:rPr/>
              <w:rPr>
                <w:rFonts w:ascii="Cambria Math" w:hAnsi="Cambria Math"/>
              </w:rPr>
              <m:t>A</m:t>
            </m:r>
            <m:ctrlPr>
              <w:rPr>
                <w:rFonts w:ascii="Cambria Math" w:hAnsi="Cambria Math"/>
              </w:rPr>
            </m:ctrlPr>
          </m:e>
          <m:sub>
            <m:r>
              <m:rPr/>
              <w:rPr>
                <w:rFonts w:ascii="Cambria Math" w:hAnsi="Cambria Math"/>
              </w:rPr>
              <m:t>Full</m:t>
            </m:r>
            <m:ctrlPr>
              <w:rPr>
                <w:rFonts w:ascii="Cambria Math" w:hAnsi="Cambria Math"/>
              </w:rPr>
            </m:ctrlPr>
          </m:sub>
        </m:sSub>
      </m:oMath>
      <w:r>
        <w:rPr>
          <w:rFonts w:hint="eastAsia"/>
        </w:rPr>
        <w:t xml:space="preserve">（0.941）显著优于 </w:t>
      </w:r>
      <m:oMath>
        <m:r>
          <m:rPr/>
          <w:rPr>
            <w:rFonts w:ascii="Cambria Math" w:hAnsi="Cambria Math"/>
          </w:rPr>
          <m:t>KGAM</m:t>
        </m:r>
        <m:sSub>
          <m:sSubPr>
            <m:ctrlPr>
              <w:rPr>
                <w:rFonts w:ascii="Cambria Math" w:hAnsi="Cambria Math"/>
              </w:rPr>
            </m:ctrlPr>
          </m:sSubPr>
          <m:e>
            <m:r>
              <m:rPr/>
              <w:rPr>
                <w:rFonts w:ascii="Cambria Math" w:hAnsi="Cambria Math"/>
              </w:rPr>
              <m:t>A</m:t>
            </m:r>
            <m:ctrlPr>
              <w:rPr>
                <w:rFonts w:ascii="Cambria Math" w:hAnsi="Cambria Math"/>
              </w:rPr>
            </m:ctrlPr>
          </m:e>
          <m:sub>
            <m:r>
              <m:rPr/>
              <w:rPr>
                <w:rFonts w:ascii="Cambria Math" w:hAnsi="Cambria Math"/>
              </w:rPr>
              <m:t>Concat</m:t>
            </m:r>
            <m:ctrlPr>
              <w:rPr>
                <w:rFonts w:ascii="Cambria Math" w:hAnsi="Cambria Math"/>
              </w:rPr>
            </m:ctrlPr>
          </m:sub>
        </m:sSub>
      </m:oMath>
      <w:r>
        <w:rPr>
          <w:rFonts w:hint="eastAsia"/>
        </w:rPr>
        <w:t>（0.925），说明模型成功识别出该任务对专家文本知识的高度依赖，从而赋予文本模态更高的权重以提取隐含的毒理学因果链条。关于各任务在交叉注意力层中具体的模态权重倾向，将在 3.3.3 可视化分析中进一步探讨。</w:t>
      </w:r>
    </w:p>
    <w:p w14:paraId="65D22CE8">
      <w:pPr>
        <w:ind w:firstLine="0" w:firstLineChars="0"/>
        <w:jc w:val="left"/>
      </w:pPr>
    </w:p>
    <w:p w14:paraId="4B11AC07">
      <w:pPr>
        <w:ind w:firstLine="0" w:firstLineChars="0"/>
        <w:jc w:val="left"/>
      </w:pPr>
    </w:p>
    <w:p w14:paraId="00016A07">
      <w:pPr>
        <w:pStyle w:val="4"/>
        <w:rPr>
          <w:rFonts w:hint="default"/>
        </w:rPr>
      </w:pPr>
      <w:r>
        <w:t>可视化分析</w:t>
      </w:r>
    </w:p>
    <w:p w14:paraId="514D4E15">
      <w:pPr>
        <w:ind w:firstLine="480"/>
      </w:pPr>
      <w:r>
        <w:rPr>
          <w:rFonts w:hint="eastAsia"/>
        </w:rPr>
        <w:t>为了进一步解释不同模态对特定分子性质预测任务的贡献，本文分析了XXX模型学习的注意力权重矩阵，如图X所示。图中横轴代表不同的分子性质预测任务，纵轴代表四种输入模态，颜色的深浅直观反映了该模态在特定任务中的重要性贡献度（权重值越大，颜色越深）。. 根据权重图可以得出在物理性质任务中的结构模态起主导效应，具体的说在预测分子的物理化学性质时，模型表现出对拓扑结构的高度依赖。在 FreeSolv（溶剂化自由能）和 ESOL（水溶性）任务中，Graph 模态的权重分别高达 0.40 和 0.39，显著高于其他模态。这与化学直觉高度一致。分子的溶解能力和能量状态主要由其分子骨架的拓扑连接及原子间的空间排布决定。本文所使用的Graphormer图神经网络提取的显式结构特征在此类任务中提供了最核心的判别依据，起到了“语义锚点”的作用。值得注意的是，在 Lipo（亲脂性）任务中，Fingerprint获得了最高的权重 0.38，甚至超过了 Graph。这是因为亲脂性与分子中特定的疏水/亲水官能团数量呈强线性相关，而基于统计计数的分子指纹恰好擅长捕获此类特征。</w:t>
      </w:r>
    </w:p>
    <w:p w14:paraId="1DB956AC">
      <w:pPr>
        <w:ind w:firstLine="480"/>
      </w:pPr>
      <w:r>
        <w:rPr>
          <w:rFonts w:hint="eastAsia"/>
        </w:rPr>
        <w:t>另一方面权重图中也体现了知识增强在生物药理任务中的突破，与物理任务形成鲜明对比的是，在涉及复杂生物相互作用的任务中，模型自动学会了依赖专家知识。在 Sider（副作用预测）、ClinTox（临床毒性）和 Tox21 任务中，文本模态的权重出现了显著跃升，分别为 0.38、0.36 和 0.32。这是因为副作用和毒性往往难以仅从分子结构中直接推断，但通常在文献或专家描述中有明确记载（例如“该结构可能导致心脏毒性”）。此时，经过 LLM 重写并注入了 12 项理化性质的文本模态成为了关键的信息源。模型给予文本模态高权重，证明了本文提出的“知识增强”策略成功地将非结构化的药理知识转化为了可被模型利用的特征，弥补了纯结构视角的盲区。</w:t>
      </w:r>
    </w:p>
    <w:p w14:paraId="6A3EBA0E">
      <w:pPr>
        <w:ind w:firstLine="480"/>
      </w:pPr>
      <w:r>
        <w:rPr>
          <w:rFonts w:hint="eastAsia"/>
        </w:rPr>
        <w:t>最后权重图体现了序列模态的稳健补充作用，SMILES 模态在所有 9 个任务中的权重分布呈现出高度的稳定性，维持在 0.18 - 0.24 的区间内。作为分子的线性化表征，SMILES 虽然在某些特定任务上不如 Graph 直观或 Text 深刻，但它提供了一种独特的序列视角，能够捕获图网络可能遗漏的长程依赖信息。这种“平稳输出”的特性使其成为了多模态融合中的“稳定器”，确保模型在任何任务中都不会因单一模态的缺失或噪声而失效。</w:t>
      </w:r>
    </w:p>
    <w:p w14:paraId="0374A66C">
      <w:pPr>
        <w:ind w:firstLine="0" w:firstLineChars="0"/>
      </w:pPr>
      <w:r>
        <w:drawing>
          <wp:inline distT="0" distB="0" distL="114300" distR="114300">
            <wp:extent cx="5264785" cy="2315210"/>
            <wp:effectExtent l="0" t="0" r="8255" b="1270"/>
            <wp:docPr id="3" name="图片 3" descr="attention_heatmap_f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attention_heatmap_final"/>
                    <pic:cNvPicPr>
                      <a:picLocks noChangeAspect="1"/>
                    </pic:cNvPicPr>
                  </pic:nvPicPr>
                  <pic:blipFill>
                    <a:blip r:embed="rId15"/>
                    <a:stretch>
                      <a:fillRect/>
                    </a:stretch>
                  </pic:blipFill>
                  <pic:spPr>
                    <a:xfrm>
                      <a:off x="0" y="0"/>
                      <a:ext cx="5264785" cy="2315210"/>
                    </a:xfrm>
                    <a:prstGeom prst="rect">
                      <a:avLst/>
                    </a:prstGeom>
                  </pic:spPr>
                </pic:pic>
              </a:graphicData>
            </a:graphic>
          </wp:inline>
        </w:drawing>
      </w:r>
    </w:p>
    <w:p w14:paraId="2D212FF6">
      <w:pPr>
        <w:ind w:firstLine="0" w:firstLineChars="0"/>
        <w:rPr>
          <w:b/>
          <w:bCs/>
          <w:color w:val="FF0000"/>
        </w:rPr>
      </w:pPr>
      <w:r>
        <w:rPr>
          <w:rFonts w:hint="eastAsia"/>
          <w:b/>
          <w:bCs/>
          <w:color w:val="FF0000"/>
        </w:rPr>
        <w:t>增加一个预训练和没有预训练的一个图</w:t>
      </w:r>
    </w:p>
    <w:p w14:paraId="6D39C914">
      <w:pPr>
        <w:ind w:firstLine="0" w:firstLineChars="0"/>
        <w:rPr>
          <w:b/>
          <w:bCs/>
          <w:color w:val="FF0000"/>
        </w:rPr>
      </w:pPr>
      <w:r>
        <w:rPr>
          <w:b/>
          <w:bCs/>
          <w:color w:val="FF0000"/>
        </w:rPr>
        <w:drawing>
          <wp:inline distT="0" distB="0" distL="114300" distR="114300">
            <wp:extent cx="2969260" cy="2376170"/>
            <wp:effectExtent l="0" t="0" r="2540" b="1270"/>
            <wp:docPr id="14" name="图片 14" descr="bbbp_real_spa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descr="bbbp_real_space"/>
                    <pic:cNvPicPr>
                      <a:picLocks noChangeAspect="1"/>
                    </pic:cNvPicPr>
                  </pic:nvPicPr>
                  <pic:blipFill>
                    <a:blip r:embed="rId16"/>
                    <a:stretch>
                      <a:fillRect/>
                    </a:stretch>
                  </pic:blipFill>
                  <pic:spPr>
                    <a:xfrm>
                      <a:off x="0" y="0"/>
                      <a:ext cx="2969260" cy="2376170"/>
                    </a:xfrm>
                    <a:prstGeom prst="rect">
                      <a:avLst/>
                    </a:prstGeom>
                  </pic:spPr>
                </pic:pic>
              </a:graphicData>
            </a:graphic>
          </wp:inline>
        </w:drawing>
      </w:r>
    </w:p>
    <w:p w14:paraId="5CE406DD">
      <w:pPr>
        <w:pStyle w:val="4"/>
        <w:rPr>
          <w:rFonts w:hint="default"/>
        </w:rPr>
      </w:pPr>
      <w:r>
        <w:t>参数敏感实验</w:t>
      </w:r>
    </w:p>
    <w:p w14:paraId="32E83D34">
      <w:pPr>
        <w:ind w:firstLine="480"/>
      </w:pPr>
      <w:r>
        <w:t xml:space="preserve">为了验证模型在不同超参数设置下的鲁棒性，并探究核心超参数对对比学习性能的影响规律，本节选取了对比损失函数中的温度系数 </w:t>
      </w:r>
      <m:oMath>
        <m:r>
          <m:rPr/>
          <w:rPr>
            <w:rFonts w:ascii="Cambria Math"/>
          </w:rPr>
          <m:t>τ</m:t>
        </m:r>
      </m:oMath>
      <w:r>
        <w:t xml:space="preserve"> (Temperature Coefficient) 进行敏感性实验。实验在 ClinTox 和 BBBP 两个代表性数据集上进行，其他训练参数保持不变。1. 温度系数 $\tau$ 的影响分析温度系数 </w:t>
      </w:r>
      <m:oMath>
        <m:r>
          <m:rPr/>
          <w:rPr>
            <w:rFonts w:ascii="Cambria Math"/>
          </w:rPr>
          <m:t>τ</m:t>
        </m:r>
      </m:oMath>
      <w:r>
        <w:t xml:space="preserve"> 在 NT-Xent 损失函数中起着调节负样本梯度的关键作用。图 3-X 展示了模型性能随 </w:t>
      </w:r>
      <m:oMath>
        <m:r>
          <m:rPr/>
          <w:rPr>
            <w:rFonts w:ascii="Cambria Math"/>
          </w:rPr>
          <m:t>τ</m:t>
        </m:r>
      </m:oMath>
      <w:r>
        <w:t>值（取值范围</w:t>
      </w:r>
      <m:oMath>
        <m:r>
          <m:rPr/>
          <w:rPr>
            <w:rFonts w:ascii="Cambria Math"/>
          </w:rPr>
          <m:t>{0.05,0.1,0.2,0.5,1.0}</m:t>
        </m:r>
      </m:oMath>
      <w:r>
        <w:t xml:space="preserve">）的变化曲线。从图中可以观察到明显的“倒 U 型”趋势，具体分析如下：过小的 </w:t>
      </w:r>
      <m:oMath>
        <m:r>
          <m:rPr/>
          <w:rPr>
            <w:rFonts w:ascii="Cambria Math"/>
          </w:rPr>
          <m:t>τ</m:t>
        </m:r>
      </m:oMath>
      <w:r>
        <w:t xml:space="preserve"> (0.05)：当温度系数过小时，Softmax 分布变得极度尖锐，模型过度关注少量极其困难的负样本。这虽然能提供强梯度的监督信号，但容易引入潜在的假阴性样本噪声，导致优化过程不稳定，模型性能出现显著下降（ClinTox AUROC 降至 0.89 左右）。过大的 </w:t>
      </w:r>
      <m:oMath>
        <m:r>
          <m:rPr/>
          <w:rPr>
            <w:rFonts w:ascii="Cambria Math"/>
          </w:rPr>
          <m:t>τ</m:t>
        </m:r>
      </m:oMath>
      <w:r>
        <w:t xml:space="preserve"> (0.5 - 1.0)：随着温度系数增大，分布趋于平滑，模型对不同负样本的区分能力减弱。当 </w:t>
      </w:r>
      <m:oMath>
        <m:r>
          <m:rPr/>
          <w:rPr>
            <w:rFonts w:ascii="Cambria Math"/>
          </w:rPr>
          <m:t>τ=1.0</m:t>
        </m:r>
      </m:oMath>
      <w:r>
        <w:t xml:space="preserve"> 时，模型实际上是在同等程度地惩罚所有非匹配样本，失去了挖掘难样本的能力，导致特征空间的判别性降低，性能随之衰减。最优区间 (0.1 - 0.2)：实验结果表明，当 </w:t>
      </w:r>
      <m:oMath>
        <m:r>
          <m:rPr/>
          <w:rPr>
            <w:rFonts w:ascii="Cambria Math"/>
          </w:rPr>
          <m:t>τ</m:t>
        </m:r>
      </m:oMath>
      <w:r>
        <w:t xml:space="preserve">设定在 0.1 至 0.2 之间时，模型取得了最佳的预测性能。在此区间内，模型在挖掘难样本与保持训练稳定性之间达到了平衡，能够学习到既具有区分度又具备泛化能力的分子表征。因此，本研究在所有后续实验中均将 </w:t>
      </w:r>
      <m:oMath>
        <m:r>
          <m:rPr/>
          <w:rPr>
            <w:rFonts w:ascii="Cambria Math"/>
          </w:rPr>
          <m:t>τ</m:t>
        </m:r>
      </m:oMath>
      <w:r>
        <w:t xml:space="preserve"> 默认设置为 0.1。</w:t>
      </w:r>
    </w:p>
    <w:p w14:paraId="1280C378">
      <w:pPr>
        <w:ind w:firstLine="480"/>
      </w:pPr>
      <w:r>
        <w:drawing>
          <wp:inline distT="0" distB="0" distL="114300" distR="114300">
            <wp:extent cx="5269865" cy="3895725"/>
            <wp:effectExtent l="0" t="0" r="3175" b="5715"/>
            <wp:docPr id="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1"/>
                    <pic:cNvPicPr>
                      <a:picLocks noChangeAspect="1"/>
                    </pic:cNvPicPr>
                  </pic:nvPicPr>
                  <pic:blipFill>
                    <a:blip r:embed="rId17"/>
                    <a:stretch>
                      <a:fillRect/>
                    </a:stretch>
                  </pic:blipFill>
                  <pic:spPr>
                    <a:xfrm>
                      <a:off x="0" y="0"/>
                      <a:ext cx="5269865" cy="3895725"/>
                    </a:xfrm>
                    <a:prstGeom prst="rect">
                      <a:avLst/>
                    </a:prstGeom>
                    <a:noFill/>
                    <a:ln>
                      <a:noFill/>
                    </a:ln>
                  </pic:spPr>
                </pic:pic>
              </a:graphicData>
            </a:graphic>
          </wp:inline>
        </w:drawing>
      </w:r>
    </w:p>
    <w:p w14:paraId="70D78252">
      <w:pPr>
        <w:pStyle w:val="3"/>
      </w:pPr>
      <w:r>
        <w:rPr>
          <w:rFonts w:hint="eastAsia"/>
        </w:rPr>
        <w:t>本章小结</w:t>
      </w:r>
    </w:p>
    <w:p w14:paraId="16AF78AE">
      <w:pPr>
        <w:ind w:firstLine="480"/>
      </w:pPr>
      <w:r>
        <w:t>本章系统阐述了一种基于图对齐与知识增强的多模态分子性质预测框架。针对现有方法在异构数据融合及语义鸿沟跨越方面的局限性，本章首先构建了包含图、序列、指纹及文本的四维模态表征体系。特别是在文本模态处理上，创新性地设计了“知识重写流水线”，利用大语言模型将非结构化的药理描述与定量的理化性质有机融合，为模型注入了高密度的专家先验知识。在模型训练层面，提出了以分子图为核心的对比学习预训练策略，并引入基于同方差不确定性的动态加权机制，有效解决了多任务场景下的模态噪声干扰与梯度冲突问题。</w:t>
      </w:r>
    </w:p>
    <w:p w14:paraId="64B56C79">
      <w:pPr>
        <w:ind w:firstLine="480"/>
      </w:pPr>
      <w:r>
        <w:t>为了全面验证所提方法的有效性，本章在 MoleculeNet 的 9 个基准数据集上开展了多维度的实证研究。对比实验结果表明，该模型在 BACE、ClinTox 等分类任务及 FreeSolv 等回归任务上均取得了优于当前主流基准（如 CMPNN、MoleculeSTM）的预测性能。随后的消融实验定量解析了各输入模态的边际贡献，证实了交叉注意力机制在特征融合阶段优于简单拼接策略。</w:t>
      </w:r>
      <w:r>
        <w:rPr>
          <w:color w:val="E54C5E" w:themeColor="accent6"/>
          <w14:textFill>
            <w14:solidFill>
              <w14:schemeClr w14:val="accent6"/>
            </w14:solidFill>
          </w14:textFill>
        </w:rPr>
        <w:t>此外，通过多模态注意力热图与 t-SNE 特征空间可视化分析，直观揭示了模型在面对物理化学性质与生物药理活性任务时展现出的任务驱动型模态偏好，以及将混沌特征空间重构为线性可分簇的能力</w:t>
      </w:r>
      <w:r>
        <w:t>。最后，参数敏感性分析验证了模型核心超参数的鲁棒性。</w:t>
      </w:r>
    </w:p>
    <w:p w14:paraId="1F0F3FD1">
      <w:pPr>
        <w:ind w:firstLine="480"/>
      </w:pPr>
    </w:p>
    <w:p w14:paraId="270FF0F2">
      <w:pPr>
        <w:ind w:firstLine="480"/>
      </w:pPr>
      <w:r>
        <w:t>综上所述</w:t>
      </w:r>
      <w:r>
        <w:fldChar w:fldCharType="begin"/>
      </w:r>
      <w:r>
        <w:instrText xml:space="preserve"> ADDIN ZOTERO_ITEM CSL_CITATION {"citationID":"7bpGzSq2","properties":{"unsorted":false,"formattedCitation":"\\super [1]\\nosupersub{}","plainCitation":"[1]","noteIndex":0},"citationItems":[{"id":12,"uris":["http://zotero.org/users/local/4ghhIzQ3/items/RWISQSYI"],"itemData":{"id":12,"type":"paper-conference","container-title":"Advances in Neural Information Processing Systems","language":"en","page":"5998-6008","publisher":"Curran Associates, Inc.","source":"Neural Information Processing Systems","title":"Attention is All you Need","URL":"https://proceedings.neurips.cc/paper_files/paper/2017/hash/3f5ee243547dee91fbd053c1c4a845aa-Abstract.html","volume":"30","author":[{"family":"Vaswani","given":"Ashish"},{"family":"Shazeer","given":"Noam"},{"family":"Parmar","given":"Niki"},{"family":"Uszkoreit","given":"Jakob"},{"family":"Jones","given":"Llion"},{"family":"Gomez","given":"Aidan N"},{"family":"Kaiser","given":"Ł","dropping-particle":"ukasz"},{"family":"Polosukhin","given":"Illia"}],"accessed":{"date-parts":[["2026",2,17]]},"issued":{"date-parts":[["2017"]]}}}],"schema":"https://github.com/citation-style-language/schema/raw/master/csl-citation.json"} </w:instrText>
      </w:r>
      <w:r>
        <w:fldChar w:fldCharType="separate"/>
      </w:r>
      <w:r>
        <w:rPr>
          <w:kern w:val="0"/>
          <w:vertAlign w:val="superscript"/>
        </w:rPr>
        <w:t>[1]</w:t>
      </w:r>
      <w:r>
        <w:fldChar w:fldCharType="end"/>
      </w:r>
      <w:r>
        <w:t>，本章提出的方法不仅在预测精度上刷新了多项记录</w:t>
      </w:r>
      <w:r>
        <w:fldChar w:fldCharType="begin"/>
      </w:r>
      <w:r>
        <w:instrText xml:space="preserve"> ADDIN ZOTERO_ITEM CSL_CITATION {"citationID":"cCGMyTtf","properties":{"unsorted":false,"formattedCitation":"\\super [2]\\nosupersub{}","plainCitation":"[2]","noteIndex":0},"citationItems":[{"id":10,"uris":["http://zotero.org/users/local/4ghhIzQ3/items/4ZXPF3ZZ"],"itemData":{"id":10,"type":"paper-conference","container-title":"Advances in Neural Information Processing Systems","language":"en","page":"28877–28888","publisher":"Curran Associates, Inc.","source":"Neural Information Processing Systems","title":"Do Transformers Really Perform Badly for Graph Representation?","URL":"https://proceedings.neurips.cc/paper/2021/hash/f1c1592588411002af340cbaedd6fc33-Abstract.html","volume":"34","author":[{"family":"Ying","given":"Chengxuan"},{"family":"Cai","given":"Tianle"},{"family":"Luo","given":"Shengjie"},{"family":"Zheng","given":"Shuxin"},{"family":"Ke","given":"Guolin"},{"family":"He","given":"Di"},{"family":"Shen","given":"Yanming"},{"family":"Liu","given":"Tie-Yan"}],"accessed":{"date-parts":[["2026",2,16]]},"issued":{"date-parts":[["2021"]]}}}],"schema":"https://github.com/citation-style-language/schema/raw/master/csl-citation.json"} </w:instrText>
      </w:r>
      <w:r>
        <w:fldChar w:fldCharType="separate"/>
      </w:r>
      <w:r>
        <w:rPr>
          <w:kern w:val="0"/>
          <w:vertAlign w:val="superscript"/>
        </w:rPr>
        <w:t>[2]</w:t>
      </w:r>
      <w:r>
        <w:fldChar w:fldCharType="end"/>
      </w:r>
      <w:r>
        <w:t>，更在模型的可解释性与泛化能力上取得了显著突破，为后续的药物分子筛选与优化提供了可靠的计算工具。</w:t>
      </w:r>
    </w:p>
    <w:p w14:paraId="299B3A59">
      <w:pPr>
        <w:ind w:firstLine="480"/>
      </w:pPr>
    </w:p>
    <w:p w14:paraId="431A3848">
      <w:pPr>
        <w:pStyle w:val="2"/>
      </w:pPr>
      <w:r>
        <w:rPr>
          <w:rFonts w:hint="eastAsia"/>
        </w:rPr>
        <w:t>总结与展望</w:t>
      </w:r>
    </w:p>
    <w:p w14:paraId="5FEDF4BA">
      <w:pPr>
        <w:pStyle w:val="3"/>
      </w:pPr>
      <w:r>
        <w:rPr>
          <w:rFonts w:hint="eastAsia"/>
        </w:rPr>
        <w:t>工作总结</w:t>
      </w:r>
    </w:p>
    <w:p w14:paraId="46D263DA">
      <w:pPr>
        <w:pStyle w:val="3"/>
      </w:pPr>
      <w:r>
        <w:rPr>
          <w:rFonts w:hint="eastAsia"/>
        </w:rPr>
        <w:t>工作展望</w:t>
      </w:r>
    </w:p>
    <w:p w14:paraId="104D8BB3">
      <w:pPr>
        <w:pStyle w:val="2"/>
      </w:pPr>
      <w:r>
        <w:rPr>
          <w:rFonts w:hint="eastAsia"/>
        </w:rPr>
        <w:t>参考文献</w:t>
      </w:r>
    </w:p>
    <w:p w14:paraId="09F4FBEA">
      <w:pPr>
        <w:pStyle w:val="32"/>
        <w:ind w:firstLine="480"/>
      </w:pPr>
      <w:r>
        <w:fldChar w:fldCharType="begin"/>
      </w:r>
      <w:r>
        <w:instrText xml:space="preserve"> ADDIN ZOTERO_BIBL {"uncited":[],"omitted":[],"custom":[]} CSL_BIBLIOGRAPHY </w:instrText>
      </w:r>
      <w:r>
        <w:fldChar w:fldCharType="separate"/>
      </w:r>
      <w:r>
        <w:t>[1]</w:t>
      </w:r>
      <w:r>
        <w:tab/>
      </w:r>
      <w:r>
        <w:t>Vaswani A, Shazeer N, Parmar N, et al. Attention is All you Need[C]//Advances in Neural Information Processing Systems: Vol. 30. Curran Associates, Inc., 2017: 5998-6008.</w:t>
      </w:r>
    </w:p>
    <w:p w14:paraId="16710817">
      <w:pPr>
        <w:pStyle w:val="32"/>
        <w:ind w:firstLine="480"/>
      </w:pPr>
      <w:r>
        <w:t>[2]</w:t>
      </w:r>
      <w:r>
        <w:tab/>
      </w:r>
      <w:r>
        <w:t>Ying C, Cai T, Luo S, et al. Do Transformers Really Perform Badly for Graph Representation?[C]//Advances in Neural Information Processing Systems: Vol. 34. Curran Associates, Inc., 2021: 28877-28888.</w:t>
      </w:r>
    </w:p>
    <w:p w14:paraId="09502A28">
      <w:pPr>
        <w:ind w:firstLine="0" w:firstLineChars="0"/>
      </w:pPr>
      <w:r>
        <w:fldChar w:fldCharType="end"/>
      </w:r>
    </w:p>
    <w:p w14:paraId="636E052A">
      <w:pPr>
        <w:ind w:firstLine="0" w:firstLineChars="0"/>
      </w:pPr>
    </w:p>
    <w:p w14:paraId="0EC904C9">
      <w:pPr>
        <w:ind w:firstLine="0" w:firstLineChars="0"/>
      </w:pPr>
      <w:r>
        <w:br w:type="textWrapping"/>
      </w:r>
    </w:p>
    <w:p w14:paraId="50C95568">
      <w:pPr>
        <w:ind w:firstLine="0" w:firstLineChars="0"/>
      </w:pPr>
    </w:p>
    <w:sectPr>
      <w:pgSz w:w="11906" w:h="16838"/>
      <w:pgMar w:top="1440" w:right="1800" w:bottom="1440" w:left="1800" w:header="851"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80"/>
      </w:pPr>
      <w:r>
        <w:separator/>
      </w:r>
    </w:p>
  </w:endnote>
  <w:endnote w:type="continuationSeparator" w:id="1">
    <w:p>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default"/>
    <w:sig w:usb0="E0002EFF" w:usb1="C000785B" w:usb2="00000009" w:usb3="00000000" w:csb0="400001FF" w:csb1="FFFF0000"/>
  </w:font>
  <w:font w:name="宋体">
    <w:panose1 w:val="02010600030101010101"/>
    <w:charset w:val="7A"/>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Cambria Math">
    <w:panose1 w:val="02040503050406030204"/>
    <w:charset w:val="00"/>
    <w:family w:val="roman"/>
    <w:pitch w:val="default"/>
    <w:sig w:usb0="E00006FF" w:usb1="420024FF" w:usb2="02000000" w:usb3="00000000" w:csb0="2000019F" w:csb1="00000000"/>
  </w:font>
  <w:font w:name="sans-serif">
    <w:altName w:val="Euphorigenic"/>
    <w:panose1 w:val="00000000000000000000"/>
    <w:charset w:val="00"/>
    <w:family w:val="auto"/>
    <w:pitch w:val="default"/>
    <w:sig w:usb0="00000000" w:usb1="00000000" w:usb2="00000000" w:usb3="00000000" w:csb0="00000000" w:csb1="00000000"/>
  </w:font>
  <w:font w:name="Euphorigenic">
    <w:panose1 w:val="02000400000000000000"/>
    <w:charset w:val="00"/>
    <w:family w:val="auto"/>
    <w:pitch w:val="default"/>
    <w:sig w:usb0="80000027" w:usb1="0000000A" w:usb2="00000000" w:usb3="00000000" w:csb0="00000001" w:csb1="00000000"/>
  </w:font>
  <w:font w:name="MS Mincho">
    <w:altName w:val="Yu Gothic UI"/>
    <w:panose1 w:val="02020609040205080304"/>
    <w:charset w:val="80"/>
    <w:family w:val="modern"/>
    <w:pitch w:val="default"/>
    <w:sig w:usb0="00000000" w:usb1="00000000" w:usb2="08000012" w:usb3="00000000" w:csb0="0002009F" w:csb1="00000000"/>
  </w:font>
  <w:font w:name="ＭＳ 明朝">
    <w:altName w:val="Euphorigenic"/>
    <w:panose1 w:val="00000000000000000000"/>
    <w:charset w:val="00"/>
    <w:family w:val="auto"/>
    <w:pitch w:val="default"/>
    <w:sig w:usb0="00000000" w:usb1="00000000" w:usb2="00000000" w:usb3="00000000" w:csb0="00000000"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 w:name="Yu Gothic UI">
    <w:panose1 w:val="020B0500000000000000"/>
    <w:charset w:val="80"/>
    <w:family w:val="auto"/>
    <w:pitch w:val="default"/>
    <w:sig w:usb0="E00002FF" w:usb1="2AC7FDFF" w:usb2="00000016" w:usb3="00000000" w:csb0="2002009F" w:csb1="00000000"/>
  </w:font>
  <w:font w:name="MS Mincho">
    <w:altName w:val="Euphorigenic"/>
    <w:panose1 w:val="00000000000000000000"/>
    <w:charset w:val="00"/>
    <w:family w:val="auto"/>
    <w:pitch w:val="default"/>
    <w:sig w:usb0="00000000" w:usb1="00000000" w:usb2="00000000" w:usb3="00000000" w:csb0="00000000" w:csb1="00000000"/>
  </w:font>
  <w:font w:name="Calibri Light">
    <w:panose1 w:val="020F0302020204030204"/>
    <w:charset w:val="00"/>
    <w:family w:val="auto"/>
    <w:pitch w:val="default"/>
    <w:sig w:usb0="E4002EFF" w:usb1="C200247B" w:usb2="00000009" w:usb3="00000000" w:csb0="200001FF" w:csb1="00000000"/>
  </w:font>
  <w:font w:name="Wingdings">
    <w:panose1 w:val="05000000000000000000"/>
    <w:charset w:val="00"/>
    <w:family w:val="auto"/>
    <w:pitch w:val="default"/>
    <w:sig w:usb0="00000000" w:usb1="00000000" w:usb2="00000000" w:usb3="00000000" w:csb0="80000000"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ind w:firstLine="480"/>
      </w:pPr>
      <w:r>
        <w:separator/>
      </w:r>
    </w:p>
  </w:footnote>
  <w:footnote w:type="continuationSeparator" w:id="1">
    <w:p>
      <w:pPr>
        <w:spacing w:line="360" w:lineRule="auto"/>
        <w:ind w:firstLine="480"/>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6FB3329"/>
    <w:multiLevelType w:val="singleLevel"/>
    <w:tmpl w:val="86FB3329"/>
    <w:lvl w:ilvl="0" w:tentative="0">
      <w:start w:val="1"/>
      <w:numFmt w:val="decimal"/>
      <w:lvlText w:val="%1."/>
      <w:lvlJc w:val="left"/>
      <w:pPr>
        <w:tabs>
          <w:tab w:val="left" w:pos="312"/>
        </w:tabs>
      </w:pPr>
    </w:lvl>
  </w:abstractNum>
  <w:abstractNum w:abstractNumId="1">
    <w:nsid w:val="CF82725A"/>
    <w:multiLevelType w:val="multilevel"/>
    <w:tmpl w:val="CF82725A"/>
    <w:lvl w:ilvl="0" w:tentative="0">
      <w:start w:val="1"/>
      <w:numFmt w:val="decimal"/>
      <w:suff w:val="nothing"/>
      <w:lvlText w:val="%1、"/>
      <w:lvlJc w:val="right"/>
      <w:pPr>
        <w:tabs>
          <w:tab w:val="left" w:pos="0"/>
        </w:tabs>
        <w:ind w:left="432" w:hanging="432"/>
      </w:pPr>
      <w:rPr>
        <w:rFonts w:hint="default" w:ascii="黑体" w:hAnsi="黑体" w:eastAsia="黑体" w:cs="黑体"/>
        <w:sz w:val="28"/>
        <w:szCs w:val="28"/>
      </w:rPr>
    </w:lvl>
    <w:lvl w:ilvl="1" w:tentative="0">
      <w:start w:val="1"/>
      <w:numFmt w:val="decimal"/>
      <w:isLgl/>
      <w:suff w:val="nothing"/>
      <w:lvlText w:val="%1.%2、"/>
      <w:lvlJc w:val="left"/>
      <w:pPr>
        <w:tabs>
          <w:tab w:val="left" w:pos="0"/>
        </w:tabs>
        <w:ind w:left="420" w:hanging="420"/>
      </w:pPr>
      <w:rPr>
        <w:rFonts w:hint="default" w:ascii="黑体" w:hAnsi="黑体" w:eastAsia="黑体" w:cs="黑体"/>
        <w:sz w:val="24"/>
        <w:szCs w:val="24"/>
      </w:rPr>
    </w:lvl>
    <w:lvl w:ilvl="2" w:tentative="0">
      <w:start w:val="1"/>
      <w:numFmt w:val="decimal"/>
      <w:isLgl/>
      <w:lvlText w:val="%1.%2.%3 "/>
      <w:lvlJc w:val="left"/>
      <w:pPr>
        <w:tabs>
          <w:tab w:val="left" w:pos="0"/>
        </w:tabs>
        <w:ind w:left="720" w:hanging="720"/>
      </w:pPr>
      <w:rPr>
        <w:rFonts w:hint="eastAsia" w:ascii="宋体" w:hAnsi="宋体" w:eastAsia="宋体" w:cs="宋体"/>
      </w:rPr>
    </w:lvl>
    <w:lvl w:ilvl="3" w:tentative="0">
      <w:start w:val="1"/>
      <w:numFmt w:val="decimal"/>
      <w:isLgl/>
      <w:lvlText w:val="%1.%2.%3.%4."/>
      <w:lvlJc w:val="left"/>
      <w:pPr>
        <w:ind w:left="864" w:hanging="864"/>
      </w:pPr>
      <w:rPr>
        <w:rFonts w:hint="eastAsia"/>
      </w:rPr>
    </w:lvl>
    <w:lvl w:ilvl="4" w:tentative="0">
      <w:start w:val="1"/>
      <w:numFmt w:val="decimal"/>
      <w:pStyle w:val="6"/>
      <w:isLgl/>
      <w:lvlText w:val="%1.%2.%3.%4.%5."/>
      <w:lvlJc w:val="left"/>
      <w:pPr>
        <w:ind w:left="1008" w:hanging="1008"/>
      </w:pPr>
      <w:rPr>
        <w:rFonts w:hint="eastAsia"/>
      </w:rPr>
    </w:lvl>
    <w:lvl w:ilvl="5" w:tentative="0">
      <w:start w:val="1"/>
      <w:numFmt w:val="decimal"/>
      <w:pStyle w:val="7"/>
      <w:isLgl/>
      <w:lvlText w:val="%1.%2.%3.%4.%5.%6."/>
      <w:lvlJc w:val="left"/>
      <w:pPr>
        <w:ind w:left="1151" w:hanging="1151"/>
      </w:pPr>
      <w:rPr>
        <w:rFonts w:hint="eastAsia"/>
      </w:rPr>
    </w:lvl>
    <w:lvl w:ilvl="6" w:tentative="0">
      <w:start w:val="1"/>
      <w:numFmt w:val="decimal"/>
      <w:pStyle w:val="8"/>
      <w:isLgl/>
      <w:lvlText w:val="%1.%2.%3.%4.%5.%6.%7."/>
      <w:lvlJc w:val="left"/>
      <w:pPr>
        <w:ind w:left="1296" w:hanging="1296"/>
      </w:pPr>
      <w:rPr>
        <w:rFonts w:hint="eastAsia"/>
      </w:rPr>
    </w:lvl>
    <w:lvl w:ilvl="7" w:tentative="0">
      <w:start w:val="1"/>
      <w:numFmt w:val="decimal"/>
      <w:pStyle w:val="9"/>
      <w:isLgl/>
      <w:lvlText w:val="%1.%2.%3.%4.%5.%6.%7.%8."/>
      <w:lvlJc w:val="left"/>
      <w:pPr>
        <w:ind w:left="1440" w:hanging="1440"/>
      </w:pPr>
      <w:rPr>
        <w:rFonts w:hint="eastAsia"/>
      </w:rPr>
    </w:lvl>
    <w:lvl w:ilvl="8" w:tentative="0">
      <w:start w:val="1"/>
      <w:numFmt w:val="decimal"/>
      <w:pStyle w:val="10"/>
      <w:isLgl/>
      <w:lvlText w:val="%1.%2.%3.%4.%5.%6.%7.%8.%9."/>
      <w:lvlJc w:val="left"/>
      <w:pPr>
        <w:ind w:left="1583" w:hanging="1583"/>
      </w:pPr>
      <w:rPr>
        <w:rFonts w:hint="eastAsia"/>
      </w:rPr>
    </w:lvl>
  </w:abstractNum>
  <w:abstractNum w:abstractNumId="2">
    <w:nsid w:val="3139FD21"/>
    <w:multiLevelType w:val="multilevel"/>
    <w:tmpl w:val="3139FD21"/>
    <w:lvl w:ilvl="0" w:tentative="0">
      <w:start w:val="1"/>
      <w:numFmt w:val="decimal"/>
      <w:pStyle w:val="29"/>
      <w:suff w:val="space"/>
      <w:lvlText w:val="%1、"/>
      <w:lvlJc w:val="left"/>
      <w:pPr>
        <w:tabs>
          <w:tab w:val="left" w:pos="420"/>
        </w:tabs>
        <w:ind w:left="0" w:firstLine="0"/>
      </w:pPr>
      <w:rPr>
        <w:rFonts w:hint="default"/>
      </w:rPr>
    </w:lvl>
    <w:lvl w:ilvl="1" w:tentative="0">
      <w:start w:val="1"/>
      <w:numFmt w:val="decimal"/>
      <w:pStyle w:val="27"/>
      <w:isLgl/>
      <w:suff w:val="space"/>
      <w:lvlText w:val="%2.1"/>
      <w:lvlJc w:val="left"/>
      <w:pPr>
        <w:tabs>
          <w:tab w:val="left" w:pos="0"/>
        </w:tabs>
        <w:ind w:left="851" w:firstLine="0"/>
      </w:pPr>
      <w:rPr>
        <w:rFonts w:hint="default"/>
      </w:rPr>
    </w:lvl>
    <w:lvl w:ilvl="2" w:tentative="0">
      <w:start w:val="1"/>
      <w:numFmt w:val="decimal"/>
      <w:pStyle w:val="30"/>
      <w:isLgl/>
      <w:lvlText w:val="%2.%3.1"/>
      <w:lvlJc w:val="left"/>
      <w:pPr>
        <w:tabs>
          <w:tab w:val="left" w:pos="420"/>
        </w:tabs>
        <w:ind w:left="0" w:firstLine="0"/>
      </w:pPr>
      <w:rPr>
        <w:rFonts w:hint="eastAsia"/>
      </w:rPr>
    </w:lvl>
    <w:lvl w:ilvl="3" w:tentative="0">
      <w:start w:val="1"/>
      <w:numFmt w:val="decimal"/>
      <w:pStyle w:val="31"/>
      <w:lvlText w:val="1.%2.%3.%4"/>
      <w:lvlJc w:val="left"/>
      <w:pPr>
        <w:ind w:left="0" w:firstLine="0"/>
      </w:pPr>
      <w:rPr>
        <w:rFonts w:hint="eastAsia"/>
      </w:rPr>
    </w:lvl>
    <w:lvl w:ilvl="4" w:tentative="0">
      <w:start w:val="1"/>
      <w:numFmt w:val="decimal"/>
      <w:lvlText w:val="%1.%2.%3.%4.%5"/>
      <w:lvlJc w:val="left"/>
      <w:pPr>
        <w:ind w:left="0" w:firstLine="0"/>
      </w:pPr>
      <w:rPr>
        <w:rFonts w:hint="eastAsia"/>
      </w:rPr>
    </w:lvl>
    <w:lvl w:ilvl="5" w:tentative="0">
      <w:start w:val="1"/>
      <w:numFmt w:val="decimal"/>
      <w:lvlText w:val="%1.%2.%3.%4.%5.%6"/>
      <w:lvlJc w:val="left"/>
      <w:pPr>
        <w:ind w:left="0" w:firstLine="0"/>
      </w:pPr>
      <w:rPr>
        <w:rFonts w:hint="eastAsia"/>
      </w:rPr>
    </w:lvl>
    <w:lvl w:ilvl="6" w:tentative="0">
      <w:start w:val="1"/>
      <w:numFmt w:val="decimal"/>
      <w:lvlText w:val="%1.%2.%3.%4.%5.%6.%7"/>
      <w:lvlJc w:val="left"/>
      <w:pPr>
        <w:ind w:left="0" w:firstLine="0"/>
      </w:pPr>
      <w:rPr>
        <w:rFonts w:hint="eastAsia"/>
      </w:rPr>
    </w:lvl>
    <w:lvl w:ilvl="7" w:tentative="0">
      <w:start w:val="1"/>
      <w:numFmt w:val="decimal"/>
      <w:lvlText w:val="%1.%2.%3.%4.%5.%6.%7.%8"/>
      <w:lvlJc w:val="left"/>
      <w:pPr>
        <w:ind w:left="0" w:firstLine="0"/>
      </w:pPr>
      <w:rPr>
        <w:rFonts w:hint="eastAsia"/>
      </w:rPr>
    </w:lvl>
    <w:lvl w:ilvl="8" w:tentative="0">
      <w:start w:val="1"/>
      <w:numFmt w:val="decimal"/>
      <w:lvlText w:val="%1.%2.%3.%4.%5.%6.%7.%8.%9"/>
      <w:lvlJc w:val="left"/>
      <w:pPr>
        <w:ind w:left="0" w:firstLine="0"/>
      </w:pPr>
      <w:rPr>
        <w:rFonts w:hint="eastAsia"/>
      </w:rPr>
    </w:lvl>
  </w:abstractNum>
  <w:abstractNum w:abstractNumId="3">
    <w:nsid w:val="4655DA76"/>
    <w:multiLevelType w:val="singleLevel"/>
    <w:tmpl w:val="4655DA76"/>
    <w:lvl w:ilvl="0" w:tentative="0">
      <w:start w:val="1"/>
      <w:numFmt w:val="decimal"/>
      <w:suff w:val="space"/>
      <w:lvlText w:val="%1."/>
      <w:lvlJc w:val="left"/>
    </w:lvl>
  </w:abstractNum>
  <w:abstractNum w:abstractNumId="4">
    <w:nsid w:val="7E5371A9"/>
    <w:multiLevelType w:val="multilevel"/>
    <w:tmpl w:val="7E5371A9"/>
    <w:lvl w:ilvl="0" w:tentative="0">
      <w:start w:val="1"/>
      <w:numFmt w:val="decimal"/>
      <w:pStyle w:val="2"/>
      <w:isLgl/>
      <w:suff w:val="space"/>
      <w:lvlText w:val="%1"/>
      <w:lvlJc w:val="left"/>
      <w:pPr>
        <w:tabs>
          <w:tab w:val="left" w:pos="420"/>
        </w:tabs>
        <w:ind w:left="0" w:firstLine="0"/>
      </w:pPr>
      <w:rPr>
        <w:rFonts w:hint="default"/>
      </w:rPr>
    </w:lvl>
    <w:lvl w:ilvl="1" w:tentative="0">
      <w:start w:val="1"/>
      <w:numFmt w:val="decimal"/>
      <w:pStyle w:val="3"/>
      <w:isLgl/>
      <w:suff w:val="space"/>
      <w:lvlText w:val="%1.%2"/>
      <w:lvlJc w:val="left"/>
      <w:pPr>
        <w:tabs>
          <w:tab w:val="left" w:pos="420"/>
        </w:tabs>
        <w:ind w:left="0" w:firstLine="0"/>
      </w:pPr>
      <w:rPr>
        <w:rFonts w:hint="default"/>
      </w:rPr>
    </w:lvl>
    <w:lvl w:ilvl="2" w:tentative="0">
      <w:start w:val="1"/>
      <w:numFmt w:val="decimal"/>
      <w:pStyle w:val="4"/>
      <w:isLgl/>
      <w:suff w:val="space"/>
      <w:lvlText w:val="%1.%2.%3"/>
      <w:lvlJc w:val="left"/>
      <w:pPr>
        <w:tabs>
          <w:tab w:val="left" w:pos="0"/>
        </w:tabs>
        <w:ind w:left="0" w:firstLine="0"/>
      </w:pPr>
      <w:rPr>
        <w:rFonts w:hint="default"/>
      </w:rPr>
    </w:lvl>
    <w:lvl w:ilvl="3" w:tentative="0">
      <w:start w:val="1"/>
      <w:numFmt w:val="decimal"/>
      <w:pStyle w:val="5"/>
      <w:isLgl/>
      <w:lvlText w:val="%1.%2.%3.%4"/>
      <w:lvlJc w:val="left"/>
      <w:pPr>
        <w:tabs>
          <w:tab w:val="left" w:pos="0"/>
        </w:tabs>
        <w:ind w:left="0" w:firstLine="0"/>
      </w:pPr>
      <w:rPr>
        <w:rFonts w:hint="default"/>
      </w:rPr>
    </w:lvl>
    <w:lvl w:ilvl="4" w:tentative="0">
      <w:start w:val="1"/>
      <w:numFmt w:val="decimal"/>
      <w:lvlText w:val="%1.%2.%3.%4.%5."/>
      <w:lvlJc w:val="left"/>
      <w:pPr>
        <w:ind w:left="991" w:hanging="991"/>
      </w:pPr>
      <w:rPr>
        <w:rFonts w:hint="default"/>
      </w:rPr>
    </w:lvl>
    <w:lvl w:ilvl="5" w:tentative="0">
      <w:start w:val="1"/>
      <w:numFmt w:val="decimal"/>
      <w:lvlText w:val="%1.%2.%3.%4.%5.%6."/>
      <w:lvlJc w:val="left"/>
      <w:pPr>
        <w:ind w:left="1134" w:hanging="1134"/>
      </w:pPr>
      <w:rPr>
        <w:rFonts w:hint="default"/>
      </w:rPr>
    </w:lvl>
    <w:lvl w:ilvl="6" w:tentative="0">
      <w:start w:val="1"/>
      <w:numFmt w:val="decimal"/>
      <w:lvlText w:val="%1.%2.%3.%4.%5.%6.%7."/>
      <w:lvlJc w:val="left"/>
      <w:pPr>
        <w:ind w:left="1275" w:hanging="1275"/>
      </w:pPr>
      <w:rPr>
        <w:rFonts w:hint="default"/>
      </w:rPr>
    </w:lvl>
    <w:lvl w:ilvl="7" w:tentative="0">
      <w:start w:val="1"/>
      <w:numFmt w:val="decimal"/>
      <w:lvlText w:val="%1.%2.%3.%4.%5.%6.%7.%8."/>
      <w:lvlJc w:val="left"/>
      <w:pPr>
        <w:ind w:left="1418" w:hanging="1418"/>
      </w:pPr>
      <w:rPr>
        <w:rFonts w:hint="default"/>
      </w:rPr>
    </w:lvl>
    <w:lvl w:ilvl="8" w:tentative="0">
      <w:start w:val="1"/>
      <w:numFmt w:val="decimal"/>
      <w:lvlText w:val="%1.%2.%3.%4.%5.%6.%7.%8.%9."/>
      <w:lvlJc w:val="left"/>
      <w:pPr>
        <w:ind w:left="1558" w:hanging="1558"/>
      </w:pPr>
      <w:rPr>
        <w:rFonts w:hint="default"/>
      </w:rPr>
    </w:lvl>
  </w:abstractNum>
  <w:num w:numId="1">
    <w:abstractNumId w:val="4"/>
  </w:num>
  <w:num w:numId="2">
    <w:abstractNumId w:val="1"/>
  </w:num>
  <w:num w:numId="3">
    <w:abstractNumId w:val="2"/>
  </w:num>
  <w:num w:numId="4">
    <w:abstractNumId w:val="0"/>
  </w:num>
  <w:num w:numId="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381FC9"/>
    <w:rsid w:val="0001525D"/>
    <w:rsid w:val="00023987"/>
    <w:rsid w:val="0005047E"/>
    <w:rsid w:val="00072BD9"/>
    <w:rsid w:val="000E0B71"/>
    <w:rsid w:val="000F0195"/>
    <w:rsid w:val="00107007"/>
    <w:rsid w:val="0016460E"/>
    <w:rsid w:val="00176270"/>
    <w:rsid w:val="001807F9"/>
    <w:rsid w:val="0018788F"/>
    <w:rsid w:val="001B637F"/>
    <w:rsid w:val="001C47BB"/>
    <w:rsid w:val="001D5FB4"/>
    <w:rsid w:val="00217E8E"/>
    <w:rsid w:val="00230EF8"/>
    <w:rsid w:val="00232CC6"/>
    <w:rsid w:val="002352F9"/>
    <w:rsid w:val="002356A9"/>
    <w:rsid w:val="00245FC4"/>
    <w:rsid w:val="00266F9A"/>
    <w:rsid w:val="00283A3B"/>
    <w:rsid w:val="002A5F30"/>
    <w:rsid w:val="002B2251"/>
    <w:rsid w:val="002B6905"/>
    <w:rsid w:val="002C1411"/>
    <w:rsid w:val="002D3832"/>
    <w:rsid w:val="002F18CA"/>
    <w:rsid w:val="002F6F9F"/>
    <w:rsid w:val="00301BA3"/>
    <w:rsid w:val="0034211D"/>
    <w:rsid w:val="003557C5"/>
    <w:rsid w:val="003646C2"/>
    <w:rsid w:val="00381FC9"/>
    <w:rsid w:val="003D1AB8"/>
    <w:rsid w:val="003E2C24"/>
    <w:rsid w:val="004A7F4F"/>
    <w:rsid w:val="004B101F"/>
    <w:rsid w:val="004C09C9"/>
    <w:rsid w:val="00545898"/>
    <w:rsid w:val="00590655"/>
    <w:rsid w:val="00596495"/>
    <w:rsid w:val="005A6297"/>
    <w:rsid w:val="005D2D04"/>
    <w:rsid w:val="00642C5A"/>
    <w:rsid w:val="006A176B"/>
    <w:rsid w:val="0070439B"/>
    <w:rsid w:val="007377C3"/>
    <w:rsid w:val="0076042B"/>
    <w:rsid w:val="007761EF"/>
    <w:rsid w:val="007914ED"/>
    <w:rsid w:val="007B22AF"/>
    <w:rsid w:val="007D628A"/>
    <w:rsid w:val="0081648C"/>
    <w:rsid w:val="00852AD0"/>
    <w:rsid w:val="0086508D"/>
    <w:rsid w:val="00880417"/>
    <w:rsid w:val="00895397"/>
    <w:rsid w:val="00896A0A"/>
    <w:rsid w:val="008C410B"/>
    <w:rsid w:val="008E2693"/>
    <w:rsid w:val="008F1005"/>
    <w:rsid w:val="008F6CC6"/>
    <w:rsid w:val="00912142"/>
    <w:rsid w:val="0091610B"/>
    <w:rsid w:val="00926AA3"/>
    <w:rsid w:val="00974CD9"/>
    <w:rsid w:val="0098414E"/>
    <w:rsid w:val="009A058C"/>
    <w:rsid w:val="009A1EA0"/>
    <w:rsid w:val="009A55EA"/>
    <w:rsid w:val="009E79BA"/>
    <w:rsid w:val="009F5C67"/>
    <w:rsid w:val="00A033E3"/>
    <w:rsid w:val="00A1782E"/>
    <w:rsid w:val="00A45100"/>
    <w:rsid w:val="00A64D0B"/>
    <w:rsid w:val="00A7293B"/>
    <w:rsid w:val="00A80E38"/>
    <w:rsid w:val="00A943F1"/>
    <w:rsid w:val="00AA4A1A"/>
    <w:rsid w:val="00AC045B"/>
    <w:rsid w:val="00AE7891"/>
    <w:rsid w:val="00B352E3"/>
    <w:rsid w:val="00B60655"/>
    <w:rsid w:val="00B77C35"/>
    <w:rsid w:val="00B80734"/>
    <w:rsid w:val="00B8244B"/>
    <w:rsid w:val="00BF00FE"/>
    <w:rsid w:val="00BF4B45"/>
    <w:rsid w:val="00BF7016"/>
    <w:rsid w:val="00C25DC5"/>
    <w:rsid w:val="00C4477C"/>
    <w:rsid w:val="00C57CB6"/>
    <w:rsid w:val="00C62B7C"/>
    <w:rsid w:val="00C70A40"/>
    <w:rsid w:val="00CA0270"/>
    <w:rsid w:val="00D25384"/>
    <w:rsid w:val="00D3038F"/>
    <w:rsid w:val="00D4599E"/>
    <w:rsid w:val="00D53E62"/>
    <w:rsid w:val="00D64755"/>
    <w:rsid w:val="00D93E0E"/>
    <w:rsid w:val="00DF38F3"/>
    <w:rsid w:val="00E06442"/>
    <w:rsid w:val="00E21696"/>
    <w:rsid w:val="00E54662"/>
    <w:rsid w:val="00E54676"/>
    <w:rsid w:val="00E66874"/>
    <w:rsid w:val="00EB1DA6"/>
    <w:rsid w:val="00EE0FFE"/>
    <w:rsid w:val="00EE52E8"/>
    <w:rsid w:val="00EF6DFE"/>
    <w:rsid w:val="00F5462D"/>
    <w:rsid w:val="00F874BC"/>
    <w:rsid w:val="00FE05CE"/>
    <w:rsid w:val="01150B21"/>
    <w:rsid w:val="018502B5"/>
    <w:rsid w:val="01DB1C83"/>
    <w:rsid w:val="01F64D0F"/>
    <w:rsid w:val="02A22CA5"/>
    <w:rsid w:val="02E1776D"/>
    <w:rsid w:val="03AE3AF3"/>
    <w:rsid w:val="0433224A"/>
    <w:rsid w:val="05A849B2"/>
    <w:rsid w:val="064F49ED"/>
    <w:rsid w:val="06510766"/>
    <w:rsid w:val="06B62CBE"/>
    <w:rsid w:val="06E11AE9"/>
    <w:rsid w:val="07017172"/>
    <w:rsid w:val="071E0F8F"/>
    <w:rsid w:val="07677AD1"/>
    <w:rsid w:val="07754928"/>
    <w:rsid w:val="08155C5D"/>
    <w:rsid w:val="08805332"/>
    <w:rsid w:val="08CE2541"/>
    <w:rsid w:val="08EE4992"/>
    <w:rsid w:val="0935611C"/>
    <w:rsid w:val="093D1475"/>
    <w:rsid w:val="0958005D"/>
    <w:rsid w:val="09F75AC8"/>
    <w:rsid w:val="0A0B19C3"/>
    <w:rsid w:val="0A4C7BC2"/>
    <w:rsid w:val="0ABF0394"/>
    <w:rsid w:val="0B04049C"/>
    <w:rsid w:val="0B6B22C9"/>
    <w:rsid w:val="0BD64449"/>
    <w:rsid w:val="0BFF569C"/>
    <w:rsid w:val="0C965756"/>
    <w:rsid w:val="0CDC2ACA"/>
    <w:rsid w:val="0D9773A6"/>
    <w:rsid w:val="0E6A3D66"/>
    <w:rsid w:val="0E807E3A"/>
    <w:rsid w:val="0EA93835"/>
    <w:rsid w:val="0EC8358F"/>
    <w:rsid w:val="0ED168E7"/>
    <w:rsid w:val="0F503503"/>
    <w:rsid w:val="0F7C2CF7"/>
    <w:rsid w:val="0FC95811"/>
    <w:rsid w:val="10596B94"/>
    <w:rsid w:val="10D475A4"/>
    <w:rsid w:val="11380C28"/>
    <w:rsid w:val="118A0FD0"/>
    <w:rsid w:val="11BF6ECB"/>
    <w:rsid w:val="11CC3396"/>
    <w:rsid w:val="120548F1"/>
    <w:rsid w:val="1212349F"/>
    <w:rsid w:val="12CF0C0F"/>
    <w:rsid w:val="13313DF9"/>
    <w:rsid w:val="13741F37"/>
    <w:rsid w:val="13BE388E"/>
    <w:rsid w:val="13D86F0D"/>
    <w:rsid w:val="144B713C"/>
    <w:rsid w:val="14667AD2"/>
    <w:rsid w:val="14681A9C"/>
    <w:rsid w:val="146944C2"/>
    <w:rsid w:val="14E37374"/>
    <w:rsid w:val="150C0679"/>
    <w:rsid w:val="15CF1017"/>
    <w:rsid w:val="1666772B"/>
    <w:rsid w:val="16721235"/>
    <w:rsid w:val="16EE3830"/>
    <w:rsid w:val="17424AB7"/>
    <w:rsid w:val="17887D5F"/>
    <w:rsid w:val="17F65611"/>
    <w:rsid w:val="191915B7"/>
    <w:rsid w:val="19197809"/>
    <w:rsid w:val="1A9B7C43"/>
    <w:rsid w:val="1B593EEC"/>
    <w:rsid w:val="1BCA6B98"/>
    <w:rsid w:val="1BDB2F6A"/>
    <w:rsid w:val="1C884062"/>
    <w:rsid w:val="1D37025D"/>
    <w:rsid w:val="1D540E0F"/>
    <w:rsid w:val="1D8B05A9"/>
    <w:rsid w:val="1F3F2EA1"/>
    <w:rsid w:val="1F5E18DF"/>
    <w:rsid w:val="1F7F074A"/>
    <w:rsid w:val="1FCF02AE"/>
    <w:rsid w:val="1FE673DA"/>
    <w:rsid w:val="202645B9"/>
    <w:rsid w:val="20DB53A4"/>
    <w:rsid w:val="20F01385"/>
    <w:rsid w:val="21423675"/>
    <w:rsid w:val="214E0CB3"/>
    <w:rsid w:val="21C61BB0"/>
    <w:rsid w:val="220925C6"/>
    <w:rsid w:val="220A5F40"/>
    <w:rsid w:val="222A07C5"/>
    <w:rsid w:val="22F9340A"/>
    <w:rsid w:val="23E876FD"/>
    <w:rsid w:val="23F97868"/>
    <w:rsid w:val="25641E0C"/>
    <w:rsid w:val="257A162F"/>
    <w:rsid w:val="25853B30"/>
    <w:rsid w:val="259D70CC"/>
    <w:rsid w:val="260E3B25"/>
    <w:rsid w:val="264D3A61"/>
    <w:rsid w:val="26C2328E"/>
    <w:rsid w:val="26FB67A0"/>
    <w:rsid w:val="272924A0"/>
    <w:rsid w:val="27866B9F"/>
    <w:rsid w:val="27B32BD6"/>
    <w:rsid w:val="27D50D9F"/>
    <w:rsid w:val="27E71EA9"/>
    <w:rsid w:val="27F60D15"/>
    <w:rsid w:val="289E73E3"/>
    <w:rsid w:val="28EA6ACC"/>
    <w:rsid w:val="292A511A"/>
    <w:rsid w:val="29944785"/>
    <w:rsid w:val="29DF5F05"/>
    <w:rsid w:val="29FA6504"/>
    <w:rsid w:val="2B116592"/>
    <w:rsid w:val="2BCC4267"/>
    <w:rsid w:val="2C536B29"/>
    <w:rsid w:val="2C5F332D"/>
    <w:rsid w:val="2C7072E8"/>
    <w:rsid w:val="2C906D58"/>
    <w:rsid w:val="2CCD473A"/>
    <w:rsid w:val="2CEB4BC0"/>
    <w:rsid w:val="2CFA0444"/>
    <w:rsid w:val="2CFE5A0D"/>
    <w:rsid w:val="2D577A9F"/>
    <w:rsid w:val="2D984BB1"/>
    <w:rsid w:val="2DF45CF7"/>
    <w:rsid w:val="2E0F77BA"/>
    <w:rsid w:val="2F4D56BE"/>
    <w:rsid w:val="2F917CA1"/>
    <w:rsid w:val="2FBA3380"/>
    <w:rsid w:val="2FBC06DB"/>
    <w:rsid w:val="2FC5794B"/>
    <w:rsid w:val="2FD656B4"/>
    <w:rsid w:val="2FFE2E5D"/>
    <w:rsid w:val="303F594F"/>
    <w:rsid w:val="30586A11"/>
    <w:rsid w:val="309C7EB6"/>
    <w:rsid w:val="30F229C1"/>
    <w:rsid w:val="32220E91"/>
    <w:rsid w:val="333077D1"/>
    <w:rsid w:val="33424F22"/>
    <w:rsid w:val="34A90091"/>
    <w:rsid w:val="34B61F58"/>
    <w:rsid w:val="34CE2DFE"/>
    <w:rsid w:val="34D92233"/>
    <w:rsid w:val="34DF14AF"/>
    <w:rsid w:val="3575596F"/>
    <w:rsid w:val="35EA1EB9"/>
    <w:rsid w:val="361433DA"/>
    <w:rsid w:val="36401AD9"/>
    <w:rsid w:val="36794FEB"/>
    <w:rsid w:val="36A75037"/>
    <w:rsid w:val="37841E99"/>
    <w:rsid w:val="381F1BC2"/>
    <w:rsid w:val="38F17A02"/>
    <w:rsid w:val="39025256"/>
    <w:rsid w:val="39551D3F"/>
    <w:rsid w:val="3963760F"/>
    <w:rsid w:val="39B30BBC"/>
    <w:rsid w:val="39FE4A9D"/>
    <w:rsid w:val="3A39340F"/>
    <w:rsid w:val="3AA30888"/>
    <w:rsid w:val="3AA65926"/>
    <w:rsid w:val="3AB94550"/>
    <w:rsid w:val="3AD153F6"/>
    <w:rsid w:val="3B053664"/>
    <w:rsid w:val="3B40257B"/>
    <w:rsid w:val="3B7566C9"/>
    <w:rsid w:val="3BA7755B"/>
    <w:rsid w:val="3BB16FD5"/>
    <w:rsid w:val="3BDD426E"/>
    <w:rsid w:val="3C6C2C0E"/>
    <w:rsid w:val="3C8D17F0"/>
    <w:rsid w:val="3D143CBF"/>
    <w:rsid w:val="3D2B25F8"/>
    <w:rsid w:val="3D6119C4"/>
    <w:rsid w:val="3DA94408"/>
    <w:rsid w:val="3E047E0A"/>
    <w:rsid w:val="3E412892"/>
    <w:rsid w:val="3E4800C5"/>
    <w:rsid w:val="3F0F0BE2"/>
    <w:rsid w:val="3F12422F"/>
    <w:rsid w:val="3F32042D"/>
    <w:rsid w:val="3FC65745"/>
    <w:rsid w:val="400224F5"/>
    <w:rsid w:val="40BB2DD0"/>
    <w:rsid w:val="40E90FBF"/>
    <w:rsid w:val="40EC3972"/>
    <w:rsid w:val="411C05E3"/>
    <w:rsid w:val="41744D2D"/>
    <w:rsid w:val="41F12821"/>
    <w:rsid w:val="42694565"/>
    <w:rsid w:val="427B20EB"/>
    <w:rsid w:val="43166C80"/>
    <w:rsid w:val="431F0E8B"/>
    <w:rsid w:val="432E715D"/>
    <w:rsid w:val="436D237B"/>
    <w:rsid w:val="43C26152"/>
    <w:rsid w:val="44044A8E"/>
    <w:rsid w:val="440C3157"/>
    <w:rsid w:val="44444E8A"/>
    <w:rsid w:val="44D426B2"/>
    <w:rsid w:val="44E80FE1"/>
    <w:rsid w:val="455A06DD"/>
    <w:rsid w:val="45837C34"/>
    <w:rsid w:val="45965BB9"/>
    <w:rsid w:val="45B352DC"/>
    <w:rsid w:val="45CB21F7"/>
    <w:rsid w:val="45CF4C28"/>
    <w:rsid w:val="45ED3300"/>
    <w:rsid w:val="461A2EB7"/>
    <w:rsid w:val="478258F5"/>
    <w:rsid w:val="482F17FF"/>
    <w:rsid w:val="48A77906"/>
    <w:rsid w:val="48A91760"/>
    <w:rsid w:val="490E6F34"/>
    <w:rsid w:val="49217DF9"/>
    <w:rsid w:val="4941408E"/>
    <w:rsid w:val="494D47E1"/>
    <w:rsid w:val="49D96075"/>
    <w:rsid w:val="4AB34B18"/>
    <w:rsid w:val="4AE03433"/>
    <w:rsid w:val="4AE41175"/>
    <w:rsid w:val="4B8204BE"/>
    <w:rsid w:val="4C4507B6"/>
    <w:rsid w:val="4C63256E"/>
    <w:rsid w:val="4D551EB6"/>
    <w:rsid w:val="4D8B14D9"/>
    <w:rsid w:val="4DB33B09"/>
    <w:rsid w:val="4EBB21ED"/>
    <w:rsid w:val="4F1813ED"/>
    <w:rsid w:val="4F576D80"/>
    <w:rsid w:val="4FA30A16"/>
    <w:rsid w:val="509947B0"/>
    <w:rsid w:val="50AF18DD"/>
    <w:rsid w:val="525C3CE7"/>
    <w:rsid w:val="528E3D51"/>
    <w:rsid w:val="530E3233"/>
    <w:rsid w:val="53D55AFF"/>
    <w:rsid w:val="546B0211"/>
    <w:rsid w:val="55844E99"/>
    <w:rsid w:val="55B44A7B"/>
    <w:rsid w:val="560E70A6"/>
    <w:rsid w:val="56680EAC"/>
    <w:rsid w:val="572D5C52"/>
    <w:rsid w:val="583B7EFB"/>
    <w:rsid w:val="58B061F7"/>
    <w:rsid w:val="58BA1CEE"/>
    <w:rsid w:val="58C16652"/>
    <w:rsid w:val="593E5EF4"/>
    <w:rsid w:val="59576FB6"/>
    <w:rsid w:val="59AD46C0"/>
    <w:rsid w:val="5A3B2CC9"/>
    <w:rsid w:val="5B305D11"/>
    <w:rsid w:val="5B4F0B23"/>
    <w:rsid w:val="5B4F731A"/>
    <w:rsid w:val="5B993B5A"/>
    <w:rsid w:val="5BD668B8"/>
    <w:rsid w:val="5BF907F8"/>
    <w:rsid w:val="5C2C0286"/>
    <w:rsid w:val="5C983B6D"/>
    <w:rsid w:val="5D814602"/>
    <w:rsid w:val="5D9A3915"/>
    <w:rsid w:val="5DF254FF"/>
    <w:rsid w:val="5EA7453C"/>
    <w:rsid w:val="5F061262"/>
    <w:rsid w:val="5F573763"/>
    <w:rsid w:val="5F773F0E"/>
    <w:rsid w:val="5FC01AAC"/>
    <w:rsid w:val="602B6AA7"/>
    <w:rsid w:val="6045400C"/>
    <w:rsid w:val="60D1764E"/>
    <w:rsid w:val="611A2DA3"/>
    <w:rsid w:val="61377DF9"/>
    <w:rsid w:val="61D513C0"/>
    <w:rsid w:val="621C33F7"/>
    <w:rsid w:val="621E4B15"/>
    <w:rsid w:val="62C366A0"/>
    <w:rsid w:val="634E31D8"/>
    <w:rsid w:val="637C5F97"/>
    <w:rsid w:val="63915694"/>
    <w:rsid w:val="639332E1"/>
    <w:rsid w:val="64F102BF"/>
    <w:rsid w:val="65424FBE"/>
    <w:rsid w:val="65711400"/>
    <w:rsid w:val="666902A6"/>
    <w:rsid w:val="66D87988"/>
    <w:rsid w:val="68464DC5"/>
    <w:rsid w:val="68E36170"/>
    <w:rsid w:val="692A78CC"/>
    <w:rsid w:val="69502941"/>
    <w:rsid w:val="69D81A4D"/>
    <w:rsid w:val="69F97043"/>
    <w:rsid w:val="6A2373A8"/>
    <w:rsid w:val="6A627569"/>
    <w:rsid w:val="6AAF6C52"/>
    <w:rsid w:val="6C661592"/>
    <w:rsid w:val="6CCA3A1C"/>
    <w:rsid w:val="6CE81FA7"/>
    <w:rsid w:val="6D1F1741"/>
    <w:rsid w:val="6D8A5754"/>
    <w:rsid w:val="6D9A5D0C"/>
    <w:rsid w:val="6E46167B"/>
    <w:rsid w:val="6E577D47"/>
    <w:rsid w:val="6F170AB2"/>
    <w:rsid w:val="6F455D89"/>
    <w:rsid w:val="6F4B0F13"/>
    <w:rsid w:val="6F745D74"/>
    <w:rsid w:val="6F9562E9"/>
    <w:rsid w:val="6FD1766A"/>
    <w:rsid w:val="6FE27182"/>
    <w:rsid w:val="705D2CAC"/>
    <w:rsid w:val="7075449A"/>
    <w:rsid w:val="70756248"/>
    <w:rsid w:val="709B2013"/>
    <w:rsid w:val="70AF4C91"/>
    <w:rsid w:val="71146562"/>
    <w:rsid w:val="71267542"/>
    <w:rsid w:val="71706A0F"/>
    <w:rsid w:val="71922E29"/>
    <w:rsid w:val="723D2D95"/>
    <w:rsid w:val="7248226E"/>
    <w:rsid w:val="72783DCD"/>
    <w:rsid w:val="72933146"/>
    <w:rsid w:val="72B666A4"/>
    <w:rsid w:val="72EC6569"/>
    <w:rsid w:val="72F21DD2"/>
    <w:rsid w:val="73C51294"/>
    <w:rsid w:val="74424693"/>
    <w:rsid w:val="74732A9E"/>
    <w:rsid w:val="74BC64E7"/>
    <w:rsid w:val="74C07CAE"/>
    <w:rsid w:val="752E2E69"/>
    <w:rsid w:val="75A803EA"/>
    <w:rsid w:val="75ED062E"/>
    <w:rsid w:val="764861AD"/>
    <w:rsid w:val="76E2215D"/>
    <w:rsid w:val="77077871"/>
    <w:rsid w:val="771B020D"/>
    <w:rsid w:val="77435AB2"/>
    <w:rsid w:val="77E141C3"/>
    <w:rsid w:val="78237046"/>
    <w:rsid w:val="78407BB7"/>
    <w:rsid w:val="78533470"/>
    <w:rsid w:val="78BE62B2"/>
    <w:rsid w:val="79921C19"/>
    <w:rsid w:val="79A47B9E"/>
    <w:rsid w:val="7A023EF6"/>
    <w:rsid w:val="7A220727"/>
    <w:rsid w:val="7AAB2866"/>
    <w:rsid w:val="7AFD1314"/>
    <w:rsid w:val="7B1F572E"/>
    <w:rsid w:val="7B486307"/>
    <w:rsid w:val="7B8A4C7B"/>
    <w:rsid w:val="7B95154C"/>
    <w:rsid w:val="7BAE5340"/>
    <w:rsid w:val="7BC23531"/>
    <w:rsid w:val="7CEF576A"/>
    <w:rsid w:val="7DD722F0"/>
    <w:rsid w:val="7E2D1F10"/>
    <w:rsid w:val="7E3E236F"/>
    <w:rsid w:val="7F2C0419"/>
    <w:rsid w:val="7FD616AB"/>
    <w:rsid w:val="7FFA30B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qFormat="1"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semiHidden="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qFormat="1" w:unhideWhenUsed="0" w:uiPriority="0" w:semiHidden="0" w:name="Table Grid"/>
    <w:lsdException w:uiPriority="0" w:name="Table Theme"/>
    <w:lsdException w:qFormat="1" w:uiPriority="99" w:semiHidden="0" w:name="Placeholder Text"/>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0"/>
    <w:pPr>
      <w:widowControl w:val="0"/>
      <w:spacing w:line="360" w:lineRule="auto"/>
      <w:ind w:firstLine="602" w:firstLineChars="200"/>
      <w:jc w:val="both"/>
    </w:pPr>
    <w:rPr>
      <w:rFonts w:ascii="Times New Roman" w:hAnsi="Times New Roman" w:eastAsia="宋体" w:cs="Times New Roman"/>
      <w:kern w:val="2"/>
      <w:sz w:val="24"/>
      <w:szCs w:val="24"/>
      <w:lang w:val="en-US" w:eastAsia="zh-CN" w:bidi="ar-SA"/>
    </w:rPr>
  </w:style>
  <w:style w:type="paragraph" w:styleId="2">
    <w:name w:val="heading 1"/>
    <w:next w:val="1"/>
    <w:link w:val="24"/>
    <w:autoRedefine/>
    <w:qFormat/>
    <w:uiPriority w:val="0"/>
    <w:pPr>
      <w:keepNext/>
      <w:keepLines/>
      <w:numPr>
        <w:ilvl w:val="0"/>
        <w:numId w:val="1"/>
      </w:numPr>
      <w:spacing w:line="360" w:lineRule="auto"/>
      <w:jc w:val="center"/>
      <w:outlineLvl w:val="0"/>
    </w:pPr>
    <w:rPr>
      <w:rFonts w:ascii="Times New Roman" w:hAnsi="Times New Roman" w:eastAsia="黑体" w:cs="Times New Roman"/>
      <w:color w:val="1C1F23"/>
      <w:kern w:val="44"/>
      <w:sz w:val="30"/>
      <w:szCs w:val="27"/>
      <w:shd w:val="clear" w:color="auto" w:fill="FFFFFF"/>
      <w:lang w:val="en-US" w:eastAsia="zh-CN" w:bidi="ar-SA"/>
    </w:rPr>
  </w:style>
  <w:style w:type="paragraph" w:styleId="3">
    <w:name w:val="heading 2"/>
    <w:next w:val="1"/>
    <w:link w:val="25"/>
    <w:autoRedefine/>
    <w:unhideWhenUsed/>
    <w:qFormat/>
    <w:uiPriority w:val="0"/>
    <w:pPr>
      <w:keepNext w:val="0"/>
      <w:keepLines w:val="0"/>
      <w:pageBreakBefore w:val="0"/>
      <w:widowControl/>
      <w:numPr>
        <w:ilvl w:val="1"/>
        <w:numId w:val="1"/>
      </w:numPr>
      <w:kinsoku/>
      <w:wordWrap/>
      <w:overflowPunct/>
      <w:topLinePunct w:val="0"/>
      <w:autoSpaceDE/>
      <w:autoSpaceDN/>
      <w:bidi w:val="0"/>
      <w:adjustRightInd/>
      <w:snapToGrid/>
      <w:spacing w:before="0" w:beforeAutospacing="0" w:after="0" w:afterAutospacing="0" w:line="360" w:lineRule="auto"/>
      <w:ind w:left="0" w:leftChars="0" w:firstLine="0" w:firstLineChars="0"/>
      <w:textAlignment w:val="auto"/>
      <w:outlineLvl w:val="1"/>
    </w:pPr>
    <w:rPr>
      <w:rFonts w:ascii="Times New Roman" w:hAnsi="Times New Roman" w:eastAsia="黑体" w:cs="Times New Roman"/>
      <w:bCs/>
      <w:sz w:val="28"/>
      <w:szCs w:val="36"/>
      <w:lang w:val="en-US" w:eastAsia="zh-CN" w:bidi="ar-SA"/>
    </w:rPr>
  </w:style>
  <w:style w:type="paragraph" w:styleId="4">
    <w:name w:val="heading 3"/>
    <w:next w:val="1"/>
    <w:link w:val="36"/>
    <w:unhideWhenUsed/>
    <w:qFormat/>
    <w:uiPriority w:val="0"/>
    <w:pPr>
      <w:numPr>
        <w:ilvl w:val="2"/>
        <w:numId w:val="1"/>
      </w:numPr>
      <w:spacing w:line="360" w:lineRule="auto"/>
      <w:outlineLvl w:val="2"/>
    </w:pPr>
    <w:rPr>
      <w:rFonts w:hint="eastAsia" w:ascii="Times New Roman" w:hAnsi="Times New Roman" w:eastAsia="黑体" w:cs="Times New Roman"/>
      <w:sz w:val="28"/>
      <w:szCs w:val="24"/>
      <w:lang w:val="en-US" w:eastAsia="zh-CN" w:bidi="ar-SA"/>
    </w:rPr>
  </w:style>
  <w:style w:type="paragraph" w:styleId="5">
    <w:name w:val="heading 4"/>
    <w:basedOn w:val="1"/>
    <w:next w:val="1"/>
    <w:autoRedefine/>
    <w:unhideWhenUsed/>
    <w:qFormat/>
    <w:uiPriority w:val="0"/>
    <w:pPr>
      <w:numPr>
        <w:ilvl w:val="3"/>
        <w:numId w:val="1"/>
      </w:numPr>
      <w:spacing w:beforeAutospacing="1" w:afterAutospacing="1"/>
      <w:ind w:firstLineChars="0"/>
      <w:jc w:val="left"/>
      <w:outlineLvl w:val="3"/>
    </w:pPr>
    <w:rPr>
      <w:rFonts w:hint="eastAsia" w:ascii="宋体" w:hAnsi="宋体"/>
      <w:b/>
      <w:bCs/>
      <w:kern w:val="0"/>
    </w:rPr>
  </w:style>
  <w:style w:type="paragraph" w:styleId="6">
    <w:name w:val="heading 5"/>
    <w:basedOn w:val="1"/>
    <w:next w:val="1"/>
    <w:autoRedefine/>
    <w:semiHidden/>
    <w:unhideWhenUsed/>
    <w:qFormat/>
    <w:uiPriority w:val="0"/>
    <w:pPr>
      <w:keepNext/>
      <w:keepLines/>
      <w:numPr>
        <w:ilvl w:val="4"/>
        <w:numId w:val="2"/>
      </w:numPr>
      <w:spacing w:before="280" w:after="290" w:line="372" w:lineRule="auto"/>
      <w:ind w:firstLine="0" w:firstLineChars="0"/>
      <w:outlineLvl w:val="4"/>
    </w:pPr>
    <w:rPr>
      <w:b/>
      <w:sz w:val="28"/>
    </w:rPr>
  </w:style>
  <w:style w:type="paragraph" w:styleId="7">
    <w:name w:val="heading 6"/>
    <w:basedOn w:val="1"/>
    <w:next w:val="1"/>
    <w:semiHidden/>
    <w:unhideWhenUsed/>
    <w:qFormat/>
    <w:uiPriority w:val="0"/>
    <w:pPr>
      <w:keepNext/>
      <w:keepLines/>
      <w:numPr>
        <w:ilvl w:val="5"/>
        <w:numId w:val="2"/>
      </w:numPr>
      <w:spacing w:before="240" w:after="64" w:line="317" w:lineRule="auto"/>
      <w:ind w:firstLine="0" w:firstLineChars="0"/>
      <w:outlineLvl w:val="5"/>
    </w:pPr>
    <w:rPr>
      <w:rFonts w:ascii="Arial" w:hAnsi="Arial" w:eastAsia="黑体"/>
      <w:b/>
    </w:rPr>
  </w:style>
  <w:style w:type="paragraph" w:styleId="8">
    <w:name w:val="heading 7"/>
    <w:basedOn w:val="1"/>
    <w:next w:val="1"/>
    <w:autoRedefine/>
    <w:semiHidden/>
    <w:unhideWhenUsed/>
    <w:qFormat/>
    <w:uiPriority w:val="0"/>
    <w:pPr>
      <w:keepNext/>
      <w:keepLines/>
      <w:numPr>
        <w:ilvl w:val="6"/>
        <w:numId w:val="2"/>
      </w:numPr>
      <w:spacing w:before="240" w:after="64" w:line="317" w:lineRule="auto"/>
      <w:ind w:firstLine="0" w:firstLineChars="0"/>
      <w:outlineLvl w:val="6"/>
    </w:pPr>
    <w:rPr>
      <w:b/>
    </w:rPr>
  </w:style>
  <w:style w:type="paragraph" w:styleId="9">
    <w:name w:val="heading 8"/>
    <w:basedOn w:val="1"/>
    <w:next w:val="1"/>
    <w:autoRedefine/>
    <w:semiHidden/>
    <w:unhideWhenUsed/>
    <w:qFormat/>
    <w:uiPriority w:val="0"/>
    <w:pPr>
      <w:keepNext/>
      <w:keepLines/>
      <w:numPr>
        <w:ilvl w:val="7"/>
        <w:numId w:val="2"/>
      </w:numPr>
      <w:spacing w:before="240" w:after="64" w:line="317" w:lineRule="auto"/>
      <w:ind w:firstLine="0" w:firstLineChars="0"/>
      <w:outlineLvl w:val="7"/>
    </w:pPr>
    <w:rPr>
      <w:rFonts w:ascii="Arial" w:hAnsi="Arial" w:eastAsia="黑体"/>
    </w:rPr>
  </w:style>
  <w:style w:type="paragraph" w:styleId="10">
    <w:name w:val="heading 9"/>
    <w:basedOn w:val="1"/>
    <w:next w:val="1"/>
    <w:semiHidden/>
    <w:unhideWhenUsed/>
    <w:qFormat/>
    <w:uiPriority w:val="0"/>
    <w:pPr>
      <w:keepNext/>
      <w:keepLines/>
      <w:numPr>
        <w:ilvl w:val="8"/>
        <w:numId w:val="2"/>
      </w:numPr>
      <w:spacing w:before="240" w:after="64" w:line="317" w:lineRule="auto"/>
      <w:ind w:firstLine="0" w:firstLineChars="0"/>
      <w:outlineLvl w:val="8"/>
    </w:pPr>
    <w:rPr>
      <w:rFonts w:ascii="Arial" w:hAnsi="Arial" w:eastAsia="黑体"/>
    </w:rPr>
  </w:style>
  <w:style w:type="character" w:default="1" w:styleId="19">
    <w:name w:val="Default Paragraph Font"/>
    <w:unhideWhenUsed/>
    <w:qFormat/>
    <w:uiPriority w:val="1"/>
  </w:style>
  <w:style w:type="table" w:default="1" w:styleId="17">
    <w:name w:val="Normal Table"/>
    <w:semiHidden/>
    <w:unhideWhenUsed/>
    <w:qFormat/>
    <w:uiPriority w:val="99"/>
    <w:tblPr>
      <w:tblCellMar>
        <w:top w:w="0" w:type="dxa"/>
        <w:left w:w="108" w:type="dxa"/>
        <w:bottom w:w="0" w:type="dxa"/>
        <w:right w:w="108" w:type="dxa"/>
      </w:tblCellMar>
    </w:tblPr>
  </w:style>
  <w:style w:type="paragraph" w:styleId="11">
    <w:name w:val="caption"/>
    <w:basedOn w:val="1"/>
    <w:next w:val="1"/>
    <w:autoRedefine/>
    <w:semiHidden/>
    <w:unhideWhenUsed/>
    <w:qFormat/>
    <w:uiPriority w:val="0"/>
    <w:rPr>
      <w:rFonts w:cstheme="majorBidi"/>
      <w:szCs w:val="20"/>
    </w:rPr>
  </w:style>
  <w:style w:type="paragraph" w:styleId="12">
    <w:name w:val="toc 3"/>
    <w:basedOn w:val="1"/>
    <w:next w:val="1"/>
    <w:autoRedefine/>
    <w:qFormat/>
    <w:uiPriority w:val="0"/>
    <w:pPr>
      <w:ind w:left="420"/>
      <w:jc w:val="left"/>
    </w:pPr>
    <w:rPr>
      <w:rFonts w:cstheme="minorHAnsi"/>
      <w:iCs/>
      <w:szCs w:val="20"/>
    </w:rPr>
  </w:style>
  <w:style w:type="paragraph" w:styleId="13">
    <w:name w:val="toc 1"/>
    <w:basedOn w:val="1"/>
    <w:next w:val="1"/>
    <w:qFormat/>
    <w:uiPriority w:val="0"/>
    <w:pPr>
      <w:spacing w:before="120" w:after="120"/>
      <w:jc w:val="left"/>
    </w:pPr>
    <w:rPr>
      <w:rFonts w:eastAsia="黑体" w:asciiTheme="minorHAnsi" w:hAnsiTheme="minorHAnsi" w:cstheme="minorHAnsi"/>
      <w:bCs/>
      <w:caps/>
      <w:szCs w:val="20"/>
    </w:rPr>
  </w:style>
  <w:style w:type="paragraph" w:styleId="14">
    <w:name w:val="footnote text"/>
    <w:basedOn w:val="1"/>
    <w:link w:val="33"/>
    <w:qFormat/>
    <w:uiPriority w:val="0"/>
    <w:pPr>
      <w:snapToGrid w:val="0"/>
      <w:jc w:val="left"/>
    </w:pPr>
    <w:rPr>
      <w:sz w:val="18"/>
      <w:szCs w:val="18"/>
    </w:rPr>
  </w:style>
  <w:style w:type="paragraph" w:styleId="15">
    <w:name w:val="toc 2"/>
    <w:basedOn w:val="1"/>
    <w:next w:val="1"/>
    <w:autoRedefine/>
    <w:qFormat/>
    <w:uiPriority w:val="0"/>
    <w:pPr>
      <w:ind w:firstLine="0" w:firstLineChars="0"/>
      <w:jc w:val="left"/>
    </w:pPr>
    <w:rPr>
      <w:smallCaps/>
      <w:szCs w:val="20"/>
    </w:rPr>
  </w:style>
  <w:style w:type="paragraph" w:styleId="16">
    <w:name w:val="Normal (Web)"/>
    <w:basedOn w:val="1"/>
    <w:qFormat/>
    <w:uiPriority w:val="0"/>
    <w:pPr>
      <w:spacing w:beforeAutospacing="1" w:afterAutospacing="1"/>
      <w:jc w:val="left"/>
    </w:pPr>
    <w:rPr>
      <w:kern w:val="0"/>
    </w:rPr>
  </w:style>
  <w:style w:type="table" w:styleId="18">
    <w:name w:val="Table Grid"/>
    <w:basedOn w:val="17"/>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0">
    <w:name w:val="Strong"/>
    <w:basedOn w:val="19"/>
    <w:qFormat/>
    <w:uiPriority w:val="0"/>
    <w:rPr>
      <w:b/>
    </w:rPr>
  </w:style>
  <w:style w:type="character" w:styleId="21">
    <w:name w:val="Hyperlink"/>
    <w:basedOn w:val="19"/>
    <w:qFormat/>
    <w:uiPriority w:val="0"/>
    <w:rPr>
      <w:color w:val="0000FF"/>
      <w:u w:val="single"/>
    </w:rPr>
  </w:style>
  <w:style w:type="character" w:styleId="22">
    <w:name w:val="HTML Code"/>
    <w:basedOn w:val="19"/>
    <w:qFormat/>
    <w:uiPriority w:val="0"/>
    <w:rPr>
      <w:rFonts w:ascii="Courier New" w:hAnsi="Courier New"/>
      <w:sz w:val="20"/>
    </w:rPr>
  </w:style>
  <w:style w:type="character" w:styleId="23">
    <w:name w:val="footnote reference"/>
    <w:basedOn w:val="19"/>
    <w:qFormat/>
    <w:uiPriority w:val="0"/>
    <w:rPr>
      <w:vertAlign w:val="superscript"/>
    </w:rPr>
  </w:style>
  <w:style w:type="character" w:customStyle="1" w:styleId="24">
    <w:name w:val="标题 1 字符"/>
    <w:link w:val="2"/>
    <w:qFormat/>
    <w:uiPriority w:val="0"/>
    <w:rPr>
      <w:rFonts w:eastAsia="黑体"/>
      <w:color w:val="1C1F23"/>
      <w:kern w:val="44"/>
      <w:sz w:val="30"/>
      <w:szCs w:val="27"/>
    </w:rPr>
  </w:style>
  <w:style w:type="character" w:customStyle="1" w:styleId="25">
    <w:name w:val="标题 2 字符"/>
    <w:link w:val="3"/>
    <w:autoRedefine/>
    <w:qFormat/>
    <w:uiPriority w:val="0"/>
    <w:rPr>
      <w:rFonts w:ascii="Times New Roman" w:hAnsi="Times New Roman" w:eastAsia="黑体" w:cs="Times New Roman"/>
      <w:bCs/>
      <w:sz w:val="28"/>
      <w:szCs w:val="36"/>
      <w:lang w:val="en-US" w:eastAsia="zh-CN" w:bidi="ar-SA"/>
    </w:rPr>
  </w:style>
  <w:style w:type="paragraph" w:customStyle="1" w:styleId="26">
    <w:name w:val="表格内容"/>
    <w:basedOn w:val="1"/>
    <w:autoRedefine/>
    <w:qFormat/>
    <w:uiPriority w:val="0"/>
    <w:pPr>
      <w:spacing w:line="300" w:lineRule="auto"/>
      <w:jc w:val="center"/>
    </w:pPr>
    <w:rPr>
      <w:rFonts w:asciiTheme="minorHAnsi" w:hAnsiTheme="minorHAnsi" w:eastAsiaTheme="minorEastAsia" w:cstheme="minorEastAsia"/>
      <w:szCs w:val="21"/>
    </w:rPr>
  </w:style>
  <w:style w:type="paragraph" w:customStyle="1" w:styleId="27">
    <w:name w:val="中期二级标题"/>
    <w:basedOn w:val="1"/>
    <w:link w:val="28"/>
    <w:qFormat/>
    <w:uiPriority w:val="0"/>
    <w:pPr>
      <w:numPr>
        <w:ilvl w:val="1"/>
        <w:numId w:val="3"/>
      </w:numPr>
    </w:pPr>
    <w:rPr>
      <w:rFonts w:ascii="黑体" w:hAnsi="黑体" w:eastAsia="黑体"/>
      <w:sz w:val="32"/>
      <w:szCs w:val="32"/>
    </w:rPr>
  </w:style>
  <w:style w:type="character" w:customStyle="1" w:styleId="28">
    <w:name w:val="中期二级标题 字符"/>
    <w:link w:val="27"/>
    <w:qFormat/>
    <w:uiPriority w:val="0"/>
    <w:rPr>
      <w:rFonts w:ascii="黑体" w:hAnsi="黑体" w:eastAsia="黑体"/>
      <w:kern w:val="2"/>
      <w:sz w:val="32"/>
      <w:szCs w:val="32"/>
      <w:lang w:val="en-US" w:eastAsia="zh-CN" w:bidi="ar-SA"/>
    </w:rPr>
  </w:style>
  <w:style w:type="paragraph" w:customStyle="1" w:styleId="29">
    <w:name w:val="中期一级标题"/>
    <w:basedOn w:val="1"/>
    <w:qFormat/>
    <w:uiPriority w:val="0"/>
    <w:pPr>
      <w:numPr>
        <w:ilvl w:val="0"/>
        <w:numId w:val="3"/>
      </w:numPr>
      <w:ind w:firstLineChars="0"/>
    </w:pPr>
  </w:style>
  <w:style w:type="paragraph" w:customStyle="1" w:styleId="30">
    <w:name w:val="中期三级标题"/>
    <w:basedOn w:val="1"/>
    <w:qFormat/>
    <w:uiPriority w:val="0"/>
    <w:pPr>
      <w:numPr>
        <w:ilvl w:val="2"/>
        <w:numId w:val="3"/>
      </w:numPr>
      <w:ind w:firstLineChars="0"/>
    </w:pPr>
  </w:style>
  <w:style w:type="paragraph" w:customStyle="1" w:styleId="31">
    <w:name w:val="中期四级标题"/>
    <w:basedOn w:val="1"/>
    <w:qFormat/>
    <w:uiPriority w:val="0"/>
    <w:pPr>
      <w:numPr>
        <w:ilvl w:val="3"/>
        <w:numId w:val="3"/>
      </w:numPr>
      <w:ind w:firstLineChars="0"/>
    </w:pPr>
  </w:style>
  <w:style w:type="paragraph" w:customStyle="1" w:styleId="32">
    <w:name w:val="书目1"/>
    <w:basedOn w:val="1"/>
    <w:next w:val="1"/>
    <w:unhideWhenUsed/>
    <w:qFormat/>
    <w:uiPriority w:val="37"/>
    <w:pPr>
      <w:tabs>
        <w:tab w:val="left" w:pos="384"/>
      </w:tabs>
      <w:spacing w:line="240" w:lineRule="auto"/>
      <w:ind w:left="384" w:hanging="384"/>
    </w:pPr>
  </w:style>
  <w:style w:type="character" w:customStyle="1" w:styleId="33">
    <w:name w:val="脚注文本 字符"/>
    <w:basedOn w:val="19"/>
    <w:link w:val="14"/>
    <w:qFormat/>
    <w:uiPriority w:val="0"/>
    <w:rPr>
      <w:kern w:val="2"/>
      <w:sz w:val="18"/>
      <w:szCs w:val="18"/>
    </w:rPr>
  </w:style>
  <w:style w:type="paragraph" w:styleId="34">
    <w:name w:val="List Paragraph"/>
    <w:basedOn w:val="1"/>
    <w:unhideWhenUsed/>
    <w:qFormat/>
    <w:uiPriority w:val="99"/>
    <w:pPr>
      <w:ind w:firstLine="420"/>
    </w:pPr>
  </w:style>
  <w:style w:type="character" w:styleId="35">
    <w:name w:val="Placeholder Text"/>
    <w:basedOn w:val="19"/>
    <w:unhideWhenUsed/>
    <w:qFormat/>
    <w:uiPriority w:val="99"/>
    <w:rPr>
      <w:color w:val="666666"/>
    </w:rPr>
  </w:style>
  <w:style w:type="character" w:customStyle="1" w:styleId="36">
    <w:name w:val="标题 3 字符"/>
    <w:basedOn w:val="19"/>
    <w:link w:val="4"/>
    <w:qFormat/>
    <w:uiPriority w:val="0"/>
    <w:rPr>
      <w:rFonts w:eastAsia="黑体"/>
      <w:sz w:val="28"/>
      <w:szCs w:val="24"/>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0" Type="http://schemas.openxmlformats.org/officeDocument/2006/relationships/fontTable" Target="fontTable.xml"/><Relationship Id="rId2" Type="http://schemas.openxmlformats.org/officeDocument/2006/relationships/settings" Target="settings.xml"/><Relationship Id="rId19" Type="http://schemas.openxmlformats.org/officeDocument/2006/relationships/customXml" Target="../customXml/item1.xml"/><Relationship Id="rId18" Type="http://schemas.openxmlformats.org/officeDocument/2006/relationships/numbering" Target="numbering.xml"/><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F8909BE-86AB-4D7B-988C-C88FD2F20443}">
  <ds:schemaRefs/>
</ds:datastoreItem>
</file>

<file path=docProps/app.xml><?xml version="1.0" encoding="utf-8"?>
<Properties xmlns="http://schemas.openxmlformats.org/officeDocument/2006/extended-properties" xmlns:vt="http://schemas.openxmlformats.org/officeDocument/2006/docPropsVTypes">
  <Template>Normal.dotm</Template>
  <Pages>49</Pages>
  <Words>9108</Words>
  <Characters>11579</Characters>
  <Lines>327</Lines>
  <Paragraphs>92</Paragraphs>
  <TotalTime>2</TotalTime>
  <ScaleCrop>false</ScaleCrop>
  <LinksUpToDate>false</LinksUpToDate>
  <CharactersWithSpaces>11916</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2023-05-03T02:03:00Z</dcterms:created>
  <dc:creator>DELL</dc:creator>
  <cp:lastModifiedBy>EliauK</cp:lastModifiedBy>
  <dcterms:modified xsi:type="dcterms:W3CDTF">2026-02-22T17:49:22Z</dcterms:modified>
  <cp:revision>67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ICV">
    <vt:lpwstr>5A42619EACE746528190165281C55736_12</vt:lpwstr>
  </property>
  <property fmtid="{D5CDD505-2E9C-101B-9397-08002B2CF9AE}" pid="4" name="KSOTemplateDocerSaveRecord">
    <vt:lpwstr>eyJoZGlkIjoiZDg1NGE5MjEwMGYxMTgwMjZlNjM1NTZiYmYzOGIyNzkiLCJ1c2VySWQiOiIxMDAyNjk2MDIwIn0=</vt:lpwstr>
  </property>
  <property fmtid="{D5CDD505-2E9C-101B-9397-08002B2CF9AE}" pid="5" name="ZOTERO_PREF_1">
    <vt:lpwstr>&lt;data data-version="3" zotero-version="8.0.3"&gt;&lt;session id="RkkQhSa8"/&gt;&lt;style id="https://zotero-chinese.com/styles/中国地质大学（武汉）（本科，顺序编码）" hasBibliography="1" bibliographyStyleHasBeenSet="1"/&gt;&lt;prefs&gt;&lt;pref name="fieldType" value="Field"/&gt;&lt;/prefs&gt;&lt;/data&gt;</vt:lpwstr>
  </property>
</Properties>
</file>