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思维链支持的大语言模型的分子性质预测方法</w:t>
      </w:r>
    </w:p>
    <w:p w14:paraId="66F7189C">
      <w:pPr>
        <w:pStyle w:val="3"/>
        <w:bidi w:val="0"/>
        <w:rPr>
          <w:rFonts w:hint="default"/>
          <w:lang w:val="en-US" w:eastAsia="zh-CN"/>
        </w:rPr>
      </w:pPr>
      <w:r>
        <w:rPr>
          <w:rFonts w:hint="eastAsia"/>
          <w:lang w:val="en-US" w:eastAsia="zh-CN"/>
        </w:rPr>
        <w:t>模型设计与描述</w:t>
      </w:r>
    </w:p>
    <w:p w14:paraId="29A69ACB">
      <w:pPr>
        <w:pStyle w:val="3"/>
        <w:bidi w:val="0"/>
        <w:rPr>
          <w:rFonts w:hint="default"/>
          <w:lang w:val="en-US" w:eastAsia="zh-CN"/>
        </w:rPr>
      </w:pPr>
      <w:r>
        <w:rPr>
          <w:rFonts w:hint="eastAsia"/>
          <w:lang w:val="en-US" w:eastAsia="zh-CN"/>
        </w:rPr>
        <w:t>实验设计</w:t>
      </w:r>
    </w:p>
    <w:p w14:paraId="2FD2C56A">
      <w:pPr>
        <w:pStyle w:val="3"/>
        <w:bidi w:val="0"/>
        <w:rPr>
          <w:rFonts w:hint="default"/>
          <w:lang w:val="en-US" w:eastAsia="zh-CN"/>
        </w:rPr>
      </w:pPr>
      <w:r>
        <w:rPr>
          <w:rFonts w:hint="eastAsia"/>
          <w:lang w:val="en-US" w:eastAsia="zh-CN"/>
        </w:rPr>
        <w:t>实验即结果分析</w:t>
      </w: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Para>
        <m:oMath>
          <m:r>
            <m:rPr/>
            <w:rPr>
              <w:rFonts w:hint="default" w:ascii="Cambria Math"/>
            </w:rPr>
            <m:t>m</m:t>
          </m:r>
        </m:oMath>
      </m:oMathPara>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889"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18"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18"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18"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bookmarkStart w:id="0" w:name="_GoBack" w:colFirst="0" w:colLast="6"/>
            <w:r>
              <w:rPr>
                <w:rFonts w:hint="eastAsia"/>
                <w:color w:val="FF0000"/>
                <w:vertAlign w:val="baseline"/>
                <w:lang w:val="en-US" w:eastAsia="zh-CN"/>
              </w:rPr>
              <w:t>AttentiveFP</w:t>
            </w:r>
          </w:p>
        </w:tc>
        <w:tc>
          <w:tcPr>
            <w:tcW w:w="1018"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FF0000"/>
                <w:kern w:val="2"/>
                <w:sz w:val="21"/>
                <w:szCs w:val="24"/>
                <w:vertAlign w:val="baseline"/>
                <w:lang w:val="en-US" w:eastAsia="zh-CN" w:bidi="ar-SA"/>
              </w:rPr>
            </w:pPr>
            <w:r>
              <w:rPr>
                <w:rFonts w:hint="eastAsia"/>
                <w:color w:val="FF0000"/>
                <w:vertAlign w:val="baseline"/>
                <w:lang w:val="en-US" w:eastAsia="zh-CN"/>
              </w:rPr>
              <w:t>0.863</w:t>
            </w:r>
            <w:r>
              <w:rPr>
                <w:rFonts w:hint="eastAsia"/>
                <w:color w:val="FF0000"/>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0.908</w:t>
            </w:r>
            <w:r>
              <w:rPr>
                <w:rFonts w:hint="eastAsia"/>
                <w:color w:val="FF0000"/>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0.933</w:t>
            </w:r>
            <w:r>
              <w:rPr>
                <w:rFonts w:hint="eastAsia"/>
                <w:color w:val="FF0000"/>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0.807</w:t>
            </w:r>
            <w:r>
              <w:rPr>
                <w:rFonts w:hint="eastAsia"/>
                <w:color w:val="FF0000"/>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0.637</w:t>
            </w:r>
            <w:r>
              <w:rPr>
                <w:rFonts w:hint="eastAsia"/>
                <w:color w:val="FF0000"/>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0.605</w:t>
            </w:r>
            <w:r>
              <w:rPr>
                <w:rFonts w:hint="eastAsia"/>
                <w:color w:val="FF0000"/>
                <w:vertAlign w:val="subscript"/>
                <w:lang w:val="en-US" w:eastAsia="zh-CN"/>
              </w:rPr>
              <w:t>(0.061)</w:t>
            </w:r>
          </w:p>
        </w:tc>
      </w:tr>
      <w:bookmarkEnd w:id="0"/>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18"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r>
              <w:rPr>
                <w:rFonts w:hint="eastAsia"/>
                <w:vertAlign w:val="subscript"/>
                <w:lang w:val="en-US" w:eastAsia="zh-CN"/>
              </w:rPr>
              <w:t>(0.12)</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r>
              <w:rPr>
                <w:rFonts w:hint="eastAsia"/>
                <w:vertAlign w:val="subscript"/>
                <w:lang w:val="en-US" w:eastAsia="zh-CN"/>
              </w:rPr>
              <w:t>(0.12)</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r>
              <w:rPr>
                <w:rFonts w:hint="eastAsia"/>
                <w:vertAlign w:val="subscript"/>
                <w:lang w:val="en-US" w:eastAsia="zh-CN"/>
              </w:rPr>
              <w:t>(0.12)</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r>
              <w:rPr>
                <w:rFonts w:hint="eastAsia"/>
                <w:vertAlign w:val="subscript"/>
                <w:lang w:val="en-US" w:eastAsia="zh-CN"/>
              </w:rPr>
              <w:t>(0.12)</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r>
              <w:rPr>
                <w:rFonts w:hint="eastAsia"/>
                <w:vertAlign w:val="subscript"/>
                <w:lang w:val="en-US" w:eastAsia="zh-CN"/>
              </w:rPr>
              <w:t>(0.12)</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r>
              <w:rPr>
                <w:rFonts w:hint="eastAsia"/>
                <w:vertAlign w:val="subscript"/>
                <w:lang w:val="en-US" w:eastAsia="zh-CN"/>
              </w:rPr>
              <w:t>(0.12)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18"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r>
              <w:rPr>
                <w:rFonts w:hint="eastAsia"/>
                <w:vertAlign w:val="subscript"/>
                <w:lang w:val="en-US" w:eastAsia="zh-CN"/>
              </w:rPr>
              <w:t>(0.12)</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r>
              <w:rPr>
                <w:rFonts w:hint="eastAsia"/>
                <w:vertAlign w:val="subscript"/>
                <w:lang w:val="en-US" w:eastAsia="zh-CN"/>
              </w:rPr>
              <w:t>(0.12)</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r>
              <w:rPr>
                <w:rFonts w:hint="eastAsia"/>
                <w:vertAlign w:val="subscript"/>
                <w:lang w:val="en-US" w:eastAsia="zh-CN"/>
              </w:rPr>
              <w:t>(0.12)</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r>
              <w:rPr>
                <w:rFonts w:hint="eastAsia"/>
                <w:vertAlign w:val="subscript"/>
                <w:lang w:val="en-US" w:eastAsia="zh-CN"/>
              </w:rPr>
              <w:t>(0.12)</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r>
              <w:rPr>
                <w:rFonts w:hint="eastAsia"/>
                <w:vertAlign w:val="subscript"/>
                <w:lang w:val="en-US" w:eastAsia="zh-CN"/>
              </w:rPr>
              <w:t>(0.12)</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r>
              <w:rPr>
                <w:rFonts w:hint="eastAsia"/>
                <w:vertAlign w:val="subscript"/>
                <w:lang w:val="en-US" w:eastAsia="zh-CN"/>
              </w:rPr>
              <w:t>(0.12)</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18"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r>
              <w:rPr>
                <w:rFonts w:hint="eastAsia"/>
                <w:vertAlign w:val="subscript"/>
                <w:lang w:val="en-US" w:eastAsia="zh-CN"/>
              </w:rPr>
              <w:t>(0.12)</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r>
              <w:rPr>
                <w:rFonts w:hint="eastAsia"/>
                <w:vertAlign w:val="subscript"/>
                <w:lang w:val="en-US" w:eastAsia="zh-CN"/>
              </w:rPr>
              <w:t>(0.12)</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r>
              <w:rPr>
                <w:rFonts w:hint="eastAsia"/>
                <w:vertAlign w:val="subscript"/>
                <w:lang w:val="en-US" w:eastAsia="zh-CN"/>
              </w:rPr>
              <w:t>(0.12)</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r>
              <w:rPr>
                <w:rFonts w:hint="eastAsia"/>
                <w:vertAlign w:val="subscript"/>
                <w:lang w:val="en-US" w:eastAsia="zh-CN"/>
              </w:rPr>
              <w:t>(0.12)</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r>
              <w:rPr>
                <w:rFonts w:hint="eastAsia"/>
                <w:vertAlign w:val="subscript"/>
                <w:lang w:val="en-US" w:eastAsia="zh-CN"/>
              </w:rPr>
              <w:t>(0.12)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18"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r>
              <w:rPr>
                <w:rFonts w:hint="eastAsia"/>
                <w:vertAlign w:val="subscript"/>
                <w:lang w:val="en-US" w:eastAsia="zh-CN"/>
              </w:rPr>
              <w:t>(0.12)</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r>
              <w:rPr>
                <w:rFonts w:hint="eastAsia"/>
                <w:vertAlign w:val="subscript"/>
                <w:lang w:val="en-US" w:eastAsia="zh-CN"/>
              </w:rPr>
              <w:t>(0.12)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r>
              <w:rPr>
                <w:rFonts w:hint="eastAsia"/>
                <w:vertAlign w:val="subscript"/>
                <w:lang w:val="en-US" w:eastAsia="zh-CN"/>
              </w:rPr>
              <w:t>(0.12)</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r>
              <w:rPr>
                <w:rFonts w:hint="eastAsia"/>
                <w:vertAlign w:val="subscript"/>
                <w:lang w:val="en-US" w:eastAsia="zh-CN"/>
              </w:rPr>
              <w:t>(0.12)</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r>
              <w:rPr>
                <w:rFonts w:hint="eastAsia"/>
                <w:vertAlign w:val="subscript"/>
                <w:lang w:val="en-US" w:eastAsia="zh-CN"/>
              </w:rPr>
              <w:t>(0.12)</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r>
              <w:rPr>
                <w:rFonts w:hint="eastAsia"/>
                <w:vertAlign w:val="subscript"/>
                <w:lang w:val="en-US" w:eastAsia="zh-CN"/>
              </w:rPr>
              <w:t>(0.12)</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18"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r>
              <w:rPr>
                <w:rFonts w:hint="eastAsia"/>
                <w:vertAlign w:val="subscript"/>
                <w:lang w:val="en-US" w:eastAsia="zh-CN"/>
              </w:rPr>
              <w:t>(0.12)</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r>
              <w:rPr>
                <w:rFonts w:hint="eastAsia"/>
                <w:vertAlign w:val="subscript"/>
                <w:lang w:val="en-US" w:eastAsia="zh-CN"/>
              </w:rPr>
              <w:t>(0.12)</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r>
              <w:rPr>
                <w:rFonts w:hint="eastAsia"/>
                <w:vertAlign w:val="subscript"/>
                <w:lang w:val="en-US" w:eastAsia="zh-CN"/>
              </w:rPr>
              <w:t>(0.12)</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r>
              <w:rPr>
                <w:rFonts w:hint="eastAsia"/>
                <w:vertAlign w:val="subscript"/>
                <w:lang w:val="en-US" w:eastAsia="zh-CN"/>
              </w:rPr>
              <w:t>(0.12)</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r>
              <w:rPr>
                <w:rFonts w:hint="eastAsia"/>
                <w:vertAlign w:val="subscript"/>
                <w:lang w:val="en-US" w:eastAsia="zh-CN"/>
              </w:rPr>
              <w:t>(0.12)</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18"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vertAlign w:val="subscript"/>
                <w:lang w:val="en-US" w:eastAsia="zh-CN"/>
              </w:rPr>
              <w:t>(0.12)</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vertAlign w:val="subscript"/>
                <w:lang w:val="en-US" w:eastAsia="zh-CN"/>
              </w:rPr>
              <w:t>(0.12)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vertAlign w:val="subscript"/>
                <w:lang w:val="en-US" w:eastAsia="zh-CN"/>
              </w:rPr>
              <w:t>(0.12)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vertAlign w:val="subscript"/>
                <w:lang w:val="en-US" w:eastAsia="zh-CN"/>
              </w:rPr>
              <w:t>(0.12)</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vertAlign w:val="subscript"/>
                <w:lang w:val="en-US" w:eastAsia="zh-CN"/>
              </w:rPr>
              <w:t>(0.12)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vertAlign w:val="subscript"/>
                <w:lang w:val="en-US" w:eastAsia="zh-CN"/>
              </w:rPr>
              <w:t>(0.12)</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18"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vertAlign w:val="subscript"/>
                <w:lang w:val="en-US" w:eastAsia="zh-CN"/>
              </w:rPr>
              <w:t>(0.12)</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vertAlign w:val="subscript"/>
                <w:lang w:val="en-US" w:eastAsia="zh-CN"/>
              </w:rPr>
              <w:t>(0.12)</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vertAlign w:val="subscript"/>
                <w:lang w:val="en-US" w:eastAsia="zh-CN"/>
              </w:rPr>
              <w:t>(0.12)</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vertAlign w:val="subscript"/>
                <w:lang w:val="en-US" w:eastAsia="zh-CN"/>
              </w:rPr>
              <w:t>(0.12)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vertAlign w:val="subscript"/>
                <w:lang w:val="en-US" w:eastAsia="zh-CN"/>
              </w:rPr>
              <w:t>(0.12)</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vertAlign w:val="subscript"/>
                <w:lang w:val="en-US" w:eastAsia="zh-CN"/>
              </w:rPr>
              <w:t>(0.12)</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FF0000"/>
                <w:vertAlign w:val="baseline"/>
                <w:lang w:val="en-US" w:eastAsia="zh-CN"/>
              </w:rPr>
            </w:pPr>
            <w:r>
              <w:rPr>
                <w:rFonts w:hint="eastAsia"/>
                <w:color w:val="FF0000"/>
                <w:vertAlign w:val="baseline"/>
                <w:lang w:val="en-US" w:eastAsia="zh-CN"/>
              </w:rPr>
              <w:t>SchNet</w:t>
            </w:r>
          </w:p>
        </w:tc>
        <w:tc>
          <w:tcPr>
            <w:tcW w:w="1018"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FF0000"/>
                <w:kern w:val="2"/>
                <w:sz w:val="21"/>
                <w:szCs w:val="24"/>
                <w:vertAlign w:val="baseline"/>
                <w:lang w:val="en-US" w:eastAsia="zh-CN" w:bidi="ar-SA"/>
              </w:rPr>
            </w:pPr>
            <w:r>
              <w:rPr>
                <w:rFonts w:hint="eastAsia"/>
                <w:color w:val="FF0000"/>
                <w:vertAlign w:val="baseline"/>
                <w:lang w:val="en-US" w:eastAsia="zh-CN"/>
              </w:rPr>
              <w:t>0.751</w:t>
            </w:r>
            <w:r>
              <w:rPr>
                <w:rFonts w:hint="eastAsia"/>
                <w:color w:val="FF0000"/>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0.847</w:t>
            </w:r>
            <w:r>
              <w:rPr>
                <w:rFonts w:hint="eastAsia"/>
                <w:color w:val="FF0000"/>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0.717</w:t>
            </w:r>
            <w:r>
              <w:rPr>
                <w:rFonts w:hint="eastAsia"/>
                <w:color w:val="FF0000"/>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0.767</w:t>
            </w:r>
            <w:r>
              <w:rPr>
                <w:rFonts w:hint="eastAsia"/>
                <w:color w:val="FF0000"/>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0.679</w:t>
            </w:r>
            <w:r>
              <w:rPr>
                <w:rFonts w:hint="eastAsia"/>
                <w:color w:val="FF0000"/>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FF0000"/>
                <w:vertAlign w:val="baseline"/>
                <w:lang w:val="en-US" w:eastAsia="zh-CN"/>
              </w:rPr>
            </w:pPr>
            <w:r>
              <w:rPr>
                <w:rFonts w:hint="eastAsia"/>
                <w:color w:val="FF0000"/>
                <w:vertAlign w:val="baseline"/>
                <w:lang w:val="en-US" w:eastAsia="zh-CN"/>
              </w:rPr>
              <w:t>0.545</w:t>
            </w:r>
            <w:r>
              <w:rPr>
                <w:rFonts w:hint="eastAsia"/>
                <w:color w:val="FF0000"/>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18"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r>
              <w:rPr>
                <w:rFonts w:hint="eastAsia"/>
                <w:vertAlign w:val="subscript"/>
                <w:lang w:val="en-US" w:eastAsia="zh-CN"/>
              </w:rPr>
              <w:t>(0.12)</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r>
              <w:rPr>
                <w:rFonts w:hint="eastAsia"/>
                <w:vertAlign w:val="subscript"/>
                <w:lang w:val="en-US" w:eastAsia="zh-CN"/>
              </w:rPr>
              <w:t>(0.12)</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r>
              <w:rPr>
                <w:rFonts w:hint="eastAsia"/>
                <w:vertAlign w:val="subscript"/>
                <w:lang w:val="en-US" w:eastAsia="zh-CN"/>
              </w:rPr>
              <w:t>(0.12)</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r>
              <w:rPr>
                <w:rFonts w:hint="eastAsia"/>
                <w:vertAlign w:val="subscript"/>
                <w:lang w:val="en-US" w:eastAsia="zh-CN"/>
              </w:rPr>
              <w:t>(0.12)</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r>
              <w:rPr>
                <w:rFonts w:hint="eastAsia"/>
                <w:vertAlign w:val="subscript"/>
                <w:lang w:val="en-US" w:eastAsia="zh-CN"/>
              </w:rPr>
              <w:t>(0.12)</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r>
              <w:rPr>
                <w:rFonts w:hint="eastAsia"/>
                <w:vertAlign w:val="subscript"/>
                <w:lang w:val="en-US" w:eastAsia="zh-CN"/>
              </w:rPr>
              <w:t>(0.12)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18"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r>
              <w:rPr>
                <w:rFonts w:hint="eastAsia"/>
                <w:vertAlign w:val="subscript"/>
                <w:lang w:val="en-US" w:eastAsia="zh-CN"/>
              </w:rPr>
              <w:t>(0.12)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r>
              <w:rPr>
                <w:rFonts w:hint="eastAsia"/>
                <w:vertAlign w:val="subscript"/>
                <w:lang w:val="en-US" w:eastAsia="zh-CN"/>
              </w:rPr>
              <w:t>(0.12)</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r>
              <w:rPr>
                <w:rFonts w:hint="eastAsia"/>
                <w:vertAlign w:val="subscript"/>
                <w:lang w:val="en-US" w:eastAsia="zh-CN"/>
              </w:rPr>
              <w:t>(0.12)</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r>
              <w:rPr>
                <w:rFonts w:hint="eastAsia"/>
                <w:vertAlign w:val="subscript"/>
                <w:lang w:val="en-US" w:eastAsia="zh-CN"/>
              </w:rPr>
              <w:t>(0.12)</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r>
              <w:rPr>
                <w:rFonts w:hint="eastAsia"/>
                <w:vertAlign w:val="subscript"/>
                <w:lang w:val="en-US" w:eastAsia="zh-CN"/>
              </w:rPr>
              <w:t>(0.12)</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18"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r>
              <w:rPr>
                <w:rFonts w:hint="eastAsia"/>
                <w:vertAlign w:val="subscript"/>
                <w:lang w:val="en-US" w:eastAsia="zh-CN"/>
              </w:rPr>
              <w:t>(0.12)</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r>
              <w:rPr>
                <w:rFonts w:hint="eastAsia"/>
                <w:vertAlign w:val="subscript"/>
                <w:lang w:val="en-US" w:eastAsia="zh-CN"/>
              </w:rPr>
              <w:t>(0.12)</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r>
              <w:rPr>
                <w:rFonts w:hint="eastAsia"/>
                <w:vertAlign w:val="subscript"/>
                <w:lang w:val="en-US" w:eastAsia="zh-CN"/>
              </w:rPr>
              <w:t>(0.12)</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r>
              <w:rPr>
                <w:rFonts w:hint="eastAsia"/>
                <w:vertAlign w:val="subscript"/>
                <w:lang w:val="en-US" w:eastAsia="zh-CN"/>
              </w:rPr>
              <w:t>(0.12)</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r>
              <w:rPr>
                <w:rFonts w:hint="eastAsia"/>
                <w:vertAlign w:val="subscript"/>
                <w:lang w:val="en-US" w:eastAsia="zh-CN"/>
              </w:rPr>
              <w:t>(0.12)</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r>
              <w:rPr>
                <w:rFonts w:hint="eastAsia"/>
                <w:vertAlign w:val="subscript"/>
                <w:lang w:val="en-US" w:eastAsia="zh-CN"/>
              </w:rPr>
              <w:t>(0.12)</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18"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r>
              <w:rPr>
                <w:rFonts w:hint="eastAsia"/>
                <w:vertAlign w:val="subscript"/>
                <w:lang w:val="en-US" w:eastAsia="zh-CN"/>
              </w:rPr>
              <w:t>(0.12)</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r>
              <w:rPr>
                <w:rFonts w:hint="eastAsia"/>
                <w:vertAlign w:val="subscript"/>
                <w:lang w:val="en-US" w:eastAsia="zh-CN"/>
              </w:rPr>
              <w:t>(0.12)</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r>
              <w:rPr>
                <w:rFonts w:hint="eastAsia"/>
                <w:vertAlign w:val="subscript"/>
                <w:lang w:val="en-US" w:eastAsia="zh-CN"/>
              </w:rPr>
              <w:t>(0.12)</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r>
              <w:rPr>
                <w:rFonts w:hint="eastAsia"/>
                <w:vertAlign w:val="subscript"/>
                <w:lang w:val="en-US" w:eastAsia="zh-CN"/>
              </w:rPr>
              <w:t>(0.12)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r>
              <w:rPr>
                <w:rFonts w:hint="eastAsia"/>
                <w:vertAlign w:val="subscript"/>
                <w:lang w:val="en-US" w:eastAsia="zh-CN"/>
              </w:rPr>
              <w:t>(0.12)</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r>
              <w:rPr>
                <w:rFonts w:hint="eastAsia"/>
                <w:vertAlign w:val="subscript"/>
                <w:lang w:val="en-US" w:eastAsia="zh-CN"/>
              </w:rPr>
              <w:t>(0.12)</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18"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(0.12)</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(0.12)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(0.12)</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(0.12)</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r>
              <w:rPr>
                <w:rFonts w:hint="eastAsia"/>
                <w:vertAlign w:val="subscript"/>
                <w:lang w:val="en-US" w:eastAsia="zh-CN"/>
              </w:rPr>
              <w:t>(0.12)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w:t>
            </w:r>
            <w:r>
              <w:rPr>
                <w:rFonts w:hint="eastAsia" w:cs="Times New Roman"/>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w:t>
            </w:r>
            <w:r>
              <w:rPr>
                <w:rFonts w:hint="eastAsia" w:cs="Times New Roman"/>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w:t>
            </w:r>
            <w:r>
              <w:rPr>
                <w:rFonts w:hint="eastAsia" w:cs="Times New Roman"/>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w:t>
            </w:r>
            <w:r>
              <w:rPr>
                <w:rFonts w:hint="eastAsia" w:cs="Times New Roman"/>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w:t>
            </w:r>
            <w:r>
              <w:rPr>
                <w:rFonts w:hint="eastAsia" w:cs="Times New Roman"/>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w:t>
            </w:r>
            <w:r>
              <w:rPr>
                <w:rFonts w:hint="eastAsia" w:cs="Times New Roman"/>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r>
              <w:rPr>
                <w:rFonts w:hint="eastAsia"/>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w:t>
            </w:r>
            <w:r>
              <w:rPr>
                <w:rFonts w:hint="eastAsia" w:cs="Times New Roman"/>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w:t>
            </w:r>
            <w:r>
              <w:rPr>
                <w:rFonts w:hint="eastAsia" w:cs="Times New Roman"/>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r>
              <w:rPr>
                <w:rFonts w:hint="eastAsia"/>
                <w:vertAlign w:val="subscript"/>
                <w:lang w:val="en-US" w:eastAsia="zh-CN"/>
              </w:rPr>
              <w:t>(0.12)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w:t>
      </w:r>
      <w:r>
        <w:t>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F_GFS</w:t>
      </w:r>
      <w:r>
        <w:t>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Para>
        <m:oMath>
          <m:r>
            <m:rPr/>
            <w:rPr>
              <w:rFonts w:hint="default" w:ascii="Cambria Math"/>
            </w:rPr>
            <m:t>τ</m:t>
          </m:r>
        </m:oMath>
      </m:oMathPara>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Para>
        <m:oMath>
          <m:r>
            <m:rPr/>
            <w:rPr>
              <w:rFonts w:hint="default" w:ascii="Cambria Math"/>
            </w:rPr>
            <m:t>τ</m:t>
          </m:r>
        </m:oMath>
      </m:oMathPara>
      <w:r>
        <w:rPr>
          <w:rFonts w:hint="default"/>
          <w:lang w:val="en-US" w:eastAsia="zh-CN"/>
        </w:rPr>
        <w:t xml:space="preserve">值（取值范围 $\{0.05, 0.1, 0.2, 0.5, 1.0\}$）的变化曲线。从图中可以观察到明显的“倒 U 型”趋势，具体分析如下：过小的 </w:t>
      </w:r>
      <m:oMathPara>
        <m:oMath>
          <m:r>
            <m:rPr/>
            <w:rPr>
              <w:rFonts w:hint="default" w:ascii="Cambria Math"/>
            </w:rPr>
            <m:t>τ</m:t>
          </m:r>
        </m:oMath>
      </m:oMathPara>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Para>
        <m:oMath>
          <m:r>
            <m:rPr/>
            <w:rPr>
              <w:rFonts w:hint="default" w:ascii="Cambria Math"/>
            </w:rPr>
            <m:t>τ</m:t>
          </m:r>
        </m:oMath>
      </m:oMathPara>
      <w:r>
        <w:rPr>
          <w:rFonts w:hint="default"/>
          <w:lang w:val="en-US" w:eastAsia="zh-CN"/>
        </w:rPr>
        <w:t xml:space="preserve"> (0.5 - 1.0)：随着温度系数增大，分布趋于平滑，模型对不同负样本的区分能力减弱。当 </w:t>
      </w:r>
      <m:oMathPara>
        <m:oMath>
          <m:r>
            <m:rPr/>
            <w:rPr>
              <w:rFonts w:hint="default" w:ascii="Cambria Math"/>
            </w:rPr>
            <m:t>τ=1.0</m:t>
          </m:r>
        </m:oMath>
      </m:oMathPara>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Para>
        <m:oMath>
          <m:r>
            <m:rPr/>
            <w:rPr>
              <w:rFonts w:hint="default" w:ascii="Cambria Math"/>
            </w:rPr>
            <m:t>τ</m:t>
          </m:r>
        </m:oMath>
      </m:oMathPara>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Para>
        <m:oMath>
          <m:r>
            <m:rPr/>
            <w:rPr>
              <w:rFonts w:hint="default" w:ascii="Cambria Math"/>
            </w:rPr>
            <m:t>τ</m:t>
          </m:r>
        </m:oMath>
      </m:oMathPara>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3AE3AF3"/>
    <w:rsid w:val="0433224A"/>
    <w:rsid w:val="05A849B2"/>
    <w:rsid w:val="064F49ED"/>
    <w:rsid w:val="06510766"/>
    <w:rsid w:val="06B62CBE"/>
    <w:rsid w:val="06E11AE9"/>
    <w:rsid w:val="071E0F8F"/>
    <w:rsid w:val="07754928"/>
    <w:rsid w:val="08155C5D"/>
    <w:rsid w:val="08805332"/>
    <w:rsid w:val="08CE2541"/>
    <w:rsid w:val="0A0B19C3"/>
    <w:rsid w:val="0ABF0394"/>
    <w:rsid w:val="0B04049C"/>
    <w:rsid w:val="0B6B22C9"/>
    <w:rsid w:val="0BD64449"/>
    <w:rsid w:val="0BFF569C"/>
    <w:rsid w:val="0C965756"/>
    <w:rsid w:val="0CDC2ACA"/>
    <w:rsid w:val="0D9773A6"/>
    <w:rsid w:val="0E6A3D66"/>
    <w:rsid w:val="0ED168E7"/>
    <w:rsid w:val="0F503503"/>
    <w:rsid w:val="0F7C2CF7"/>
    <w:rsid w:val="10596B94"/>
    <w:rsid w:val="10D475A4"/>
    <w:rsid w:val="118A0FD0"/>
    <w:rsid w:val="11CC3396"/>
    <w:rsid w:val="120548F1"/>
    <w:rsid w:val="1212349F"/>
    <w:rsid w:val="13741F37"/>
    <w:rsid w:val="13BE388E"/>
    <w:rsid w:val="144B713C"/>
    <w:rsid w:val="14667AD2"/>
    <w:rsid w:val="14681A9C"/>
    <w:rsid w:val="146944C2"/>
    <w:rsid w:val="14E37374"/>
    <w:rsid w:val="15CF1017"/>
    <w:rsid w:val="1666772B"/>
    <w:rsid w:val="16721235"/>
    <w:rsid w:val="16EE3830"/>
    <w:rsid w:val="17887D5F"/>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641E0C"/>
    <w:rsid w:val="257A162F"/>
    <w:rsid w:val="25853B30"/>
    <w:rsid w:val="26FB67A0"/>
    <w:rsid w:val="27866B9F"/>
    <w:rsid w:val="27E71EA9"/>
    <w:rsid w:val="27F60D15"/>
    <w:rsid w:val="289E73E3"/>
    <w:rsid w:val="292A511A"/>
    <w:rsid w:val="29FA6504"/>
    <w:rsid w:val="2BCC4267"/>
    <w:rsid w:val="2C536B29"/>
    <w:rsid w:val="2C5F332D"/>
    <w:rsid w:val="2C7072E8"/>
    <w:rsid w:val="2C906D58"/>
    <w:rsid w:val="2CCD473A"/>
    <w:rsid w:val="2CEB4BC0"/>
    <w:rsid w:val="2CFE5A0D"/>
    <w:rsid w:val="2D577A9F"/>
    <w:rsid w:val="2D984BB1"/>
    <w:rsid w:val="2DF45CF7"/>
    <w:rsid w:val="2E0F77BA"/>
    <w:rsid w:val="2F917CA1"/>
    <w:rsid w:val="2FBA3380"/>
    <w:rsid w:val="2FBC06DB"/>
    <w:rsid w:val="2FD656B4"/>
    <w:rsid w:val="2FFE2E5D"/>
    <w:rsid w:val="30586A11"/>
    <w:rsid w:val="32220E91"/>
    <w:rsid w:val="333077D1"/>
    <w:rsid w:val="34B61F58"/>
    <w:rsid w:val="34CE2DFE"/>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B7566C9"/>
    <w:rsid w:val="3BA7755B"/>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4044A8E"/>
    <w:rsid w:val="440C3157"/>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D551EB6"/>
    <w:rsid w:val="4D8B14D9"/>
    <w:rsid w:val="4DB33B09"/>
    <w:rsid w:val="4EBB21ED"/>
    <w:rsid w:val="4F1813ED"/>
    <w:rsid w:val="4FA30A16"/>
    <w:rsid w:val="525C3CE7"/>
    <w:rsid w:val="528E3D51"/>
    <w:rsid w:val="53D55AFF"/>
    <w:rsid w:val="546B0211"/>
    <w:rsid w:val="55B44A7B"/>
    <w:rsid w:val="560E70A6"/>
    <w:rsid w:val="572D5C52"/>
    <w:rsid w:val="583B7EFB"/>
    <w:rsid w:val="58B061F7"/>
    <w:rsid w:val="58C16652"/>
    <w:rsid w:val="59576FB6"/>
    <w:rsid w:val="5A3B2CC9"/>
    <w:rsid w:val="5B305D11"/>
    <w:rsid w:val="5B4F0B23"/>
    <w:rsid w:val="5B4F731A"/>
    <w:rsid w:val="5B993B5A"/>
    <w:rsid w:val="5BF907F8"/>
    <w:rsid w:val="5C983B6D"/>
    <w:rsid w:val="5D814602"/>
    <w:rsid w:val="5D9A3915"/>
    <w:rsid w:val="5EA7453C"/>
    <w:rsid w:val="5F573763"/>
    <w:rsid w:val="5FC01AAC"/>
    <w:rsid w:val="6045400C"/>
    <w:rsid w:val="60D1764E"/>
    <w:rsid w:val="61D513C0"/>
    <w:rsid w:val="621C33F7"/>
    <w:rsid w:val="621E4B15"/>
    <w:rsid w:val="634E31D8"/>
    <w:rsid w:val="637C5F97"/>
    <w:rsid w:val="639332E1"/>
    <w:rsid w:val="65711400"/>
    <w:rsid w:val="666902A6"/>
    <w:rsid w:val="68464DC5"/>
    <w:rsid w:val="68E36170"/>
    <w:rsid w:val="692A78CC"/>
    <w:rsid w:val="69502941"/>
    <w:rsid w:val="69D81A4D"/>
    <w:rsid w:val="69F97043"/>
    <w:rsid w:val="6A2373A8"/>
    <w:rsid w:val="6A627569"/>
    <w:rsid w:val="6AAF6C52"/>
    <w:rsid w:val="6CCA3A1C"/>
    <w:rsid w:val="6CE81FA7"/>
    <w:rsid w:val="6E577D47"/>
    <w:rsid w:val="6F170AB2"/>
    <w:rsid w:val="6F745D74"/>
    <w:rsid w:val="6F9562E9"/>
    <w:rsid w:val="6FD1766A"/>
    <w:rsid w:val="6FE27182"/>
    <w:rsid w:val="70756248"/>
    <w:rsid w:val="709B2013"/>
    <w:rsid w:val="70AF4C91"/>
    <w:rsid w:val="71267542"/>
    <w:rsid w:val="71706A0F"/>
    <w:rsid w:val="723D2D95"/>
    <w:rsid w:val="7248226E"/>
    <w:rsid w:val="72783DCD"/>
    <w:rsid w:val="72EC6569"/>
    <w:rsid w:val="752E2E69"/>
    <w:rsid w:val="75A803EA"/>
    <w:rsid w:val="76E2215D"/>
    <w:rsid w:val="771B020D"/>
    <w:rsid w:val="77435AB2"/>
    <w:rsid w:val="78407BB7"/>
    <w:rsid w:val="78533470"/>
    <w:rsid w:val="79921C19"/>
    <w:rsid w:val="79A47B9E"/>
    <w:rsid w:val="7A220727"/>
    <w:rsid w:val="7AFD1314"/>
    <w:rsid w:val="7B1F572E"/>
    <w:rsid w:val="7B95154C"/>
    <w:rsid w:val="7BAE5340"/>
    <w:rsid w:val="7BC23531"/>
    <w:rsid w:val="7CEF576A"/>
    <w:rsid w:val="7DD722F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606</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2026-02-08T02:45:52Z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