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思维链支持的大语言模型的分子性质预测方法</w:t>
      </w:r>
    </w:p>
    <w:p w14:paraId="66F7189C">
      <w:pPr>
        <w:pStyle w:val="3"/>
        <w:bidi w:val="0"/>
        <w:rPr>
          <w:rFonts w:hint="default"/>
          <w:lang w:val="en-US" w:eastAsia="zh-CN"/>
        </w:rPr>
      </w:pPr>
      <w:r>
        <w:rPr>
          <w:rFonts w:hint="eastAsia"/>
          <w:lang w:val="en-US" w:eastAsia="zh-CN"/>
        </w:rPr>
        <w:t>模型设计与描述</w:t>
      </w:r>
    </w:p>
    <w:p w14:paraId="29A69ACB">
      <w:pPr>
        <w:pStyle w:val="3"/>
        <w:bidi w:val="0"/>
        <w:rPr>
          <w:rFonts w:hint="default"/>
          <w:lang w:val="en-US" w:eastAsia="zh-CN"/>
        </w:rPr>
      </w:pPr>
      <w:r>
        <w:rPr>
          <w:rFonts w:hint="eastAsia"/>
          <w:lang w:val="en-US" w:eastAsia="zh-CN"/>
        </w:rPr>
        <w:t>实验设计</w:t>
      </w:r>
    </w:p>
    <w:p w14:paraId="2FD2C56A">
      <w:pPr>
        <w:pStyle w:val="3"/>
        <w:bidi w:val="0"/>
        <w:rPr>
          <w:rFonts w:hint="default"/>
          <w:lang w:val="en-US" w:eastAsia="zh-CN"/>
        </w:rPr>
      </w:pPr>
      <w:r>
        <w:rPr>
          <w:rFonts w:hint="eastAsia"/>
          <w:lang w:val="en-US" w:eastAsia="zh-CN"/>
        </w:rPr>
        <w:t>实验即结果分析</w:t>
      </w:r>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KGAMA框架概述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ind w:left="210" w:leftChars="0" w:firstLineChars="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eastAsia"/>
          <w:lang w:val="en-US" w:eastAsia="zh-CN"/>
        </w:rPr>
        <w:t>，该向量在预训练阶段充当了其他模态对齐的“语义锚点”。</w:t>
      </w:r>
    </w:p>
    <w:p w14:paraId="3E4A7DE5">
      <w:pPr>
        <w:pStyle w:val="4"/>
        <w:bidi w:val="0"/>
        <w:ind w:left="210" w:leftChars="0" w:firstLineChars="0"/>
        <w:rPr>
          <w:rFonts w:hint="default"/>
          <w:lang w:val="en-US" w:eastAsia="zh-CN"/>
        </w:rPr>
      </w:pPr>
      <w:r>
        <w:rPr>
          <w:rFonts w:hint="eastAsia"/>
          <w:lang w:val="en-US" w:eastAsia="zh-CN"/>
        </w:rPr>
        <w:t>指纹编码器</w:t>
      </w:r>
    </w:p>
    <w:p w14:paraId="7522D1C5">
      <w:pPr>
        <w:bidi w:val="0"/>
        <w:rPr>
          <w:rFonts w:hint="eastAsia"/>
          <w:lang w:val="en-US" w:eastAsia="zh-CN"/>
        </w:rPr>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lang w:val="en-US" w:eastAsia="zh-CN"/>
        </w:rPr>
        <w:t>所</w:t>
      </w:r>
      <w: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ind w:left="210" w:leftChars="0" w:firstLineChars="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Para>
        <m:oMath>
          <m:sSub>
            <m:sSubPr>
              <m:ctrlPr>
                <w:rPr>
                  <w:rFonts w:hint="default" w:ascii="Cambria Math"/>
                </w:rPr>
              </m:ctrlPr>
            </m:sSubPr>
            <m:e>
              <m:r>
                <m:rPr/>
                <w:rPr>
                  <w:rFonts w:hint="default" w:ascii="Cambria Math"/>
                </w:rPr>
                <m:t>F</m:t>
              </m:r>
            </m:e>
            <m:sub>
              <m:r>
                <m:rPr/>
                <w:rPr>
                  <w:rFonts w:hint="default" w:ascii="Cambria Math"/>
                </w:rPr>
                <m:t>s</m:t>
              </m:r>
            </m:sub>
          </m:sSub>
        </m:oMath>
      </m:oMathPara>
      <w:r>
        <w:rPr>
          <w:rFonts w:hint="default"/>
          <w:lang w:val="en-US" w:eastAsia="zh-CN"/>
        </w:rPr>
        <w:t xml:space="preserve">，随后经由全连接层映射至与图特征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default"/>
          <w:lang w:val="en-US" w:eastAsia="zh-CN"/>
        </w:rPr>
        <w:t>等维的语义空间，为后续的跨模态对齐奠定维度基础。</w:t>
      </w:r>
    </w:p>
    <w:p w14:paraId="5B6CBE39">
      <w:pPr>
        <w:pStyle w:val="4"/>
        <w:bidi w:val="0"/>
        <w:ind w:left="210" w:leftChars="0" w:firstLineChars="0"/>
        <w:rPr>
          <w:rFonts w:hint="default"/>
          <w:lang w:val="en-US" w:eastAsia="zh-CN"/>
        </w:rPr>
      </w:pPr>
      <w:r>
        <w:rPr>
          <w:rFonts w:hint="eastAsia"/>
          <w:lang w:val="en-US" w:eastAsia="zh-CN"/>
        </w:rPr>
        <w:t>文本编码器模块</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Para>
        <m:oMath>
          <m:sSub>
            <m:sSubPr>
              <m:ctrlPr>
                <w:rPr>
                  <w:rFonts w:hint="default" w:ascii="Cambria Math"/>
                </w:rPr>
              </m:ctrlPr>
            </m:sSubPr>
            <m:e>
              <m:r>
                <m:rPr/>
                <w:rPr>
                  <w:rFonts w:hint="default" w:ascii="Cambria Math"/>
                </w:rPr>
                <m:t>F</m:t>
              </m:r>
            </m:e>
            <m:sub>
              <m:r>
                <m:rPr/>
                <w:rPr>
                  <w:rFonts w:hint="default" w:ascii="Cambria Math"/>
                </w:rPr>
                <m:t>t</m:t>
              </m:r>
            </m:sub>
          </m:sSub>
        </m:oMath>
      </m:oMathPara>
      <w:r>
        <w:rPr>
          <w:rFonts w:hint="eastAsia"/>
          <w:lang w:val="en-US" w:eastAsia="zh-CN"/>
        </w:rPr>
        <w:t>。</w:t>
      </w:r>
    </w:p>
    <w:p w14:paraId="063DB7DA">
      <w:pPr>
        <w:numPr>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Para>
        <m:oMath>
          <m:r>
            <m:rPr>
              <m:sty m:val="p"/>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g</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s</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f</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t</m:t>
              </m:r>
            </m:sub>
          </m:sSub>
          <m:r>
            <m:rPr>
              <m:sty m:val="p"/>
            </m:rPr>
            <w:rPr>
              <w:rFonts w:hint="default" w:ascii="Cambria Math"/>
            </w:rPr>
            <m:t>）</m:t>
          </m:r>
        </m:oMath>
      </m:oMathPara>
      <w:r>
        <w:rPr>
          <w:rFonts w:hint="default"/>
          <w:lang w:val="en-US" w:eastAsia="zh-CN"/>
        </w:rPr>
        <w:t>的重要性权重</w:t>
      </w:r>
      <m:oMathPara>
        <m:oMath>
          <m:sSub>
            <m:sSubPr>
              <m:ctrlPr>
                <w:rPr>
                  <w:rFonts w:hint="default" w:ascii="Cambria Math"/>
                </w:rPr>
              </m:ctrlPr>
            </m:sSubPr>
            <m:e>
              <m:r>
                <m:rPr/>
                <w:rPr>
                  <w:rFonts w:hint="default" w:ascii="Cambria Math"/>
                </w:rPr>
                <m:t>W</m:t>
              </m:r>
            </m:e>
            <m:sub>
              <m:r>
                <m:rPr/>
                <w:rPr>
                  <w:rFonts w:hint="default" w:ascii="Cambria Math"/>
                </w:rPr>
                <m:t>m</m:t>
              </m:r>
            </m:sub>
          </m:sSub>
        </m:oMath>
      </m:oMathPara>
      <w:r>
        <w:rPr>
          <w:rFonts w:hint="default"/>
          <w:lang w:val="en-US" w:eastAsia="zh-CN"/>
        </w:rPr>
        <w:t>。性质预测：融合后的全景分子表征被输入至由多层全连接网络构成的预测头（MLP Head），最终输出分子的理化性质或生物活性预测值</w:t>
      </w:r>
      <m:oMathPara>
        <m:oMath>
          <m:sSub>
            <m:sSubPr>
              <m:ctrlPr>
                <w:rPr>
                  <w:rFonts w:hint="default" w:ascii="Cambria Math"/>
                </w:rPr>
              </m:ctrlPr>
            </m:sSubPr>
            <m:e>
              <m:r>
                <m:rPr/>
                <w:rPr>
                  <w:rFonts w:hint="default" w:ascii="Cambria Math"/>
                </w:rPr>
                <m:t>Y</m:t>
              </m:r>
            </m:e>
            <m:sub>
              <m:r>
                <m:rPr/>
                <w:rPr>
                  <w:rFonts w:hint="default" w:ascii="Cambria Math"/>
                </w:rPr>
                <m:t>pred</m:t>
              </m:r>
            </m:sub>
          </m:sSub>
        </m:oMath>
      </m:oMathPara>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Para>
        <m:oMath>
          <m:r>
            <m:rPr/>
            <w:rPr>
              <w:rFonts w:hint="default" w:ascii="Cambria Math"/>
            </w:rPr>
            <m:t>m</m:t>
          </m:r>
        </m:oMath>
      </m:oMathPara>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5F5E45C6">
      <w:pPr>
        <w:bidi w:val="0"/>
        <w:rPr>
          <w:rFonts w:hint="eastAsia"/>
          <w:lang w:val="en-US" w:eastAsia="zh-CN"/>
        </w:rPr>
      </w:pPr>
      <w:r>
        <w:rPr>
          <w:rFonts w:hint="eastAsia"/>
          <w:lang w:val="en-US" w:eastAsia="zh-CN"/>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0.823</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0.919</w:t>
            </w:r>
            <w:r>
              <w:rPr>
                <w:rFonts w:hint="eastAsia"/>
                <w:color w:val="auto"/>
                <w:vertAlign w:val="subscript"/>
                <w:lang w:val="en-US" w:eastAsia="zh-CN"/>
              </w:rPr>
              <w:t>(0.048)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0.897</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default"/>
                <w:vertAlign w:val="baseline"/>
                <w:lang w:val="en-US" w:eastAsia="zh-CN"/>
              </w:rPr>
              <w:t>KGAMA</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(0.002)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(0.011)</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(0.004)</w:t>
            </w:r>
          </w:p>
        </w:tc>
      </w:tr>
    </w:tbl>
    <w:p w14:paraId="2D60FCBA">
      <w:pPr>
        <w:bidi w:val="0"/>
        <w:rPr>
          <w:rFonts w:hint="default"/>
          <w:lang w:val="en-US" w:eastAsia="zh-CN"/>
        </w:rPr>
      </w:pPr>
      <w:r>
        <w:rPr>
          <w:rFonts w:hint="eastAsia"/>
          <w:lang w:val="en-US" w:eastAsia="zh-CN"/>
        </w:rPr>
        <w:t>分类任务性能评估:</w:t>
      </w:r>
      <w:r>
        <w:rPr>
          <w:rFonts w:hint="default"/>
          <w:lang w:val="en-US" w:eastAsia="zh-CN"/>
        </w:rP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color w:val="auto"/>
                <w:vertAlign w:val="baseline"/>
                <w:lang w:val="en-US" w:eastAsia="zh-CN"/>
              </w:rPr>
            </w:pPr>
            <w:r>
              <w:rPr>
                <w:rFonts w:hint="eastAsia"/>
                <w:color w:val="auto"/>
                <w:vertAlign w:val="baseline"/>
                <w:lang w:val="en-US" w:eastAsia="zh-CN"/>
              </w:rPr>
              <w:t>0.877</w:t>
            </w:r>
            <w:r>
              <w:rPr>
                <w:rFonts w:hint="eastAsia"/>
                <w:color w:val="auto"/>
                <w:vertAlign w:val="subscript"/>
                <w:lang w:val="en-US" w:eastAsia="zh-CN"/>
              </w:rPr>
              <w:t>(0.060)</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2.073</w:t>
            </w:r>
            <w:r>
              <w:rPr>
                <w:rFonts w:hint="eastAsia"/>
                <w:color w:val="auto"/>
                <w:vertAlign w:val="subscript"/>
                <w:lang w:val="en-US" w:eastAsia="zh-CN"/>
              </w:rPr>
              <w:t>(0.220)</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0.721</w:t>
            </w:r>
            <w:r>
              <w:rPr>
                <w:rFonts w:hint="eastAsia"/>
                <w:color w:val="auto"/>
                <w:vertAlign w:val="subscript"/>
                <w:lang w:val="en-US" w:eastAsia="zh-CN"/>
              </w:rPr>
              <w:t>(0.030)</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0.995</w:t>
            </w:r>
            <w:r>
              <w:rPr>
                <w:rFonts w:hint="eastAsia"/>
                <w:color w:val="auto"/>
                <w:vertAlign w:val="subscript"/>
                <w:lang w:val="en-US" w:eastAsia="zh-CN"/>
              </w:rPr>
              <w:t>(0.032)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2.021</w:t>
            </w:r>
            <w:r>
              <w:rPr>
                <w:rFonts w:hint="eastAsia"/>
                <w:color w:val="auto"/>
                <w:vertAlign w:val="subscript"/>
                <w:lang w:val="en-US" w:eastAsia="zh-CN"/>
              </w:rPr>
              <w:t>(0.154)</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0.803</w:t>
            </w:r>
            <w:r>
              <w:rPr>
                <w:rFonts w:hint="eastAsia"/>
                <w:color w:val="auto"/>
                <w:vertAlign w:val="subscript"/>
                <w:lang w:val="en-US" w:eastAsia="zh-CN"/>
              </w:rPr>
              <w:t>(0.021)</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0.921</w:t>
            </w:r>
            <w:r>
              <w:rPr>
                <w:rFonts w:hint="eastAsia" w:cs="Times New Roman"/>
                <w:color w:val="auto"/>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2.026</w:t>
            </w:r>
            <w:r>
              <w:rPr>
                <w:rFonts w:hint="eastAsia" w:cs="Times New Roman"/>
                <w:color w:val="auto"/>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0.646</w:t>
            </w:r>
            <w:r>
              <w:rPr>
                <w:rFonts w:hint="eastAsia" w:cs="Times New Roman"/>
                <w:color w:val="auto"/>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1.029</w:t>
            </w:r>
            <w:r>
              <w:rPr>
                <w:rFonts w:hint="eastAsia"/>
                <w:color w:val="auto"/>
                <w:vertAlign w:val="subscript"/>
                <w:lang w:val="en-US" w:eastAsia="zh-CN"/>
              </w:rPr>
              <w:t>(0.033)</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1.893</w:t>
            </w:r>
            <w:r>
              <w:rPr>
                <w:rFonts w:hint="eastAsia"/>
                <w:color w:val="auto"/>
                <w:vertAlign w:val="subscript"/>
                <w:lang w:val="en-US" w:eastAsia="zh-CN"/>
              </w:rPr>
              <w:t>(0.063)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0.681</w:t>
            </w:r>
            <w:r>
              <w:rPr>
                <w:rFonts w:hint="eastAsia" w:cs="Times New Roman"/>
                <w:color w:val="auto"/>
                <w:kern w:val="2"/>
                <w:sz w:val="21"/>
                <w:szCs w:val="24"/>
                <w:vertAlign w:val="subscript"/>
                <w:lang w:val="en-US" w:eastAsia="zh-CN" w:bidi="ar-SA"/>
              </w:rPr>
              <w:t>(0.002)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1.167</w:t>
            </w:r>
            <w:r>
              <w:rPr>
                <w:rFonts w:hint="eastAsia"/>
                <w:color w:val="auto"/>
                <w:vertAlign w:val="subscript"/>
                <w:lang w:val="en-US" w:eastAsia="zh-CN"/>
              </w:rPr>
              <w:t>(0.430)</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2.185</w:t>
            </w:r>
            <w:r>
              <w:rPr>
                <w:rFonts w:hint="eastAsia"/>
                <w:color w:val="auto"/>
                <w:vertAlign w:val="subscript"/>
                <w:lang w:val="en-US" w:eastAsia="zh-CN"/>
              </w:rPr>
              <w:t>(0.952)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0.672</w:t>
            </w:r>
            <w:r>
              <w:rPr>
                <w:rFonts w:hint="eastAsia" w:cs="Times New Roman"/>
                <w:color w:val="auto"/>
                <w:kern w:val="2"/>
                <w:sz w:val="21"/>
                <w:szCs w:val="24"/>
                <w:vertAlign w:val="subscript"/>
                <w:lang w:val="en-US" w:eastAsia="zh-CN" w:bidi="ar-SA"/>
              </w:rPr>
              <w:t>(0.051)</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0.972</w:t>
            </w:r>
            <w:r>
              <w:rPr>
                <w:rFonts w:hint="eastAsia" w:cs="Times New Roman"/>
                <w:color w:val="auto"/>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2.170</w:t>
            </w:r>
            <w:r>
              <w:rPr>
                <w:rFonts w:hint="eastAsia" w:cs="Times New Roman"/>
                <w:color w:val="auto"/>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0.662</w:t>
            </w:r>
            <w:r>
              <w:rPr>
                <w:rFonts w:hint="eastAsia" w:cs="Times New Roman"/>
                <w:color w:val="auto"/>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1.833</w:t>
            </w:r>
            <w:r>
              <w:rPr>
                <w:rFonts w:hint="eastAsia" w:cs="Times New Roman"/>
                <w:color w:val="auto"/>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0.658</w:t>
            </w:r>
            <w:r>
              <w:rPr>
                <w:rFonts w:hint="eastAsia" w:cs="Times New Roman"/>
                <w:color w:val="auto"/>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0.885</w:t>
            </w:r>
            <w:r>
              <w:rPr>
                <w:rFonts w:hint="eastAsia"/>
                <w:color w:val="auto"/>
                <w:vertAlign w:val="subscript"/>
                <w:lang w:val="en-US" w:eastAsia="zh-CN"/>
              </w:rPr>
              <w:t>(0.051)</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1.619</w:t>
            </w:r>
            <w:r>
              <w:rPr>
                <w:rFonts w:hint="eastAsia"/>
                <w:color w:val="auto"/>
                <w:vertAlign w:val="subscript"/>
                <w:lang w:val="en-US" w:eastAsia="zh-CN"/>
              </w:rPr>
              <w:t>(0.202)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0.659</w:t>
            </w:r>
            <w:r>
              <w:rPr>
                <w:rFonts w:hint="eastAsia"/>
                <w:color w:val="auto"/>
                <w:vertAlign w:val="subscript"/>
                <w:lang w:val="en-US" w:eastAsia="zh-CN"/>
              </w:rPr>
              <w:t>(0.085)</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1.045</w:t>
            </w:r>
            <w:r>
              <w:rPr>
                <w:rFonts w:hint="eastAsia"/>
                <w:color w:val="auto"/>
                <w:vertAlign w:val="subscript"/>
                <w:lang w:val="en-US" w:eastAsia="zh-CN"/>
              </w:rPr>
              <w:t>(0.064)</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3.215</w:t>
            </w:r>
            <w:r>
              <w:rPr>
                <w:rFonts w:hint="eastAsia"/>
                <w:color w:val="auto"/>
                <w:vertAlign w:val="subscript"/>
                <w:lang w:val="en-US" w:eastAsia="zh-CN"/>
              </w:rPr>
              <w:t>(0.355)</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0.909</w:t>
            </w:r>
            <w:r>
              <w:rPr>
                <w:rFonts w:hint="eastAsia"/>
                <w:color w:val="auto"/>
                <w:vertAlign w:val="subscript"/>
                <w:lang w:val="en-US" w:eastAsia="zh-CN"/>
              </w:rPr>
              <w:t>(0.098)</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1.074</w:t>
            </w:r>
            <w:r>
              <w:rPr>
                <w:rFonts w:hint="eastAsia"/>
                <w:color w:val="auto"/>
                <w:vertAlign w:val="subscript"/>
                <w:lang w:val="en-US" w:eastAsia="zh-CN"/>
              </w:rPr>
              <w:t>(0.112)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2.688</w:t>
            </w:r>
            <w:r>
              <w:rPr>
                <w:rFonts w:hint="eastAsia"/>
                <w:color w:val="auto"/>
                <w:vertAlign w:val="subscript"/>
                <w:lang w:val="en-US" w:eastAsia="zh-CN"/>
              </w:rPr>
              <w:t>(0.251)</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(0.031)</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2130" w:type="dxa"/>
            <w:tcBorders>
              <w:top w:val="nil"/>
              <w:left w:val="nil"/>
              <w:bottom w:val="single" w:color="auto" w:sz="8"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1.124</w:t>
            </w:r>
            <w:r>
              <w:rPr>
                <w:rFonts w:hint="eastAsia"/>
                <w:color w:val="auto"/>
                <w:vertAlign w:val="subscript"/>
                <w:lang w:val="en-US" w:eastAsia="zh-CN"/>
              </w:rPr>
              <w:t>(0.251)</w:t>
            </w:r>
          </w:p>
        </w:tc>
        <w:tc>
          <w:tcPr>
            <w:tcW w:w="2131" w:type="dxa"/>
            <w:tcBorders>
              <w:top w:val="nil"/>
              <w:left w:val="nil"/>
              <w:bottom w:val="single" w:color="auto" w:sz="8"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2.124</w:t>
            </w:r>
            <w:r>
              <w:rPr>
                <w:rFonts w:hint="eastAsia"/>
                <w:color w:val="auto"/>
                <w:vertAlign w:val="subscript"/>
                <w:lang w:val="en-US" w:eastAsia="zh-CN"/>
              </w:rPr>
              <w:t>(0.429)</w:t>
            </w:r>
          </w:p>
        </w:tc>
        <w:tc>
          <w:tcPr>
            <w:tcW w:w="2131" w:type="dxa"/>
            <w:tcBorders>
              <w:top w:val="nil"/>
              <w:left w:val="nil"/>
              <w:bottom w:val="single" w:color="auto" w:sz="8"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0.902</w:t>
            </w:r>
            <w:r>
              <w:rPr>
                <w:rFonts w:hint="eastAsia"/>
                <w:color w:val="auto"/>
                <w:vertAlign w:val="subscript"/>
                <w:lang w:val="en-US" w:eastAsia="zh-CN"/>
              </w:rPr>
              <w:t>(0.047)</w:t>
            </w:r>
          </w:p>
        </w:tc>
      </w:tr>
      <w:tr w14:paraId="6C32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61AA7AB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default"/>
                <w:color w:val="auto"/>
                <w:vertAlign w:val="baseline"/>
                <w:lang w:val="en-US" w:eastAsia="zh-CN"/>
              </w:rPr>
              <w:t>KGAMA</w:t>
            </w:r>
          </w:p>
        </w:tc>
        <w:tc>
          <w:tcPr>
            <w:tcW w:w="2130" w:type="dxa"/>
            <w:tcBorders>
              <w:top w:val="single" w:color="auto" w:sz="8" w:space="0"/>
              <w:left w:val="nil"/>
              <w:bottom w:val="single" w:color="auto" w:sz="12" w:space="0"/>
              <w:right w:val="nil"/>
            </w:tcBorders>
            <w:shd w:val="clear" w:color="auto" w:fill="auto"/>
            <w:vAlign w:val="center"/>
          </w:tcPr>
          <w:p w14:paraId="700B2F9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0.831</w:t>
            </w:r>
            <w:r>
              <w:rPr>
                <w:rFonts w:hint="eastAsia"/>
                <w:color w:val="auto"/>
                <w:vertAlign w:val="subscript"/>
                <w:lang w:val="en-US" w:eastAsia="zh-CN"/>
              </w:rPr>
              <w:t>(0.024)</w:t>
            </w:r>
          </w:p>
        </w:tc>
        <w:tc>
          <w:tcPr>
            <w:tcW w:w="2131" w:type="dxa"/>
            <w:tcBorders>
              <w:top w:val="single" w:color="auto" w:sz="8" w:space="0"/>
              <w:left w:val="nil"/>
              <w:bottom w:val="single" w:color="auto" w:sz="12" w:space="0"/>
              <w:right w:val="nil"/>
            </w:tcBorders>
            <w:shd w:val="clear" w:color="auto" w:fill="auto"/>
            <w:vAlign w:val="center"/>
          </w:tcPr>
          <w:p w14:paraId="5F0464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1.512</w:t>
            </w:r>
            <w:r>
              <w:rPr>
                <w:rFonts w:hint="eastAsia"/>
                <w:color w:val="auto"/>
                <w:vertAlign w:val="subscript"/>
                <w:lang w:val="en-US" w:eastAsia="zh-CN"/>
              </w:rPr>
              <w:t>(0.233)</w:t>
            </w:r>
          </w:p>
        </w:tc>
        <w:tc>
          <w:tcPr>
            <w:tcW w:w="2131" w:type="dxa"/>
            <w:tcBorders>
              <w:top w:val="single" w:color="auto" w:sz="8" w:space="0"/>
              <w:left w:val="nil"/>
              <w:bottom w:val="single" w:color="auto" w:sz="12" w:space="0"/>
              <w:right w:val="nil"/>
            </w:tcBorders>
            <w:shd w:val="clear" w:color="auto" w:fill="auto"/>
            <w:vAlign w:val="center"/>
          </w:tcPr>
          <w:p w14:paraId="591F55D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0.656</w:t>
            </w:r>
            <w:r>
              <w:rPr>
                <w:rFonts w:hint="eastAsia"/>
                <w:color w:val="auto"/>
                <w:vertAlign w:val="subscript"/>
                <w:lang w:val="en-US" w:eastAsia="zh-CN"/>
              </w:rPr>
              <w:t>(0.006)</w:t>
            </w:r>
          </w:p>
        </w:tc>
      </w:tr>
    </w:tbl>
    <w:p w14:paraId="4305BD14">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ED5A928">
      <w:pPr>
        <w:bidi w:val="0"/>
        <w:rPr>
          <w:rFonts w:hint="default"/>
          <w:lang w:val="en-US" w:eastAsia="zh-CN"/>
        </w:rPr>
      </w:pPr>
      <w:r>
        <w:rPr>
          <w:rFonts w:hint="default"/>
          <w:lang w:val="en-US" w:eastAsia="zh-CN"/>
        </w:rP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5BAED9F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综上所述，无论是面向离散的生物活性分类，还是连续的理化性质回归，KGAMA均凭借其“图中心对比学习+多模态知识增强”的复合架构，展现出了超越现有 SOTA 方法的综合性能。</w:t>
      </w:r>
      <w:r>
        <w:rPr>
          <w:rFonts w:hint="eastAsia"/>
          <w:lang w:val="en-US" w:eastAsia="zh-CN"/>
        </w:rPr>
        <w:t xml:space="preserve"> </w:t>
      </w:r>
    </w:p>
    <w:p w14:paraId="61B45477">
      <w:pPr>
        <w:pStyle w:val="4"/>
        <w:bidi w:val="0"/>
        <w:ind w:left="210" w:leftChars="0" w:firstLineChars="0"/>
        <w:rPr>
          <w:rFonts w:hint="eastAsia"/>
          <w:lang w:val="en-US" w:eastAsia="zh-CN"/>
        </w:rPr>
      </w:pPr>
      <w:r>
        <w:rPr>
          <w:rFonts w:hint="eastAsia"/>
          <w:lang w:val="en-US" w:eastAsia="zh-CN"/>
        </w:rPr>
        <w:t>消融实验</w:t>
      </w:r>
    </w:p>
    <w:p w14:paraId="2D9D2EE0">
      <w:pPr>
        <w:pageBreakBefore w:val="0"/>
        <w:kinsoku/>
        <w:wordWrap/>
        <w:overflowPunct/>
        <w:topLinePunct w:val="0"/>
        <w:autoSpaceDE/>
        <w:autoSpaceDN/>
        <w:bidi w:val="0"/>
        <w:adjustRightInd/>
        <w:spacing w:beforeAutospacing="0" w:afterAutospacing="0" w:line="360" w:lineRule="auto"/>
        <w:textAlignment w:val="auto"/>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2CD2EFFC">
      <w:pPr>
        <w:pageBreakBefore w:val="0"/>
        <w:kinsoku/>
        <w:wordWrap/>
        <w:overflowPunct/>
        <w:topLinePunct w:val="0"/>
        <w:autoSpaceDE/>
        <w:autoSpaceDN/>
        <w:bidi w:val="0"/>
        <w:adjustRightInd/>
        <w:spacing w:beforeAutospacing="0" w:afterAutospacing="0" w:line="360" w:lineRule="auto"/>
        <w:textAlignment w:val="auto"/>
        <w:rPr>
          <w:rFonts w:hint="eastAsia"/>
        </w:rPr>
      </w:pPr>
      <w:r>
        <w:rPr>
          <w:rFonts w:hint="eastAsia"/>
        </w:rPr>
        <w:t>本文以分子图（Graph）作为核心语义锚点，逐步引入其他辅助模态，具体变体定义如下：</w:t>
      </w:r>
    </w:p>
    <w:p w14:paraId="5E9D9D27">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e>
          <m:sub>
            <m:r>
              <m:rPr/>
              <w:rPr>
                <w:rFonts w:hint="default" w:ascii="Cambria Math"/>
              </w:rPr>
              <m:t>G</m:t>
            </m:r>
          </m:sub>
        </m:sSub>
      </m:oMath>
      <w:r>
        <w:rPr>
          <w:rFonts w:hint="eastAsia"/>
          <w:i w:val="0"/>
          <w:lang w:eastAsia="zh-CN"/>
        </w:rPr>
        <w:t>：</w:t>
      </w:r>
      <w:r>
        <w:rPr>
          <w:rFonts w:hint="eastAsia"/>
        </w:rPr>
        <w:t>基准模型</w:t>
      </w:r>
      <w:r>
        <w:rPr>
          <w:rFonts w:hint="eastAsia"/>
          <w:lang w:eastAsia="zh-CN"/>
        </w:rPr>
        <w:t>，</w:t>
      </w:r>
      <w:r>
        <w:rPr>
          <w:rFonts w:hint="eastAsia"/>
        </w:rPr>
        <w:t>仅保留图编码器分支，采用 Graphormer 提取分子拓扑特征，作为下游任务的单一输入源，用于评估纯结构视角的预测基线。</w:t>
      </w:r>
    </w:p>
    <w:p w14:paraId="2E5ED948">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e>
          <m:sub>
            <m:r>
              <m:rPr/>
              <w:rPr>
                <w:rFonts w:hint="default" w:ascii="Cambria Math"/>
              </w:rPr>
              <m:t>G+F</m:t>
            </m:r>
          </m:sub>
        </m:sSub>
      </m:oMath>
      <w:r>
        <w:rPr>
          <w:rFonts w:hint="eastAsia"/>
          <w:i w:val="0"/>
          <w:lang w:eastAsia="zh-CN"/>
        </w:rPr>
        <w:t>：</w:t>
      </w:r>
      <w:r>
        <w:rPr>
          <w:rFonts w:hint="eastAsia"/>
        </w:rPr>
        <w:t>结构增强</w:t>
      </w:r>
      <w:r>
        <w:rPr>
          <w:rFonts w:hint="eastAsia"/>
          <w:lang w:eastAsia="zh-CN"/>
        </w:rPr>
        <w:t>。</w:t>
      </w:r>
      <w:r>
        <w:rPr>
          <w:rFonts w:hint="eastAsia"/>
        </w:rPr>
        <w:t xml:space="preserve">在 </w:t>
      </w:r>
      <m:oMathPara>
        <m:oMath>
          <m:r>
            <m:rPr/>
            <w:rPr>
              <w:rFonts w:hint="default" w:ascii="Cambria Math"/>
            </w:rPr>
            <m:t>KGAM</m:t>
          </m:r>
          <m:sSub>
            <m:sSubPr>
              <m:ctrlPr>
                <w:rPr>
                  <w:rFonts w:hint="default" w:ascii="Cambria Math"/>
                </w:rPr>
              </m:ctrlPr>
            </m:sSubPr>
            <m:e>
              <m:r>
                <m:rPr/>
                <w:rPr>
                  <w:rFonts w:hint="default" w:ascii="Cambria Math"/>
                </w:rPr>
                <m:t>A</m:t>
              </m:r>
            </m:e>
            <m:sub>
              <m:r>
                <m:rPr/>
                <w:rPr>
                  <w:rFonts w:hint="default" w:ascii="Cambria Math"/>
                </w:rPr>
                <m:t>G</m:t>
              </m:r>
            </m:sub>
          </m:sSub>
        </m:oMath>
      </m:oMathPara>
      <w:r>
        <w:rPr>
          <w:rFonts w:hint="eastAsia"/>
        </w:rPr>
        <w:t xml:space="preserve"> 基础上引入分子指纹模态（Fingerprint），旨在补充图神经网络可能遗漏的全局子结构统计信息。</w:t>
      </w:r>
    </w:p>
    <w:p w14:paraId="09680EE9">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e>
          <m:sub>
            <m:r>
              <m:rPr/>
              <w:rPr>
                <w:rFonts w:hint="default" w:ascii="Cambria Math"/>
              </w:rPr>
              <m:t>G+F+S</m:t>
            </m:r>
          </m:sub>
        </m:sSub>
      </m:oMath>
      <w:r>
        <w:rPr>
          <w:rFonts w:hint="eastAsia"/>
          <w:i w:val="0"/>
          <w:lang w:eastAsia="zh-CN"/>
        </w:rPr>
        <w:t>：</w:t>
      </w:r>
      <w:r>
        <w:rPr>
          <w:rFonts w:hint="eastAsia"/>
        </w:rPr>
        <w:t>序列增强</w:t>
      </w:r>
      <w:r>
        <w:rPr>
          <w:rFonts w:hint="eastAsia"/>
          <w:lang w:eastAsia="zh-CN"/>
        </w:rPr>
        <w:t>，</w:t>
      </w:r>
      <w:r>
        <w:rPr>
          <w:rFonts w:hint="eastAsia"/>
        </w:rPr>
        <w:t>进一步融合 SMILES 序列模态，利用 Transformer 捕获分子的线性化学语法与长程依赖。</w:t>
      </w:r>
    </w:p>
    <w:p w14:paraId="11924304">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e>
          <m:sub>
            <m:r>
              <m:rPr/>
              <w:rPr>
                <w:rFonts w:hint="default" w:ascii="Cambria Math"/>
              </w:rPr>
              <m:t>Concat</m:t>
            </m:r>
          </m:sub>
        </m:sSub>
      </m:oMath>
      <w:r>
        <w:rPr>
          <w:rFonts w:hint="eastAsia"/>
          <w:i w:val="0"/>
          <w:lang w:eastAsia="zh-CN"/>
        </w:rPr>
        <w:t>：</w:t>
      </w:r>
      <w:r>
        <w:rPr>
          <w:rFonts w:hint="eastAsia"/>
        </w:rPr>
        <w:t>静态融合</w:t>
      </w:r>
      <w:r>
        <w:rPr>
          <w:rFonts w:hint="eastAsia"/>
          <w:lang w:eastAsia="zh-CN"/>
        </w:rPr>
        <w:t>，</w:t>
      </w:r>
      <w:r>
        <w:rPr>
          <w:rFonts w:hint="eastAsia"/>
        </w:rPr>
        <w:t>采用完整的四模态输入（G+F+S+Text），但通过简单的特征拼接（Concatenation）方式进行融合，用于评估多模态信息的原始叠加效应。</w:t>
      </w:r>
    </w:p>
    <w:p w14:paraId="2A9EE9C9">
      <w:pPr>
        <w:pageBreakBefore w:val="0"/>
        <w:kinsoku/>
        <w:wordWrap/>
        <w:overflowPunct/>
        <w:topLinePunct w:val="0"/>
        <w:autoSpaceDE/>
        <w:autoSpaceDN/>
        <w:bidi w:val="0"/>
        <w:adjustRightInd/>
        <w:spacing w:beforeAutospacing="0" w:afterAutospacing="0" w:line="360" w:lineRule="auto"/>
        <w:textAlignment w:val="auto"/>
      </w:pPr>
      <m:oMath>
        <m:r>
          <m:rPr/>
          <w:rPr>
            <w:rFonts w:hint="default" w:ascii="Cambria Math"/>
          </w:rPr>
          <m:t>KGAM</m:t>
        </m:r>
        <m:sSub>
          <m:sSubPr>
            <m:ctrlPr>
              <w:rPr>
                <w:rFonts w:hint="default" w:ascii="Cambria Math"/>
              </w:rPr>
            </m:ctrlPr>
          </m:sSubPr>
          <m:e>
            <m:r>
              <m:rPr/>
              <w:rPr>
                <w:rFonts w:hint="default" w:ascii="Cambria Math"/>
              </w:rPr>
              <m:t>A</m:t>
            </m:r>
          </m:e>
          <m:sub>
            <m:r>
              <m:rPr/>
              <w:rPr>
                <w:rFonts w:hint="default" w:ascii="Cambria Math"/>
              </w:rPr>
              <m:t>Full</m:t>
            </m:r>
          </m:sub>
        </m:sSub>
      </m:oMath>
      <w:r>
        <w:rPr>
          <w:rFonts w:hint="eastAsia"/>
          <w:i w:val="0"/>
          <w:lang w:val="en-US" w:eastAsia="zh-CN"/>
        </w:rPr>
        <w:t>:</w:t>
      </w:r>
      <w:r>
        <w:rPr>
          <w:rFonts w:hint="eastAsia"/>
        </w:rPr>
        <w:t>完整模型</w:t>
      </w:r>
      <w:r>
        <w:rPr>
          <w:rFonts w:hint="eastAsia"/>
          <w:lang w:val="en-US" w:eastAsia="zh-CN"/>
        </w:rPr>
        <w:t>,</w:t>
      </w:r>
      <w:r>
        <w:rPr>
          <w:rFonts w:hint="eastAsia"/>
        </w:rPr>
        <w:t>本文提出的最终形态，即在四模态基础上引入交叉注意力（Cross-Attention）机制，实现特征的动态自适应融合。</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xml:space="preserve">图 3-X 与图 3-Y 的实验结果清晰地揭示了模态间的互补规律与交叉注意力机制的关键作用。首先，从单模态基准来看，仅依赖分子图的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已在多个任务上（如 BACE AUROC 0.825）展现出良好的预测基础，验证了 Graphormer 在提取拓扑特征方面的有效性。在此基础上，引入分子指纹后的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在几乎所有任务上均实现了性能跃升，特别是在 Lipo 亲脂性预测任务中 RMSE 的显著降低，表明指纹特征能有效弥补图网络在特定官能团计数方面的短板。随后，</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的进一步提升证明了序列模态提供的线性视角与图结构的二维视角具有良好的互补性。更重要的是，对比</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Concat</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与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Full</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的结果发现，交叉注意力机制起到了决定性的“智库”作用：</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 xml:space="preserve">（0.941）显著优于 </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Concat</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047240" cy="1638300"/>
            <wp:effectExtent l="0" t="0" r="10160" b="762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047240" cy="1638300"/>
                    </a:xfrm>
                    <a:prstGeom prst="rect">
                      <a:avLst/>
                    </a:prstGeom>
                  </pic:spPr>
                </pic:pic>
              </a:graphicData>
            </a:graphic>
          </wp:inline>
        </w:drawing>
      </w:r>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Para>
        <m:oMath>
          <m:r>
            <m:rPr/>
            <w:rPr>
              <w:rFonts w:hint="default" w:ascii="Cambria Math"/>
            </w:rPr>
            <m:t>τ</m:t>
          </m:r>
        </m:oMath>
      </m:oMathPara>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Para>
        <m:oMath>
          <m:r>
            <m:rPr/>
            <w:rPr>
              <w:rFonts w:hint="default" w:ascii="Cambria Math"/>
            </w:rPr>
            <m:t>τ</m:t>
          </m:r>
        </m:oMath>
      </m:oMathPara>
      <w:r>
        <w:rPr>
          <w:rFonts w:hint="default"/>
          <w:lang w:val="en-US" w:eastAsia="zh-CN"/>
        </w:rPr>
        <w:t xml:space="preserve">值（取值范围 $\{0.05, 0.1, 0.2, 0.5, 1.0\}$）的变化曲线。从图中可以观察到明显的“倒 U 型”趋势，具体分析如下：过小的 </w:t>
      </w:r>
      <m:oMathPara>
        <m:oMath>
          <m:r>
            <m:rPr/>
            <w:rPr>
              <w:rFonts w:hint="default" w:ascii="Cambria Math"/>
            </w:rPr>
            <m:t>τ</m:t>
          </m:r>
        </m:oMath>
      </m:oMathPara>
      <w:r>
        <w:rPr>
          <w:rFonts w:hint="default"/>
          <w:lang w:val="en-US" w:eastAsia="zh-CN"/>
        </w:rPr>
        <w:t xml:space="preserve">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w:t>
      </w:r>
      <m:oMathPara>
        <m:oMath>
          <m:r>
            <m:rPr/>
            <w:rPr>
              <w:rFonts w:hint="default" w:ascii="Cambria Math"/>
            </w:rPr>
            <m:t>τ</m:t>
          </m:r>
        </m:oMath>
      </m:oMathPara>
      <w:r>
        <w:rPr>
          <w:rFonts w:hint="default"/>
          <w:lang w:val="en-US" w:eastAsia="zh-CN"/>
        </w:rPr>
        <w:t xml:space="preserve"> (0.5 - 1.0)：随着温度系数增大，分布趋于平滑，模型对不同负样本的区分能力减弱。当 </w:t>
      </w:r>
      <m:oMathPara>
        <m:oMath>
          <m:r>
            <m:rPr/>
            <w:rPr>
              <w:rFonts w:hint="default" w:ascii="Cambria Math"/>
            </w:rPr>
            <m:t>τ=1.0</m:t>
          </m:r>
        </m:oMath>
      </m:oMathPara>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Para>
        <m:oMath>
          <m:r>
            <m:rPr/>
            <w:rPr>
              <w:rFonts w:hint="default" w:ascii="Cambria Math"/>
            </w:rPr>
            <m:t>τ</m:t>
          </m:r>
        </m:oMath>
      </m:oMathPara>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Para>
        <m:oMath>
          <m:r>
            <m:rPr/>
            <w:rPr>
              <w:rFonts w:hint="default" w:ascii="Cambria Math"/>
            </w:rPr>
            <m:t>τ</m:t>
          </m:r>
        </m:oMath>
      </m:oMathPara>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2AF39311">
      <w:pPr>
        <w:rPr>
          <w:rFonts w:hint="default"/>
          <w:lang w:val="en-US" w:eastAsia="zh-CN"/>
        </w:rPr>
      </w:pPr>
      <w:r>
        <w:rPr>
          <w:rFonts w:hint="default"/>
          <w:lang w:val="en-US" w:eastAsia="zh-CN"/>
        </w:rPr>
        <w:t>本章系统阐述了一种基于图对齐与知识增强的多模态分子性质预测框架</w:t>
      </w:r>
      <w:bookmarkStart w:id="0" w:name="_GoBack"/>
      <w:bookmarkEnd w:id="0"/>
      <w:r>
        <w:rPr>
          <w:rFonts w:hint="default"/>
          <w:lang w:val="en-US" w:eastAsia="zh-CN"/>
        </w:rPr>
        <w:t>。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1CD5E04">
      <w:pPr>
        <w:rPr>
          <w:rFonts w:hint="default"/>
          <w:lang w:val="en-US" w:eastAsia="zh-CN"/>
        </w:rPr>
      </w:pPr>
      <w:r>
        <w:rPr>
          <w:rFonts w:hint="default"/>
          <w:lang w:val="en-US" w:eastAsia="zh-CN"/>
        </w:rP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rFonts w:hint="default"/>
          <w:color w:val="E54C5E" w:themeColor="accent6"/>
          <w:lang w:val="en-US" w:eastAsia="zh-CN"/>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rPr>
          <w:rFonts w:hint="default"/>
          <w:lang w:val="en-US" w:eastAsia="zh-CN"/>
        </w:rPr>
        <w:t>。最后，参数敏感性分析验证了模型核心超参数的鲁棒性。</w:t>
      </w:r>
    </w:p>
    <w:p w14:paraId="22A99C8D">
      <w:pPr>
        <w:rPr>
          <w:rFonts w:hint="default"/>
          <w:lang w:val="en-US" w:eastAsia="zh-CN"/>
        </w:rPr>
      </w:pPr>
    </w:p>
    <w:p w14:paraId="20C91683">
      <w:pPr>
        <w:rPr>
          <w:rFonts w:hint="default"/>
          <w:lang w:val="en-US" w:eastAsia="zh-CN"/>
        </w:rPr>
      </w:pPr>
      <w:r>
        <w:rPr>
          <w:rFonts w:hint="default"/>
          <w:lang w:val="en-US" w:eastAsia="zh-CN"/>
        </w:rPr>
        <w:t>综上所述，本章提出的方法不仅在预测精度上刷新了多项记录，更在模型的可解释性与泛化能力上取得了显著突破，为后续的药物分子筛选与优化提供了可靠的计算工具。</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7E5371A9"/>
    <w:multiLevelType w:val="multilevel"/>
    <w:tmpl w:val="7E5371A9"/>
    <w:lvl w:ilvl="0" w:tentative="0">
      <w:start w:val="1"/>
      <w:numFmt w:val="decimal"/>
      <w:pStyle w:val="2"/>
      <w:isLgl/>
      <w:suff w:val="space"/>
      <w:lvlText w:val="%1"/>
      <w:lvlJc w:val="left"/>
      <w:pPr>
        <w:tabs>
          <w:tab w:val="left" w:pos="420"/>
        </w:tabs>
        <w:ind w:left="0" w:leftChars="0" w:firstLine="0" w:firstLineChars="0"/>
      </w:pPr>
      <w:rPr>
        <w:rFonts w:hint="default"/>
      </w:rPr>
    </w:lvl>
    <w:lvl w:ilvl="1" w:tentative="0">
      <w:start w:val="1"/>
      <w:numFmt w:val="decimal"/>
      <w:pStyle w:val="3"/>
      <w:isLgl/>
      <w:suff w:val="space"/>
      <w:lvlText w:val="%1.%2"/>
      <w:lvlJc w:val="left"/>
      <w:pPr>
        <w:tabs>
          <w:tab w:val="left" w:pos="420"/>
        </w:tabs>
        <w:ind w:left="0" w:leftChars="0" w:firstLine="0" w:firstLineChars="0"/>
      </w:pPr>
      <w:rPr>
        <w:rFonts w:hint="default"/>
      </w:rPr>
    </w:lvl>
    <w:lvl w:ilvl="2" w:tentative="0">
      <w:start w:val="1"/>
      <w:numFmt w:val="decimal"/>
      <w:pStyle w:val="4"/>
      <w:isLgl/>
      <w:suff w:val="space"/>
      <w:lvlText w:val="%1.%2.%3"/>
      <w:lvlJc w:val="left"/>
      <w:pPr>
        <w:tabs>
          <w:tab w:val="left" w:pos="0"/>
        </w:tabs>
        <w:ind w:left="0" w:leftChars="0" w:firstLine="0" w:firstLineChars="0"/>
      </w:pPr>
      <w:rPr>
        <w:rFonts w:hint="default"/>
      </w:rPr>
    </w:lvl>
    <w:lvl w:ilvl="3" w:tentative="0">
      <w:start w:val="1"/>
      <w:numFmt w:val="decimal"/>
      <w:pStyle w:val="5"/>
      <w:isLgl/>
      <w:lvlText w:val="%1.%2.%3.%4"/>
      <w:lvlJc w:val="left"/>
      <w:pPr>
        <w:tabs>
          <w:tab w:val="left" w:pos="0"/>
        </w:tabs>
        <w:ind w:left="0" w:leftChars="0" w:firstLine="0" w:firstLineChars="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3AE3AF3"/>
    <w:rsid w:val="0433224A"/>
    <w:rsid w:val="05A849B2"/>
    <w:rsid w:val="064F49ED"/>
    <w:rsid w:val="06510766"/>
    <w:rsid w:val="06B62CBE"/>
    <w:rsid w:val="06E11AE9"/>
    <w:rsid w:val="071E0F8F"/>
    <w:rsid w:val="07754928"/>
    <w:rsid w:val="08155C5D"/>
    <w:rsid w:val="08805332"/>
    <w:rsid w:val="08CE2541"/>
    <w:rsid w:val="0935611C"/>
    <w:rsid w:val="093D1475"/>
    <w:rsid w:val="0A0B19C3"/>
    <w:rsid w:val="0ABF0394"/>
    <w:rsid w:val="0B04049C"/>
    <w:rsid w:val="0B6B22C9"/>
    <w:rsid w:val="0BD64449"/>
    <w:rsid w:val="0BFF569C"/>
    <w:rsid w:val="0C965756"/>
    <w:rsid w:val="0CDC2ACA"/>
    <w:rsid w:val="0D9773A6"/>
    <w:rsid w:val="0E6A3D66"/>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44B713C"/>
    <w:rsid w:val="14667AD2"/>
    <w:rsid w:val="14681A9C"/>
    <w:rsid w:val="146944C2"/>
    <w:rsid w:val="14E37374"/>
    <w:rsid w:val="150C0679"/>
    <w:rsid w:val="15CF1017"/>
    <w:rsid w:val="1666772B"/>
    <w:rsid w:val="16721235"/>
    <w:rsid w:val="16EE3830"/>
    <w:rsid w:val="17887D5F"/>
    <w:rsid w:val="17F65611"/>
    <w:rsid w:val="191915B7"/>
    <w:rsid w:val="1A9B7C43"/>
    <w:rsid w:val="1B593EEC"/>
    <w:rsid w:val="1BCA6B98"/>
    <w:rsid w:val="1BDB2F6A"/>
    <w:rsid w:val="1C884062"/>
    <w:rsid w:val="1D37025D"/>
    <w:rsid w:val="1D8B05A9"/>
    <w:rsid w:val="1F3F2EA1"/>
    <w:rsid w:val="1F5E18DF"/>
    <w:rsid w:val="1F7F074A"/>
    <w:rsid w:val="1FCF02AE"/>
    <w:rsid w:val="1FE673DA"/>
    <w:rsid w:val="202645B9"/>
    <w:rsid w:val="20DB53A4"/>
    <w:rsid w:val="20F01385"/>
    <w:rsid w:val="21423675"/>
    <w:rsid w:val="214E0CB3"/>
    <w:rsid w:val="220A5F40"/>
    <w:rsid w:val="222A07C5"/>
    <w:rsid w:val="22F9340A"/>
    <w:rsid w:val="23E876FD"/>
    <w:rsid w:val="23F97868"/>
    <w:rsid w:val="25641E0C"/>
    <w:rsid w:val="257A162F"/>
    <w:rsid w:val="25853B30"/>
    <w:rsid w:val="264D3A61"/>
    <w:rsid w:val="26FB67A0"/>
    <w:rsid w:val="272924A0"/>
    <w:rsid w:val="27866B9F"/>
    <w:rsid w:val="27B32BD6"/>
    <w:rsid w:val="27E71EA9"/>
    <w:rsid w:val="27F60D15"/>
    <w:rsid w:val="289E73E3"/>
    <w:rsid w:val="28EA6ACC"/>
    <w:rsid w:val="292A511A"/>
    <w:rsid w:val="29DF5F05"/>
    <w:rsid w:val="29FA6504"/>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B40257B"/>
    <w:rsid w:val="3B7566C9"/>
    <w:rsid w:val="3BA7755B"/>
    <w:rsid w:val="3BB16FD5"/>
    <w:rsid w:val="3BDD426E"/>
    <w:rsid w:val="3D143CBF"/>
    <w:rsid w:val="3D2B25F8"/>
    <w:rsid w:val="3D6119C4"/>
    <w:rsid w:val="3DA94408"/>
    <w:rsid w:val="3E047E0A"/>
    <w:rsid w:val="3E4800C5"/>
    <w:rsid w:val="3F0F0BE2"/>
    <w:rsid w:val="3F12422F"/>
    <w:rsid w:val="3F32042D"/>
    <w:rsid w:val="3FC65745"/>
    <w:rsid w:val="40BB2DD0"/>
    <w:rsid w:val="40E90FBF"/>
    <w:rsid w:val="41F12821"/>
    <w:rsid w:val="42694565"/>
    <w:rsid w:val="427B20EB"/>
    <w:rsid w:val="431F0E8B"/>
    <w:rsid w:val="436D237B"/>
    <w:rsid w:val="43C26152"/>
    <w:rsid w:val="44044A8E"/>
    <w:rsid w:val="440C3157"/>
    <w:rsid w:val="44444E8A"/>
    <w:rsid w:val="44E80FE1"/>
    <w:rsid w:val="455A06DD"/>
    <w:rsid w:val="45837C34"/>
    <w:rsid w:val="45B352DC"/>
    <w:rsid w:val="45CB21F7"/>
    <w:rsid w:val="45CF4C28"/>
    <w:rsid w:val="482F17FF"/>
    <w:rsid w:val="48A77906"/>
    <w:rsid w:val="490E6F34"/>
    <w:rsid w:val="49217DF9"/>
    <w:rsid w:val="4941408E"/>
    <w:rsid w:val="494D47E1"/>
    <w:rsid w:val="4AB34B18"/>
    <w:rsid w:val="4B8204BE"/>
    <w:rsid w:val="4C4507B6"/>
    <w:rsid w:val="4C63256E"/>
    <w:rsid w:val="4D551EB6"/>
    <w:rsid w:val="4D8B14D9"/>
    <w:rsid w:val="4DB33B09"/>
    <w:rsid w:val="4EBB21ED"/>
    <w:rsid w:val="4F1813ED"/>
    <w:rsid w:val="4F576D80"/>
    <w:rsid w:val="4FA30A16"/>
    <w:rsid w:val="50AF18DD"/>
    <w:rsid w:val="525C3CE7"/>
    <w:rsid w:val="528E3D51"/>
    <w:rsid w:val="530E3233"/>
    <w:rsid w:val="53D55AFF"/>
    <w:rsid w:val="546B0211"/>
    <w:rsid w:val="55844E99"/>
    <w:rsid w:val="55B44A7B"/>
    <w:rsid w:val="560E70A6"/>
    <w:rsid w:val="572D5C52"/>
    <w:rsid w:val="583B7EFB"/>
    <w:rsid w:val="58B061F7"/>
    <w:rsid w:val="58BA1CEE"/>
    <w:rsid w:val="58C16652"/>
    <w:rsid w:val="59576FB6"/>
    <w:rsid w:val="5A3B2CC9"/>
    <w:rsid w:val="5B305D11"/>
    <w:rsid w:val="5B4F0B23"/>
    <w:rsid w:val="5B4F731A"/>
    <w:rsid w:val="5B993B5A"/>
    <w:rsid w:val="5BF907F8"/>
    <w:rsid w:val="5C983B6D"/>
    <w:rsid w:val="5D814602"/>
    <w:rsid w:val="5D9A3915"/>
    <w:rsid w:val="5EA7453C"/>
    <w:rsid w:val="5F573763"/>
    <w:rsid w:val="5F773F0E"/>
    <w:rsid w:val="5FC01AAC"/>
    <w:rsid w:val="6045400C"/>
    <w:rsid w:val="60D1764E"/>
    <w:rsid w:val="61D513C0"/>
    <w:rsid w:val="621C33F7"/>
    <w:rsid w:val="621E4B15"/>
    <w:rsid w:val="634E31D8"/>
    <w:rsid w:val="637C5F97"/>
    <w:rsid w:val="639332E1"/>
    <w:rsid w:val="64F102BF"/>
    <w:rsid w:val="65711400"/>
    <w:rsid w:val="666902A6"/>
    <w:rsid w:val="68464DC5"/>
    <w:rsid w:val="68E36170"/>
    <w:rsid w:val="692A78CC"/>
    <w:rsid w:val="69502941"/>
    <w:rsid w:val="69D81A4D"/>
    <w:rsid w:val="69F97043"/>
    <w:rsid w:val="6A2373A8"/>
    <w:rsid w:val="6A627569"/>
    <w:rsid w:val="6AAF6C52"/>
    <w:rsid w:val="6C661592"/>
    <w:rsid w:val="6CCA3A1C"/>
    <w:rsid w:val="6CE81FA7"/>
    <w:rsid w:val="6D1F1741"/>
    <w:rsid w:val="6D8A5754"/>
    <w:rsid w:val="6E577D47"/>
    <w:rsid w:val="6F170AB2"/>
    <w:rsid w:val="6F745D74"/>
    <w:rsid w:val="6F9562E9"/>
    <w:rsid w:val="6FD1766A"/>
    <w:rsid w:val="6FE27182"/>
    <w:rsid w:val="70756248"/>
    <w:rsid w:val="709B2013"/>
    <w:rsid w:val="70AF4C91"/>
    <w:rsid w:val="71267542"/>
    <w:rsid w:val="71706A0F"/>
    <w:rsid w:val="723D2D95"/>
    <w:rsid w:val="7248226E"/>
    <w:rsid w:val="72783DCD"/>
    <w:rsid w:val="72EC6569"/>
    <w:rsid w:val="74C07CAE"/>
    <w:rsid w:val="752E2E69"/>
    <w:rsid w:val="75A803EA"/>
    <w:rsid w:val="764861AD"/>
    <w:rsid w:val="76E2215D"/>
    <w:rsid w:val="771B020D"/>
    <w:rsid w:val="77435AB2"/>
    <w:rsid w:val="78407BB7"/>
    <w:rsid w:val="78533470"/>
    <w:rsid w:val="78BE62B2"/>
    <w:rsid w:val="79921C19"/>
    <w:rsid w:val="79A47B9E"/>
    <w:rsid w:val="7A023EF6"/>
    <w:rsid w:val="7A220727"/>
    <w:rsid w:val="7AFD1314"/>
    <w:rsid w:val="7B1F572E"/>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0"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0" w:firstLine="0" w:firstLineChars="0"/>
      <w:jc w:val="left"/>
      <w:outlineLvl w:val="1"/>
    </w:pPr>
    <w:rPr>
      <w:rFonts w:ascii="Times New Roman" w:hAnsi="Times New Roman" w:eastAsia="宋体" w:cs="Times New Roman"/>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Times New Roman" w:hAnsi="Times New Roman" w:eastAsia="宋体" w:cs="Times New Roman"/>
      <w:b/>
      <w:kern w:val="0"/>
      <w:sz w:val="24"/>
      <w:szCs w:val="24"/>
      <w:lang w:bidi="ar"/>
    </w:rPr>
  </w:style>
  <w:style w:type="paragraph" w:styleId="5">
    <w:name w:val="heading 4"/>
    <w:basedOn w:val="1"/>
    <w:next w:val="1"/>
    <w:autoRedefine/>
    <w:semiHidden/>
    <w:unhideWhenUsed/>
    <w:qFormat/>
    <w:uiPriority w:val="0"/>
    <w:pPr>
      <w:numPr>
        <w:ilvl w:val="3"/>
        <w:numId w:val="1"/>
      </w:numPr>
      <w:spacing w:before="0" w:beforeAutospacing="1" w:after="0" w:afterAutospacing="1"/>
      <w:ind w:firstLine="0" w:firstLineChars="0"/>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Times New Roman" w:hAnsi="Times New Roman" w:eastAsia="宋体" w:cs="Times New Roman"/>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5062</Words>
  <Characters>6024</Characters>
  <Lines>0</Lines>
  <Paragraphs>0</Paragraphs>
  <TotalTime>177</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2026-02-09T15:06:19Z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