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rPr>
          <w:rFonts w:hint="default"/>
          <w:lang w:val="en-US" w:eastAsia="zh-CN"/>
        </w:rPr>
      </w:pPr>
      <w:r>
        <w:rPr>
          <w:rFonts w:hint="eastAsia"/>
          <w:lang w:val="en-US" w:eastAsia="zh-CN"/>
        </w:rPr>
        <w:t>XXX框架概述</w:t>
      </w:r>
    </w:p>
    <w:p w14:paraId="40A55EF4">
      <w:pPr>
        <w:bidi w:val="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16D0604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73040" cy="2834005"/>
            <wp:effectExtent l="0" t="0" r="0" b="63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5273040" cy="2834005"/>
                    </a:xfrm>
                    <a:prstGeom prst="rect">
                      <a:avLst/>
                    </a:prstGeom>
                  </pic:spPr>
                </pic:pic>
              </a:graphicData>
            </a:graphic>
          </wp:inline>
        </w:drawing>
      </w:r>
    </w:p>
    <w:p w14:paraId="40A79D98">
      <w:pPr>
        <w:pStyle w:val="4"/>
        <w:bidi w:val="0"/>
        <w:rPr>
          <w:rFonts w:hint="eastAsia"/>
          <w:lang w:val="en-US" w:eastAsia="zh-CN"/>
        </w:rPr>
      </w:pPr>
      <w:r>
        <w:rPr>
          <w:rFonts w:hint="eastAsia"/>
          <w:lang w:val="en-US" w:eastAsia="zh-CN"/>
        </w:rPr>
        <w:t>序列编码模块</w:t>
      </w:r>
    </w:p>
    <w:p w14:paraId="1EF88E97">
      <w:pPr>
        <w:rPr>
          <w:rFonts w:hint="eastAsia"/>
          <w:lang w:val="en-US" w:eastAsia="zh-CN"/>
        </w:rPr>
      </w:pPr>
      <w:r>
        <w:rPr>
          <w:rFonts w:hint="eastAsia"/>
          <w:lang w:val="en-US" w:eastAsia="zh-CN"/>
        </w:rPr>
        <w:t>考虑到 SMILES 字符串在描述分子结构时具有显著的序列性与层次化特征，本文采用基于 RoBERTa 架构的 Transformer 作为序列模态的特征提取器 。相比于传统的循环神经网络（RNN），该编码器能够通过全局自注意力机制有效捕获分子内的长程拓扑关联。* 输入处理：模型首先将原始 SMILES 字符串通过分词器（Tokenizer）转化为离散的 Token 序列，并在头部添加全局表征标记 [CLS] 。长程依赖建模：如图 3-X 所示，通过多头自注意力层（Multi-head Self-Attention），模型能够跳过线性的序列距离，直接计算分子的支链或环状闭合点之间的关联。例如，在处理含有多个环结构的分子时，编码器能够精准捕捉到成环原子的空间语义一致性。</w:t>
      </w:r>
    </w:p>
    <w:p w14:paraId="16D71D59">
      <w:pPr>
        <w:ind w:left="0" w:leftChars="0" w:firstLine="0" w:firstLineChars="0"/>
        <w:rPr>
          <w:rFonts w:hint="eastAsia"/>
          <w:lang w:val="en-US" w:eastAsia="zh-CN"/>
        </w:rPr>
      </w:pPr>
      <w:r>
        <w:rPr>
          <w:rFonts w:hint="eastAsia"/>
          <w:lang w:val="en-US" w:eastAsia="zh-CN"/>
        </w:rPr>
        <w:t xml:space="preserve">特征映射：最后一层 Transformer 输出的 [CLS] 隐藏层向量被提取作为分子的序列全局表示 $F_s$。该向量随后通过一个全连接投影层，映射至与分子图特征 $F_g$ 相同的维度，以备后续的跨模态对齐 </w:t>
      </w:r>
    </w:p>
    <w:p w14:paraId="3E4A7DE5">
      <w:pPr>
        <w:pStyle w:val="4"/>
        <w:bidi w:val="0"/>
        <w:rPr>
          <w:rFonts w:hint="default"/>
          <w:lang w:val="en-US" w:eastAsia="zh-CN"/>
        </w:rPr>
      </w:pPr>
      <w:r>
        <w:rPr>
          <w:rFonts w:hint="eastAsia"/>
          <w:lang w:val="en-US" w:eastAsia="zh-CN"/>
        </w:rPr>
        <w:t>指纹编码器模块</w:t>
      </w:r>
    </w:p>
    <w:p w14:paraId="2CC89891">
      <w:pPr>
        <w:rPr>
          <w:rFonts w:hint="default"/>
          <w:lang w:val="en-US" w:eastAsia="zh-CN"/>
        </w:rPr>
      </w:pPr>
      <w:r>
        <w:rPr>
          <w:rFonts w:hint="default"/>
          <w:lang w:val="en-US" w:eastAsia="zh-CN"/>
        </w:rPr>
        <w:t>分子指纹是对分子局部子结构的统计摘要，能够提供全局结构补充信息。特征集成：本文将 Morgan、MACCS 及 RDKit 预定义的多种指纹进行拼接（Concat），构建高维稀疏向量。特征投影：为解决指纹维数过高且稀疏的问题，本文设计了一个多层感知机构成的投影网络（Project Network），将原始指纹映射为稠密的特征向量 $F_f$，从而实现与其它模态在同一量级下的语义对齐。</w:t>
      </w:r>
    </w:p>
    <w:p w14:paraId="62CF9E7F">
      <w:pPr>
        <w:pStyle w:val="4"/>
        <w:bidi w:val="0"/>
        <w:rPr>
          <w:rFonts w:hint="default"/>
          <w:lang w:val="en-US" w:eastAsia="zh-CN"/>
        </w:rPr>
      </w:pPr>
      <w:r>
        <w:rPr>
          <w:rFonts w:hint="eastAsia"/>
          <w:lang w:val="en-US" w:eastAsia="zh-CN"/>
        </w:rPr>
        <w:t>图编码器模块</w:t>
      </w:r>
    </w:p>
    <w:p w14:paraId="5EB3DF76">
      <w:pPr>
        <w:rPr>
          <w:rFonts w:hint="default"/>
          <w:lang w:val="en-US" w:eastAsia="zh-CN"/>
        </w:rPr>
      </w:pPr>
      <w:r>
        <w:rPr>
          <w:rFonts w:hint="default"/>
          <w:lang w:val="en-US" w:eastAsia="zh-CN"/>
        </w:rPr>
        <w:t>图编码器是本框架的核心。本文采用 Graphormer 架构，从拓扑和几何两个维度深度刻画分子结构。结构编码：集成了中心性编码（捕捉原子重要度）、空间编码（捕捉原子间的最短路径距离）及边缘编码（捕捉化学键类型），弥补了传统 GNN 感受野受限的缺陷。输出：经过多层 Graphormer Layer 的处理，模型输出具有高度结构真实性的图表征向量 $F_g$，并将其作为整个预训练过程中的语义锚点（Anchor）。</w:t>
      </w:r>
    </w:p>
    <w:p w14:paraId="5B6CBE39">
      <w:pPr>
        <w:pStyle w:val="4"/>
        <w:bidi w:val="0"/>
        <w:rPr>
          <w:rFonts w:hint="default"/>
          <w:lang w:val="en-US" w:eastAsia="zh-CN"/>
        </w:rPr>
      </w:pPr>
      <w:r>
        <w:rPr>
          <w:rFonts w:hint="eastAsia"/>
          <w:lang w:val="en-US" w:eastAsia="zh-CN"/>
        </w:rPr>
        <w:t>文本编码器模块</w:t>
      </w:r>
    </w:p>
    <w:p w14:paraId="7983D170">
      <w:pPr>
        <w:rPr>
          <w:rFonts w:hint="default"/>
          <w:lang w:val="en-US" w:eastAsia="zh-CN"/>
        </w:rPr>
      </w:pPr>
      <w:r>
        <w:rPr>
          <w:rFonts w:hint="default"/>
          <w:lang w:val="en-US" w:eastAsia="zh-CN"/>
        </w:rPr>
        <w:t>该模块实现了本文核心创新点之一：知识增强重写。知识注入流水线：利用 PubChem API 获取原始文本描述，并结合 RDKit 计算的 12 项关键理化性质（如 LogP、TPSA 等），通过大语言模型（LLM）进行重写，生成高质量的专家级文本描述。语义编码：重写后的文本输入预训练的 SciBERT 编码器。SciBERT 在海量科学文献上的预训练经验使其能更精准地捕捉分子性质描述中的专业语义，生成高密度的文本特征向量 $F_t$。</w:t>
      </w:r>
    </w:p>
    <w:p w14:paraId="2CB3DBC5">
      <w:pPr>
        <w:pStyle w:val="4"/>
        <w:bidi w:val="0"/>
        <w:rPr>
          <w:rFonts w:hint="default"/>
          <w:lang w:val="en-US" w:eastAsia="zh-CN"/>
        </w:rPr>
      </w:pPr>
      <w:r>
        <w:rPr>
          <w:rFonts w:hint="eastAsia"/>
          <w:lang w:val="en-US" w:eastAsia="zh-CN"/>
        </w:rPr>
        <w:t>融合与预测模块</w:t>
      </w:r>
    </w:p>
    <w:p w14:paraId="6CB67CDE">
      <w:pPr>
        <w:rPr>
          <w:rFonts w:hint="default"/>
          <w:lang w:val="en-US" w:eastAsia="zh-CN"/>
        </w:rPr>
      </w:pPr>
      <w:r>
        <w:rPr>
          <w:rFonts w:hint="default"/>
          <w:lang w:val="en-US" w:eastAsia="zh-CN"/>
        </w:rPr>
        <w:t>在下游任务微调阶段，模型通过**交叉注意力（Cross-Attention）**机制实现多模态信息的自适应融合。动态加权融合：模型根据不同性质预测任务（如分类任务 BACE 或回归任务 ESOL）的需求，自动学习不同模态特征（$F_g, F_s, F_f, F_t$）的重要性权重 $W_m$。性质预测：融合后的全景分子表征被输入至由多层全连接网络构成的预测头（MLP Head），最终输出分子的理化性质或生物活性预测值 $Y_{pred}$。</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70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p w14:paraId="2D9AC9CE">
      <w:pPr>
        <w:pStyle w:val="4"/>
        <w:bidi w:val="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其中，从Graph到模态$m$的单向对比损失定义为：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738"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21"/>
        <w:gridCol w:w="1086"/>
        <w:gridCol w:w="878"/>
        <w:gridCol w:w="1053"/>
        <w:gridCol w:w="875"/>
        <w:gridCol w:w="1064"/>
        <w:gridCol w:w="961"/>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21"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8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62"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883"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73"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969"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21"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8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62"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883"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73"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969"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21"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8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62"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883"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73"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969"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color w:val="auto"/>
                <w:vertAlign w:val="baseline"/>
                <w:lang w:val="en-US" w:eastAsia="zh-CN"/>
              </w:rPr>
              <w:t>AttentiveFP</w:t>
            </w:r>
          </w:p>
        </w:tc>
        <w:tc>
          <w:tcPr>
            <w:tcW w:w="1021"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r>
              <w:rPr>
                <w:rFonts w:hint="eastAsia"/>
                <w:vertAlign w:val="subscript"/>
                <w:lang w:val="en-US" w:eastAsia="zh-CN"/>
              </w:rPr>
              <w:t>(0.002)</w:t>
            </w:r>
          </w:p>
        </w:tc>
        <w:tc>
          <w:tcPr>
            <w:tcW w:w="8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0.908</w:t>
            </w:r>
          </w:p>
        </w:tc>
        <w:tc>
          <w:tcPr>
            <w:tcW w:w="1062"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0.933</w:t>
            </w:r>
          </w:p>
        </w:tc>
        <w:tc>
          <w:tcPr>
            <w:tcW w:w="883"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0.807</w:t>
            </w:r>
          </w:p>
        </w:tc>
        <w:tc>
          <w:tcPr>
            <w:tcW w:w="1073"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0.637</w:t>
            </w:r>
          </w:p>
        </w:tc>
        <w:tc>
          <w:tcPr>
            <w:tcW w:w="969"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21"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p>
        </w:tc>
        <w:tc>
          <w:tcPr>
            <w:tcW w:w="8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0.826</w:t>
            </w:r>
          </w:p>
        </w:tc>
        <w:tc>
          <w:tcPr>
            <w:tcW w:w="1062"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0.750</w:t>
            </w:r>
          </w:p>
        </w:tc>
        <w:tc>
          <w:tcPr>
            <w:tcW w:w="883"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0.754</w:t>
            </w:r>
          </w:p>
        </w:tc>
        <w:tc>
          <w:tcPr>
            <w:tcW w:w="1073"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c>
          <w:tcPr>
            <w:tcW w:w="969"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0.592</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21"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p>
        </w:tc>
        <w:tc>
          <w:tcPr>
            <w:tcW w:w="8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0.695</w:t>
            </w:r>
          </w:p>
        </w:tc>
        <w:tc>
          <w:tcPr>
            <w:tcW w:w="1062"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0.762</w:t>
            </w:r>
          </w:p>
        </w:tc>
        <w:tc>
          <w:tcPr>
            <w:tcW w:w="883"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0.735</w:t>
            </w:r>
          </w:p>
        </w:tc>
        <w:tc>
          <w:tcPr>
            <w:tcW w:w="1073"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0.653</w:t>
            </w:r>
          </w:p>
        </w:tc>
        <w:tc>
          <w:tcPr>
            <w:tcW w:w="969"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21"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c>
          <w:tcPr>
            <w:tcW w:w="8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0.724</w:t>
            </w:r>
          </w:p>
        </w:tc>
        <w:tc>
          <w:tcPr>
            <w:tcW w:w="1062"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0.791</w:t>
            </w:r>
          </w:p>
        </w:tc>
        <w:tc>
          <w:tcPr>
            <w:tcW w:w="883"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0.631</w:t>
            </w:r>
          </w:p>
        </w:tc>
        <w:tc>
          <w:tcPr>
            <w:tcW w:w="969"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0.639</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21"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p>
        </w:tc>
        <w:tc>
          <w:tcPr>
            <w:tcW w:w="8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0.913</w:t>
            </w:r>
          </w:p>
        </w:tc>
        <w:tc>
          <w:tcPr>
            <w:tcW w:w="1062"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0.879</w:t>
            </w:r>
          </w:p>
        </w:tc>
        <w:tc>
          <w:tcPr>
            <w:tcW w:w="883"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0.808</w:t>
            </w:r>
          </w:p>
        </w:tc>
        <w:tc>
          <w:tcPr>
            <w:tcW w:w="1073"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0.691</w:t>
            </w:r>
          </w:p>
        </w:tc>
        <w:tc>
          <w:tcPr>
            <w:tcW w:w="969"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0.595</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21"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p>
        </w:tc>
        <w:tc>
          <w:tcPr>
            <w:tcW w:w="8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0.906</w:t>
            </w:r>
          </w:p>
        </w:tc>
        <w:tc>
          <w:tcPr>
            <w:tcW w:w="883"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0.655</w:t>
            </w:r>
          </w:p>
        </w:tc>
        <w:tc>
          <w:tcPr>
            <w:tcW w:w="969"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0.570</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21"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p>
        </w:tc>
        <w:tc>
          <w:tcPr>
            <w:tcW w:w="8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p>
        </w:tc>
        <w:tc>
          <w:tcPr>
            <w:tcW w:w="1062"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p>
        </w:tc>
        <w:tc>
          <w:tcPr>
            <w:tcW w:w="883"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p>
        </w:tc>
        <w:tc>
          <w:tcPr>
            <w:tcW w:w="1073"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p>
        </w:tc>
        <w:tc>
          <w:tcPr>
            <w:tcW w:w="969"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21"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p>
        </w:tc>
        <w:tc>
          <w:tcPr>
            <w:tcW w:w="8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p>
        </w:tc>
        <w:tc>
          <w:tcPr>
            <w:tcW w:w="1062"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p>
        </w:tc>
        <w:tc>
          <w:tcPr>
            <w:tcW w:w="883"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p>
        </w:tc>
        <w:tc>
          <w:tcPr>
            <w:tcW w:w="1073"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p>
        </w:tc>
        <w:tc>
          <w:tcPr>
            <w:tcW w:w="969"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4874CB" w:themeColor="accent1"/>
                <w:vertAlign w:val="baseline"/>
                <w:lang w:val="en-US" w:eastAsia="zh-CN"/>
                <w14:textFill>
                  <w14:solidFill>
                    <w14:schemeClr w14:val="accent1"/>
                  </w14:solidFill>
                </w14:textFill>
              </w:rPr>
            </w:pPr>
            <w:r>
              <w:rPr>
                <w:rFonts w:hint="eastAsia"/>
                <w:color w:val="auto"/>
                <w:vertAlign w:val="baseline"/>
                <w:lang w:val="en-US" w:eastAsia="zh-CN"/>
              </w:rPr>
              <w:t>SchNet</w:t>
            </w:r>
          </w:p>
        </w:tc>
        <w:tc>
          <w:tcPr>
            <w:tcW w:w="1021"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p>
        </w:tc>
        <w:tc>
          <w:tcPr>
            <w:tcW w:w="8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0.847</w:t>
            </w:r>
          </w:p>
        </w:tc>
        <w:tc>
          <w:tcPr>
            <w:tcW w:w="1062"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0.717</w:t>
            </w:r>
          </w:p>
        </w:tc>
        <w:tc>
          <w:tcPr>
            <w:tcW w:w="883"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0.767</w:t>
            </w:r>
          </w:p>
        </w:tc>
        <w:tc>
          <w:tcPr>
            <w:tcW w:w="1073"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0.679</w:t>
            </w:r>
          </w:p>
        </w:tc>
        <w:tc>
          <w:tcPr>
            <w:tcW w:w="969"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0.545</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1021"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p>
        </w:tc>
        <w:tc>
          <w:tcPr>
            <w:tcW w:w="8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0.912</w:t>
            </w:r>
          </w:p>
        </w:tc>
        <w:tc>
          <w:tcPr>
            <w:tcW w:w="1062"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0.855</w:t>
            </w:r>
          </w:p>
        </w:tc>
        <w:tc>
          <w:tcPr>
            <w:tcW w:w="883"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0.761</w:t>
            </w:r>
          </w:p>
        </w:tc>
        <w:tc>
          <w:tcPr>
            <w:tcW w:w="1073"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0.659</w:t>
            </w:r>
          </w:p>
        </w:tc>
        <w:tc>
          <w:tcPr>
            <w:tcW w:w="969"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0.662</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1021"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p>
        </w:tc>
        <w:tc>
          <w:tcPr>
            <w:tcW w:w="8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0.925</w:t>
            </w:r>
          </w:p>
        </w:tc>
        <w:tc>
          <w:tcPr>
            <w:tcW w:w="883"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0.769</w:t>
            </w:r>
          </w:p>
        </w:tc>
        <w:tc>
          <w:tcPr>
            <w:tcW w:w="1073"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0.651</w:t>
            </w:r>
          </w:p>
        </w:tc>
        <w:tc>
          <w:tcPr>
            <w:tcW w:w="969"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0.610</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1021"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p>
        </w:tc>
        <w:tc>
          <w:tcPr>
            <w:tcW w:w="8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0.705</w:t>
            </w:r>
          </w:p>
        </w:tc>
        <w:tc>
          <w:tcPr>
            <w:tcW w:w="1062"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0.799</w:t>
            </w:r>
          </w:p>
        </w:tc>
        <w:tc>
          <w:tcPr>
            <w:tcW w:w="883"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0.756</w:t>
            </w:r>
          </w:p>
        </w:tc>
        <w:tc>
          <w:tcPr>
            <w:tcW w:w="1073"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0.634</w:t>
            </w:r>
          </w:p>
        </w:tc>
        <w:tc>
          <w:tcPr>
            <w:tcW w:w="969"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1021"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p>
        </w:tc>
        <w:tc>
          <w:tcPr>
            <w:tcW w:w="8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0.731</w:t>
            </w:r>
          </w:p>
        </w:tc>
        <w:tc>
          <w:tcPr>
            <w:tcW w:w="1062"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0.892</w:t>
            </w:r>
          </w:p>
        </w:tc>
        <w:tc>
          <w:tcPr>
            <w:tcW w:w="883"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0.725</w:t>
            </w:r>
          </w:p>
        </w:tc>
        <w:tc>
          <w:tcPr>
            <w:tcW w:w="1073"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0.550</w:t>
            </w:r>
          </w:p>
        </w:tc>
        <w:tc>
          <w:tcPr>
            <w:tcW w:w="969"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0.598</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21"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p>
        </w:tc>
        <w:tc>
          <w:tcPr>
            <w:tcW w:w="8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p>
        </w:tc>
        <w:tc>
          <w:tcPr>
            <w:tcW w:w="1062"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p>
        </w:tc>
        <w:tc>
          <w:tcPr>
            <w:tcW w:w="883"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p>
        </w:tc>
        <w:tc>
          <w:tcPr>
            <w:tcW w:w="1073"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969"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上图展示了我们的模型在分类任务和回归任务上的性能表现。实验结果表明，本文提出的模型（MyMoel）在 6 个 MoleculeNet 典型分类任务上均取得了最优的预测性能（SOTA），显著优于包括 CMPNN、AttentiveFP 以及 MoleculeSTM 在内的 13 种基准模型 。在与单一模态 GNN 模型的对比中，本文模型在 BACE 与 BBBP 数据集上的表现尤为突处，这不仅得益于 Graphormer 编码器通过空间编码与中心性编码捕获的长程原子依赖 ，更源于模型引入的 SMILES 序列与分子指纹从多视角补全了分子的全局拓扑信息 。相比于同样采用文本对齐的 MoleculeSTM 和 MoMu 等多模态模型，本文模型在 ClinTox 任务上实现了大幅领先（0.941 vs 0.925/0.799） ，这有力证明了通过大语言模型（LLM）进行的知识重写流水线能有效剔除原始 PubChem 文本中的冗余噪声 ，并将 12 项理化性质显式注入语义空间 ，从而引导模型更精准地理解分子结构与临床毒性间的因果关联。此外，在子任务规模庞大的 Tox21 与 ToxCast 数据集上，模型依然保持了极强的稳健性（0.852 与 0.712） ，这归功于本文设计的基于同方差不确定性的动态加权机制，该机制通过自适应平衡不同模态间的学习权重，有效抑制了高噪声模态对主表征空间的梯度干扰 ，确保了模型在复杂性质预测任务中的泛化上限。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0.877</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2.073</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0.721</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0.921(0.087)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2.026(0.127)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0.646(0.022)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1.029</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1.893</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0.681</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0.972(0.097)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2.170(0.536)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0.652(0.051)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1.833(0.581)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0.658(0.029)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0.885</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1.619</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0.659</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1.074</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2.688</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rPr>
          <w:rFonts w:hint="eastAsia"/>
          <w:lang w:val="en-US" w:eastAsia="zh-CN"/>
        </w:rPr>
      </w:pPr>
      <w:r>
        <w:rPr>
          <w:rFonts w:hint="eastAsia"/>
          <w:lang w:val="en-US" w:eastAsia="zh-CN"/>
        </w:rPr>
        <w:t>消融实验</w:t>
      </w:r>
    </w:p>
    <w:p w14:paraId="45A0D2D6">
      <w:pPr>
        <w:bidi w:val="0"/>
      </w:pPr>
      <w: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t>G + 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t>G + F + 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t>G + F + S + 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default"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融合多模态信息的交叉注意力模型再所有数据集上去的了最优的性能，验证了各个模态以及组件之间的协同效益。我们从多个角度分析各个变体模型的性能，首先，XXX模型普遍优于concat的模型，在分类任务上XXX模型比没有注意力的平均roc要高出1.67%，在回归任务中平均的RMSE比没有注意力低4.23%。这是因为concat是将模态信息简单拼接堆积，本质上是默认了各个模态信息具有相同的重要性，然而由于分子性质的决定因素各异，采用固定的融合权重往往受到噪声模态的干扰。相比之下，XXX采用的交叉注意力机制能够根据具体的预测任务动态调节各模态特征的贡献度。例如，在 ClinTox 数据集上，从拼接方式的 0.925 提升至交叉注意力的 0.941，提升幅度显著。这说明交叉注意力模块能够识别出在临床毒性预测中，专家文本知识具有更高的信息密度，从而在特征交互过程中赋予其更高的注意力权重，有效提取了跨模态的互补语义。</w:t>
      </w: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5230495" cy="2108835"/>
            <wp:effectExtent l="0" t="0" r="12065" b="952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9"/>
                    <a:stretch>
                      <a:fillRect/>
                    </a:stretch>
                  </pic:blipFill>
                  <pic:spPr>
                    <a:xfrm>
                      <a:off x="0" y="0"/>
                      <a:ext cx="5230495" cy="2108835"/>
                    </a:xfrm>
                    <a:prstGeom prst="rect">
                      <a:avLst/>
                    </a:prstGeom>
                    <a:noFill/>
                    <a:ln>
                      <a:noFill/>
                    </a:ln>
                  </pic:spPr>
                </pic:pic>
              </a:graphicData>
            </a:graphic>
          </wp:inline>
        </w:drawing>
      </w:r>
      <w:bookmarkStart w:id="0" w:name="_GoBack"/>
      <w:bookmarkEnd w:id="0"/>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5240655" cy="3114675"/>
            <wp:effectExtent l="0" t="0" r="1905" b="952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0"/>
                    <a:stretch>
                      <a:fillRect/>
                    </a:stretch>
                  </pic:blipFill>
                  <pic:spPr>
                    <a:xfrm>
                      <a:off x="0" y="0"/>
                      <a:ext cx="5240655" cy="311467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448FBC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各个任务中各个模态的权重可视化如图所示（数据问题）</w:t>
      </w:r>
    </w:p>
    <w:p w14:paraId="2E79910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654040" cy="2684780"/>
            <wp:effectExtent l="0" t="0" r="0" b="12700"/>
            <wp:docPr id="3" name="图片 3" descr="heatmap_Blu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eatmap_Blues-1"/>
                    <pic:cNvPicPr>
                      <a:picLocks noChangeAspect="1"/>
                    </pic:cNvPicPr>
                  </pic:nvPicPr>
                  <pic:blipFill>
                    <a:blip r:embed="rId11"/>
                    <a:stretch>
                      <a:fillRect/>
                    </a:stretch>
                  </pic:blipFill>
                  <pic:spPr>
                    <a:xfrm>
                      <a:off x="0" y="0"/>
                      <a:ext cx="5654040" cy="268478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30332FF4">
      <w:pPr>
        <w:rPr>
          <w:rFonts w:hint="default"/>
          <w:lang w:val="en-US" w:eastAsia="zh-CN"/>
        </w:rPr>
      </w:pPr>
    </w:p>
    <w:p w14:paraId="6CE8FE9F">
      <w:pPr>
        <w:pStyle w:val="3"/>
        <w:bidi w:val="0"/>
        <w:rPr>
          <w:rFonts w:hint="default"/>
          <w:lang w:val="en-US" w:eastAsia="zh-CN"/>
        </w:rPr>
      </w:pPr>
      <w:r>
        <w:rPr>
          <w:rFonts w:hint="eastAsia"/>
          <w:lang w:val="en-US" w:eastAsia="zh-CN"/>
        </w:rPr>
        <w:t>本章小结</w:t>
      </w:r>
    </w:p>
    <w:p w14:paraId="0F8234FB">
      <w:pPr>
        <w:pStyle w:val="2"/>
        <w:bidi w:val="0"/>
        <w:rPr>
          <w:rFonts w:hint="default"/>
          <w:lang w:val="en-US" w:eastAsia="zh-CN"/>
        </w:rPr>
      </w:pPr>
      <w:r>
        <w:rPr>
          <w:rFonts w:hint="eastAsia"/>
          <w:lang w:val="en-US" w:eastAsia="zh-CN"/>
        </w:rPr>
        <w:t>基于思维链的药物分子毒性预测</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70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50B21"/>
    <w:rsid w:val="018502B5"/>
    <w:rsid w:val="0433224A"/>
    <w:rsid w:val="05A849B2"/>
    <w:rsid w:val="064F49ED"/>
    <w:rsid w:val="06510766"/>
    <w:rsid w:val="06E11AE9"/>
    <w:rsid w:val="071E0F8F"/>
    <w:rsid w:val="08155C5D"/>
    <w:rsid w:val="08805332"/>
    <w:rsid w:val="08CE2541"/>
    <w:rsid w:val="0BD64449"/>
    <w:rsid w:val="0BFF569C"/>
    <w:rsid w:val="0C965756"/>
    <w:rsid w:val="0ED168E7"/>
    <w:rsid w:val="0F503503"/>
    <w:rsid w:val="0F7C2CF7"/>
    <w:rsid w:val="10D475A4"/>
    <w:rsid w:val="118A0FD0"/>
    <w:rsid w:val="11CC3396"/>
    <w:rsid w:val="120548F1"/>
    <w:rsid w:val="1212349F"/>
    <w:rsid w:val="13741F37"/>
    <w:rsid w:val="13BE388E"/>
    <w:rsid w:val="144B713C"/>
    <w:rsid w:val="14681A9C"/>
    <w:rsid w:val="14E37374"/>
    <w:rsid w:val="15CF1017"/>
    <w:rsid w:val="1666772B"/>
    <w:rsid w:val="16721235"/>
    <w:rsid w:val="16EE3830"/>
    <w:rsid w:val="1B593EEC"/>
    <w:rsid w:val="1BCA6B98"/>
    <w:rsid w:val="1C884062"/>
    <w:rsid w:val="1D37025D"/>
    <w:rsid w:val="1F3F2EA1"/>
    <w:rsid w:val="1F5E18DF"/>
    <w:rsid w:val="1FCF02AE"/>
    <w:rsid w:val="20F01385"/>
    <w:rsid w:val="21423675"/>
    <w:rsid w:val="214E0CB3"/>
    <w:rsid w:val="220A5F40"/>
    <w:rsid w:val="222A07C5"/>
    <w:rsid w:val="22F9340A"/>
    <w:rsid w:val="23E876FD"/>
    <w:rsid w:val="25853B30"/>
    <w:rsid w:val="26FB67A0"/>
    <w:rsid w:val="27866B9F"/>
    <w:rsid w:val="27E71EA9"/>
    <w:rsid w:val="289E73E3"/>
    <w:rsid w:val="292A511A"/>
    <w:rsid w:val="29FA6504"/>
    <w:rsid w:val="2BCC4267"/>
    <w:rsid w:val="2C536B29"/>
    <w:rsid w:val="2C5F332D"/>
    <w:rsid w:val="2C7072E8"/>
    <w:rsid w:val="2C906D58"/>
    <w:rsid w:val="2CCD473A"/>
    <w:rsid w:val="2CEB4BC0"/>
    <w:rsid w:val="2CFE5A0D"/>
    <w:rsid w:val="2DF45CF7"/>
    <w:rsid w:val="2E0F77BA"/>
    <w:rsid w:val="2F917CA1"/>
    <w:rsid w:val="2FBA3380"/>
    <w:rsid w:val="2FBC06DB"/>
    <w:rsid w:val="2FFE2E5D"/>
    <w:rsid w:val="30586A11"/>
    <w:rsid w:val="32220E91"/>
    <w:rsid w:val="34B61F58"/>
    <w:rsid w:val="34CE2DFE"/>
    <w:rsid w:val="3575596F"/>
    <w:rsid w:val="35EA1EB9"/>
    <w:rsid w:val="361433DA"/>
    <w:rsid w:val="36794FEB"/>
    <w:rsid w:val="36A75037"/>
    <w:rsid w:val="37841E99"/>
    <w:rsid w:val="38F17A02"/>
    <w:rsid w:val="39025256"/>
    <w:rsid w:val="39551D3F"/>
    <w:rsid w:val="3963760F"/>
    <w:rsid w:val="39B30BBC"/>
    <w:rsid w:val="3B7566C9"/>
    <w:rsid w:val="3BA7755B"/>
    <w:rsid w:val="3BDD426E"/>
    <w:rsid w:val="3D143CBF"/>
    <w:rsid w:val="3D2B25F8"/>
    <w:rsid w:val="3D6119C4"/>
    <w:rsid w:val="3DA94408"/>
    <w:rsid w:val="3E047E0A"/>
    <w:rsid w:val="3E4800C5"/>
    <w:rsid w:val="3F0F0BE2"/>
    <w:rsid w:val="40BB2DD0"/>
    <w:rsid w:val="40E90FBF"/>
    <w:rsid w:val="41F12821"/>
    <w:rsid w:val="42694565"/>
    <w:rsid w:val="427B20EB"/>
    <w:rsid w:val="431F0E8B"/>
    <w:rsid w:val="436D237B"/>
    <w:rsid w:val="44444E8A"/>
    <w:rsid w:val="44E80FE1"/>
    <w:rsid w:val="45837C34"/>
    <w:rsid w:val="45B352DC"/>
    <w:rsid w:val="45CB21F7"/>
    <w:rsid w:val="45CF4C28"/>
    <w:rsid w:val="482F17FF"/>
    <w:rsid w:val="48A77906"/>
    <w:rsid w:val="490E6F34"/>
    <w:rsid w:val="49217DF9"/>
    <w:rsid w:val="4941408E"/>
    <w:rsid w:val="494D47E1"/>
    <w:rsid w:val="4AB34B18"/>
    <w:rsid w:val="4C4507B6"/>
    <w:rsid w:val="4D8B14D9"/>
    <w:rsid w:val="4DB33B09"/>
    <w:rsid w:val="4F1813ED"/>
    <w:rsid w:val="4FA30A16"/>
    <w:rsid w:val="525C3CE7"/>
    <w:rsid w:val="528E3D51"/>
    <w:rsid w:val="53D55AFF"/>
    <w:rsid w:val="55B44A7B"/>
    <w:rsid w:val="560E70A6"/>
    <w:rsid w:val="583B7EFB"/>
    <w:rsid w:val="58B061F7"/>
    <w:rsid w:val="5B305D11"/>
    <w:rsid w:val="5B4F0B23"/>
    <w:rsid w:val="5B4F731A"/>
    <w:rsid w:val="5D9A3915"/>
    <w:rsid w:val="5EA7453C"/>
    <w:rsid w:val="5F573763"/>
    <w:rsid w:val="5FC01AAC"/>
    <w:rsid w:val="61D513C0"/>
    <w:rsid w:val="621C33F7"/>
    <w:rsid w:val="621E4B15"/>
    <w:rsid w:val="637C5F97"/>
    <w:rsid w:val="666902A6"/>
    <w:rsid w:val="68464DC5"/>
    <w:rsid w:val="692A78CC"/>
    <w:rsid w:val="69D81A4D"/>
    <w:rsid w:val="69F97043"/>
    <w:rsid w:val="6A2373A8"/>
    <w:rsid w:val="6A627569"/>
    <w:rsid w:val="6CCA3A1C"/>
    <w:rsid w:val="6E577D47"/>
    <w:rsid w:val="6F170AB2"/>
    <w:rsid w:val="6F9562E9"/>
    <w:rsid w:val="70756248"/>
    <w:rsid w:val="709B2013"/>
    <w:rsid w:val="70AF4C91"/>
    <w:rsid w:val="71267542"/>
    <w:rsid w:val="71706A0F"/>
    <w:rsid w:val="723D2D95"/>
    <w:rsid w:val="7248226E"/>
    <w:rsid w:val="72783DCD"/>
    <w:rsid w:val="75A803EA"/>
    <w:rsid w:val="76E2215D"/>
    <w:rsid w:val="771B020D"/>
    <w:rsid w:val="77435AB2"/>
    <w:rsid w:val="78407BB7"/>
    <w:rsid w:val="78533470"/>
    <w:rsid w:val="79A47B9E"/>
    <w:rsid w:val="7A220727"/>
    <w:rsid w:val="7AFD1314"/>
    <w:rsid w:val="7B1F572E"/>
    <w:rsid w:val="7B95154C"/>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0"/>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1"/>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50" w:hanging="850"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Times New Roman" w:hAnsi="Times New Roman" w:eastAsia="宋体" w:cs="Times New Roman"/>
      <w:bCs/>
      <w:color w:val="1C1F23"/>
      <w:kern w:val="44"/>
      <w:sz w:val="36"/>
      <w:szCs w:val="24"/>
    </w:rPr>
  </w:style>
  <w:style w:type="character" w:customStyle="1" w:styleId="21">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sv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5062</Words>
  <Characters>6024</Characters>
  <Lines>0</Lines>
  <Paragraphs>0</Paragraphs>
  <TotalTime>104</TotalTime>
  <ScaleCrop>false</ScaleCrop>
  <LinksUpToDate>false</LinksUpToDate>
  <CharactersWithSpaces>6129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2026-02-05T11:38:04Z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