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1FD5EA5">
      <w:pPr>
        <w:pStyle w:val="2"/>
        <w:pageBreakBefore w:val="0"/>
        <w:numPr>
          <w:ilvl w:val="0"/>
          <w:numId w:val="0"/>
        </w:numPr>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lang w:val="en-US" w:eastAsia="zh-CN"/>
        </w:rPr>
      </w:pPr>
      <w:r>
        <w:rPr>
          <w:rFonts w:hint="eastAsia"/>
          <w:lang w:val="en-US" w:eastAsia="zh-CN"/>
        </w:rPr>
        <w:t>摘要</w:t>
      </w:r>
    </w:p>
    <w:p w14:paraId="13E27006">
      <w:pPr>
        <w:pStyle w:val="2"/>
        <w:pageBreakBefore w:val="0"/>
        <w:numPr>
          <w:ilvl w:val="0"/>
          <w:numId w:val="0"/>
        </w:numPr>
        <w:kinsoku/>
        <w:wordWrap/>
        <w:overflowPunct/>
        <w:topLinePunct w:val="0"/>
        <w:autoSpaceDE/>
        <w:autoSpaceDN/>
        <w:bidi w:val="0"/>
        <w:adjustRightInd/>
        <w:spacing w:beforeAutospacing="0" w:afterAutospacing="0" w:line="360" w:lineRule="auto"/>
        <w:ind w:leftChars="0"/>
        <w:jc w:val="center"/>
        <w:textAlignment w:val="auto"/>
        <w:rPr>
          <w:rFonts w:hint="default"/>
          <w:lang w:val="en-US" w:eastAsia="zh-CN"/>
        </w:rPr>
      </w:pPr>
      <w:r>
        <w:rPr>
          <w:rFonts w:hint="default"/>
          <w:lang w:val="en-US" w:eastAsia="zh-CN"/>
        </w:rPr>
        <w:t>Abstract</w:t>
      </w:r>
    </w:p>
    <w:p w14:paraId="25468181">
      <w:pPr>
        <w:pStyle w:val="2"/>
        <w:pageBreakBefore w:val="0"/>
        <w:kinsoku/>
        <w:wordWrap/>
        <w:overflowPunct/>
        <w:topLinePunct w:val="0"/>
        <w:autoSpaceDE/>
        <w:autoSpaceDN/>
        <w:bidi w:val="0"/>
        <w:adjustRightInd/>
        <w:spacing w:beforeAutospacing="0" w:afterAutospacing="0" w:line="360" w:lineRule="auto"/>
        <w:ind w:left="425" w:leftChars="0" w:hanging="425" w:firstLineChars="0"/>
        <w:jc w:val="both"/>
        <w:textAlignment w:val="auto"/>
        <w:rPr>
          <w:rFonts w:hint="default"/>
          <w:lang w:val="en-US" w:eastAsia="zh-CN"/>
        </w:rPr>
      </w:pPr>
      <w:r>
        <w:rPr>
          <w:rFonts w:hint="eastAsia"/>
          <w:lang w:val="en-US" w:eastAsia="zh-CN"/>
        </w:rPr>
        <w:t>引言</w:t>
      </w:r>
    </w:p>
    <w:p w14:paraId="10176C5D">
      <w:pPr>
        <w:pStyle w:val="3"/>
        <w:pageBreakBefore w:val="0"/>
        <w:kinsoku/>
        <w:wordWrap/>
        <w:overflowPunct/>
        <w:topLinePunct w:val="0"/>
        <w:autoSpaceDE/>
        <w:autoSpaceDN/>
        <w:bidi w:val="0"/>
        <w:adjustRightInd/>
        <w:spacing w:beforeAutospacing="0" w:afterAutospacing="0" w:line="360" w:lineRule="auto"/>
        <w:textAlignment w:val="auto"/>
        <w:rPr>
          <w:rFonts w:hint="eastAsia"/>
          <w:lang w:val="en-US" w:eastAsia="zh-CN"/>
        </w:rPr>
      </w:pPr>
      <w:r>
        <w:rPr>
          <w:rFonts w:hint="eastAsia"/>
          <w:lang w:val="en-US" w:eastAsia="zh-CN"/>
        </w:rPr>
        <w:t>研究背景及意义</w:t>
      </w:r>
    </w:p>
    <w:p w14:paraId="46205AEB">
      <w:pPr>
        <w:pageBreakBefore w:val="0"/>
        <w:kinsoku/>
        <w:wordWrap/>
        <w:overflowPunct/>
        <w:topLinePunct w:val="0"/>
        <w:autoSpaceDE/>
        <w:autoSpaceDN/>
        <w:bidi w:val="0"/>
        <w:adjustRightInd/>
        <w:spacing w:beforeAutospacing="0" w:afterAutospacing="0" w:line="360" w:lineRule="auto"/>
        <w:ind w:firstLine="480"/>
        <w:textAlignment w:val="auto"/>
      </w:pPr>
      <w:r>
        <w:rPr>
          <w:rFonts w:hint="eastAsia"/>
        </w:rPr>
        <w:t>药物研发是一个复杂且漫长的过程，面临着诸多挑战。其中，高成本、长周期和低成功率是最为突出的问题。对于</w:t>
      </w:r>
      <w:r>
        <w:t>药物</w:t>
      </w:r>
      <w:r>
        <w:rPr>
          <w:rFonts w:hint="eastAsia"/>
        </w:rPr>
        <w:t>分子</w:t>
      </w:r>
      <w:r>
        <w:t>的发现与优化，实质上是围绕“分子—性质—功能”三元关系的高强度迭代：给定一个候选分子，需要在极其广阔的化学空间中快速、可靠地推断其理化、生物活性与安全性属性（如溶解度、渗透性、代谢稳定性、毒性、结合/抑制活性等），以决定是否继续合成、筛选与优化。传统药物化学依赖实验驱动的高通量筛选与定向合成，这些流程耗时、昂贵且试错率高。如何在“湿实验”发生前，利用计算方法快速预测分子性质、缩小搜索空间，已成为现代药物研发的关键抓手之一。Therapeutics Data Commons（TDC）将性质预测定义为小分子在体内的吸收、分布、代谢、排泄与毒性相关指标的机器学习建模任务，这些指标直接关系到药效与安全窗，是候选药物能否走到临床前/临床阶段的“硬门槛”。</w:t>
      </w:r>
    </w:p>
    <w:p w14:paraId="13A38E77">
      <w:pPr>
        <w:pageBreakBefore w:val="0"/>
        <w:kinsoku/>
        <w:wordWrap/>
        <w:overflowPunct/>
        <w:topLinePunct w:val="0"/>
        <w:autoSpaceDE/>
        <w:autoSpaceDN/>
        <w:bidi w:val="0"/>
        <w:adjustRightInd/>
        <w:spacing w:beforeAutospacing="0" w:afterAutospacing="0" w:line="360" w:lineRule="auto"/>
        <w:ind w:firstLine="480"/>
        <w:textAlignment w:val="auto"/>
        <w:rPr>
          <w:b/>
        </w:rPr>
      </w:pPr>
      <w:r>
        <w:rPr>
          <w:rStyle w:val="19"/>
          <w:rFonts w:ascii="宋体" w:hAnsi="宋体"/>
          <w:b w:val="0"/>
          <w:bCs/>
        </w:rPr>
        <w:t>机器学习的兴起</w:t>
      </w:r>
      <w:r>
        <w:t>显著改变了分子性质预测的范式。早期QSAR/QSPR方法依赖人工构建的分子描述符与指纹；近年来，深度学习可以端到端地从序列（SMILES/SELFIES）、图结构（原子为点、键为边）乃至三维几何构象中自动学习表征。MoleculeNe</w:t>
      </w:r>
      <w:r>
        <w:rPr>
          <w:rFonts w:hint="eastAsia"/>
        </w:rPr>
        <w:t>t</w:t>
      </w:r>
      <w:r>
        <w:fldChar w:fldCharType="begin"/>
      </w:r>
      <w:r>
        <w:instrText xml:space="preserve"> </w:instrText>
      </w:r>
      <w:r>
        <w:rPr>
          <w:rFonts w:hint="eastAsia"/>
        </w:rPr>
        <w:instrText xml:space="preserve">REF _Ref209798639 \r \h</w:instrText>
      </w:r>
      <w:r>
        <w:instrText xml:space="preserve"> </w:instrText>
      </w:r>
      <w:r>
        <w:fldChar w:fldCharType="separate"/>
      </w:r>
      <w:r>
        <w:t>[1]</w:t>
      </w:r>
      <w:r>
        <w:fldChar w:fldCharType="end"/>
      </w:r>
      <w:r>
        <w:t>的提出，系统整合了多种公开数据集与评价指标，推动了可比性的算法评测，也明确了数据稀疏、类别不平衡、物理约束融入不足等难题。</w:t>
      </w:r>
    </w:p>
    <w:p w14:paraId="3D8C958F">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在模型形态上，图神经网络（GNN）</w:t>
      </w:r>
      <w:r>
        <w:fldChar w:fldCharType="begin"/>
      </w:r>
      <w:r>
        <w:instrText xml:space="preserve"> REF _Ref209798908 \r \h </w:instrText>
      </w:r>
      <w:r>
        <w:fldChar w:fldCharType="separate"/>
      </w:r>
      <w:r>
        <w:t>[3]</w:t>
      </w:r>
      <w:r>
        <w:fldChar w:fldCharType="end"/>
      </w:r>
      <w:r>
        <w:t>成为分子图学习的主力；其后，Graph</w:t>
      </w:r>
      <w:r>
        <w:rPr>
          <w:rFonts w:hint="eastAsia"/>
        </w:rPr>
        <w:t xml:space="preserve"> </w:t>
      </w:r>
      <w:r>
        <w:rPr>
          <w:rStyle w:val="19"/>
          <w:b w:val="0"/>
          <w:bCs/>
        </w:rPr>
        <w:t>Transformer</w:t>
      </w:r>
      <w:r>
        <w:rPr>
          <w:rStyle w:val="19"/>
          <w:b w:val="0"/>
          <w:bCs/>
        </w:rPr>
        <w:fldChar w:fldCharType="begin"/>
      </w:r>
      <w:r>
        <w:rPr>
          <w:rStyle w:val="19"/>
          <w:b w:val="0"/>
          <w:bCs/>
        </w:rPr>
        <w:instrText xml:space="preserve"> REF _Ref209798994 \r \h </w:instrText>
      </w:r>
      <w:r>
        <w:rPr>
          <w:rStyle w:val="19"/>
          <w:b w:val="0"/>
          <w:bCs/>
        </w:rPr>
        <w:fldChar w:fldCharType="separate"/>
      </w:r>
      <w:r>
        <w:rPr>
          <w:rStyle w:val="19"/>
          <w:b w:val="0"/>
          <w:bCs/>
        </w:rPr>
        <w:t>[4]</w:t>
      </w:r>
      <w:r>
        <w:rPr>
          <w:rStyle w:val="19"/>
          <w:b w:val="0"/>
          <w:bCs/>
        </w:rPr>
        <w:fldChar w:fldCharType="end"/>
      </w:r>
      <w:r>
        <w:t>与</w:t>
      </w:r>
      <w:r>
        <w:rPr>
          <w:rStyle w:val="19"/>
          <w:b w:val="0"/>
          <w:bCs/>
        </w:rPr>
        <w:t>等变网络</w:t>
      </w:r>
      <w:r>
        <w:t>（SE(3)-Equivariant Transformers）</w:t>
      </w:r>
      <w:r>
        <w:fldChar w:fldCharType="begin"/>
      </w:r>
      <w:r>
        <w:instrText xml:space="preserve"> REF _Ref209799120 \r \h </w:instrText>
      </w:r>
      <w:r>
        <w:fldChar w:fldCharType="separate"/>
      </w:r>
      <w:r>
        <w:t>[5]</w:t>
      </w:r>
      <w:r>
        <w:fldChar w:fldCharType="end"/>
      </w:r>
      <w:r>
        <w:t>进一步拉高了上限。例如Graphormer</w:t>
      </w:r>
      <w:r>
        <w:fldChar w:fldCharType="begin"/>
      </w:r>
      <w:r>
        <w:instrText xml:space="preserve"> REF _Ref209799135 \r \h </w:instrText>
      </w:r>
      <w:r>
        <w:fldChar w:fldCharType="separate"/>
      </w:r>
      <w:r>
        <w:t>[6]</w:t>
      </w:r>
      <w:r>
        <w:fldChar w:fldCharType="end"/>
      </w:r>
      <w:r>
        <w:t>在大规模分子性质任务上展现出强竞争力，并探索了面向3D建模的适配；而</w:t>
      </w:r>
      <w:r>
        <w:rPr>
          <w:rStyle w:val="19"/>
          <w:b w:val="0"/>
          <w:bCs/>
        </w:rPr>
        <w:t>Uni-Mol</w:t>
      </w:r>
      <w:r>
        <w:rPr>
          <w:rStyle w:val="19"/>
          <w:b w:val="0"/>
          <w:bCs/>
        </w:rPr>
        <w:fldChar w:fldCharType="begin"/>
      </w:r>
      <w:r>
        <w:rPr>
          <w:rStyle w:val="19"/>
          <w:b w:val="0"/>
          <w:bCs/>
        </w:rPr>
        <w:instrText xml:space="preserve"> REF _Ref209799332 \r \h </w:instrText>
      </w:r>
      <w:r>
        <w:rPr>
          <w:rStyle w:val="19"/>
          <w:b w:val="0"/>
          <w:bCs/>
        </w:rPr>
        <w:fldChar w:fldCharType="separate"/>
      </w:r>
      <w:r>
        <w:rPr>
          <w:rStyle w:val="19"/>
          <w:b w:val="0"/>
          <w:bCs/>
        </w:rPr>
        <w:t>[7]</w:t>
      </w:r>
      <w:r>
        <w:rPr>
          <w:rStyle w:val="19"/>
          <w:b w:val="0"/>
          <w:bCs/>
        </w:rPr>
        <w:fldChar w:fldCharType="end"/>
      </w:r>
      <w:r>
        <w:t>则以2.09亿三维分子构象与300万蛋白口袋数据进行预训练，显著扩展了下游任务适用性与表征能力，代表了“分子基础模型”的重要方向。2024年开始，面向分子图的基础模型（如MolE</w:t>
      </w:r>
      <w:r>
        <w:fldChar w:fldCharType="begin"/>
      </w:r>
      <w:r>
        <w:instrText xml:space="preserve"> REF _Ref209799418 \r \h </w:instrText>
      </w:r>
      <w:r>
        <w:fldChar w:fldCharType="separate"/>
      </w:r>
      <w:r>
        <w:t>[8]</w:t>
      </w:r>
      <w:r>
        <w:fldChar w:fldCharType="end"/>
      </w:r>
      <w:r>
        <w:t>）进一步强调可迁移性与通用性，凸显“预训练—微调”在化学空间的有效性</w:t>
      </w:r>
      <w:r>
        <w:rPr>
          <w:rFonts w:hint="eastAsia"/>
        </w:rPr>
        <w:t>。</w:t>
      </w:r>
    </w:p>
    <w:p w14:paraId="2D97B3DD">
      <w:pPr>
        <w:pageBreakBefore w:val="0"/>
        <w:kinsoku/>
        <w:wordWrap/>
        <w:overflowPunct/>
        <w:topLinePunct w:val="0"/>
        <w:autoSpaceDE/>
        <w:autoSpaceDN/>
        <w:bidi w:val="0"/>
        <w:adjustRightInd/>
        <w:spacing w:beforeAutospacing="0" w:afterAutospacing="0" w:line="360" w:lineRule="auto"/>
        <w:ind w:firstLine="480"/>
        <w:textAlignment w:val="auto"/>
      </w:pPr>
      <w:r>
        <w:rPr>
          <w:rStyle w:val="19"/>
          <w:rFonts w:ascii="宋体" w:hAnsi="宋体" w:cs="宋体"/>
          <w:b w:val="0"/>
          <w:bCs/>
        </w:rPr>
        <w:t>单一模态的表达难以穷尽分子的多尺度、多物理、多语义特征</w:t>
      </w:r>
      <w:r>
        <w:rPr>
          <w:rFonts w:cs="宋体"/>
          <w:b/>
          <w:bCs/>
        </w:rPr>
        <w:t>，</w:t>
      </w:r>
      <w:r>
        <w:rPr>
          <w:rFonts w:cs="宋体"/>
        </w:rPr>
        <w:t>在跨数据集泛化、模态缺失鲁棒与可解释审计方面均存在短板</w:t>
      </w:r>
      <w:r>
        <w:rPr>
          <w:rFonts w:hint="eastAsia" w:cs="宋体"/>
        </w:rPr>
        <w:t>。</w:t>
      </w:r>
      <w:r>
        <w:br w:type="textWrapping"/>
      </w:r>
      <w:r>
        <w:t>1）</w:t>
      </w:r>
      <w:r>
        <w:rPr>
          <w:rStyle w:val="19"/>
          <w:b w:val="0"/>
          <w:bCs/>
        </w:rPr>
        <w:t>模态表达互补性</w:t>
      </w:r>
      <w:r>
        <w:t>：序列便于规模化预训练但丢失几何约束；2D图反映键连拓扑却难显式捕获立体构型；3D几何提供构象级信息但对数据获取、等变建模提出挑战。</w:t>
      </w:r>
      <w:r>
        <w:br w:type="textWrapping"/>
      </w:r>
      <w:r>
        <w:t>2）</w:t>
      </w:r>
      <w:r>
        <w:rPr>
          <w:rStyle w:val="19"/>
          <w:b w:val="0"/>
          <w:bCs/>
        </w:rPr>
        <w:t>任务域迁移与模态缺失</w:t>
      </w:r>
      <w:r>
        <w:t>：下游场景中常缺乏某些辅助模态（如文本描述、谱图、蛋白口袋），导致“训练—推理模态不一致”。</w:t>
      </w:r>
      <w:r>
        <w:br w:type="textWrapping"/>
      </w:r>
      <w:r>
        <w:t>3）</w:t>
      </w:r>
      <w:r>
        <w:rPr>
          <w:rStyle w:val="19"/>
          <w:b w:val="0"/>
          <w:bCs/>
        </w:rPr>
        <w:t>数据质量与评测体系</w:t>
      </w:r>
      <w:r>
        <w:t>：不同实验条件/平台带来的标签噪声与域偏移，给模型泛化带来挑战；即便MoleculeNet带来了统一起点，仍有研究指出当前基准在构造、划分与现实贴合度上存在改进空间，需要更贴近真实药研流程的评测方案与拆分策略。</w:t>
      </w:r>
    </w:p>
    <w:p w14:paraId="218F2754">
      <w:pPr>
        <w:pageBreakBefore w:val="0"/>
        <w:kinsoku/>
        <w:wordWrap/>
        <w:overflowPunct/>
        <w:topLinePunct w:val="0"/>
        <w:autoSpaceDE/>
        <w:autoSpaceDN/>
        <w:bidi w:val="0"/>
        <w:adjustRightInd/>
        <w:spacing w:beforeAutospacing="0" w:afterAutospacing="0" w:line="360" w:lineRule="auto"/>
        <w:ind w:firstLine="480"/>
        <w:textAlignment w:val="auto"/>
      </w:pPr>
      <w:r>
        <w:t>为缓解上述问题，近</w:t>
      </w:r>
      <w:r>
        <w:rPr>
          <w:rFonts w:hint="eastAsia"/>
        </w:rPr>
        <w:t>些年来，有些</w:t>
      </w:r>
      <w:r>
        <w:t>研究沿两条主线推进：</w:t>
      </w:r>
    </w:p>
    <w:p w14:paraId="4CEFE05D">
      <w:pPr>
        <w:pageBreakBefore w:val="0"/>
        <w:kinsoku/>
        <w:wordWrap/>
        <w:overflowPunct/>
        <w:topLinePunct w:val="0"/>
        <w:autoSpaceDE/>
        <w:autoSpaceDN/>
        <w:bidi w:val="0"/>
        <w:adjustRightInd/>
        <w:spacing w:beforeAutospacing="0" w:afterAutospacing="0" w:line="360" w:lineRule="auto"/>
        <w:ind w:firstLine="480"/>
        <w:textAlignment w:val="auto"/>
      </w:pPr>
      <w:r>
        <w:t>多模态融合：将序列、2D图与3D几何</w:t>
      </w:r>
      <w:r>
        <w:rPr>
          <w:rFonts w:hint="eastAsia"/>
        </w:rPr>
        <w:t>、</w:t>
      </w:r>
      <w:r>
        <w:t>甚至谱学、性质文本、知识图谱进行联合表示学习，以获取更全面的分子刻画。SGGRL</w:t>
      </w:r>
      <w:r>
        <w:fldChar w:fldCharType="begin"/>
      </w:r>
      <w:r>
        <w:instrText xml:space="preserve"> REF _Ref209799621 \r \h </w:instrText>
      </w:r>
      <w:r>
        <w:fldChar w:fldCharType="separate"/>
      </w:r>
      <w:r>
        <w:t>[9]</w:t>
      </w:r>
      <w:r>
        <w:fldChar w:fldCharType="end"/>
      </w:r>
      <w:r>
        <w:t>即在融合层中对多模态表示进行统一，并通过对比学习实现“同分子跨模态一致、异分子可分”的目标；而</w:t>
      </w:r>
      <w:r>
        <w:rPr>
          <w:rFonts w:hint="eastAsia"/>
        </w:rPr>
        <w:t>MolFPG</w:t>
      </w:r>
      <w:r>
        <w:fldChar w:fldCharType="begin"/>
      </w:r>
      <w:r>
        <w:instrText xml:space="preserve"> </w:instrText>
      </w:r>
      <w:r>
        <w:rPr>
          <w:rFonts w:hint="eastAsia"/>
        </w:rPr>
        <w:instrText xml:space="preserve">REF _Ref209951133 \r \h</w:instrText>
      </w:r>
      <w:r>
        <w:instrText xml:space="preserve"> </w:instrText>
      </w:r>
      <w:r>
        <w:fldChar w:fldCharType="separate"/>
      </w:r>
      <w:r>
        <w:t>[10]</w:t>
      </w:r>
      <w:r>
        <w:fldChar w:fldCharType="end"/>
      </w:r>
      <w:r>
        <w:t>进一步将指纹、图、三维构象结合，引入自适应注意力与对抗式对比学习来提升鲁棒性与可解释性。</w:t>
      </w:r>
    </w:p>
    <w:p w14:paraId="599518B8">
      <w:pPr>
        <w:pageBreakBefore w:val="0"/>
        <w:kinsoku/>
        <w:wordWrap/>
        <w:overflowPunct/>
        <w:topLinePunct w:val="0"/>
        <w:autoSpaceDE/>
        <w:autoSpaceDN/>
        <w:bidi w:val="0"/>
        <w:adjustRightInd/>
        <w:spacing w:beforeAutospacing="0" w:afterAutospacing="0" w:line="360" w:lineRule="auto"/>
        <w:ind w:firstLine="480"/>
        <w:textAlignment w:val="auto"/>
        <w:rPr>
          <w:rFonts w:hint="eastAsia"/>
        </w:rPr>
      </w:pPr>
      <w:r>
        <w:t>知识增强与文本信号：MolPrompt</w:t>
      </w:r>
      <w:r>
        <w:fldChar w:fldCharType="begin"/>
      </w:r>
      <w:r>
        <w:instrText xml:space="preserve"> REF _Ref209951224 \r \h </w:instrText>
      </w:r>
      <w:r>
        <w:fldChar w:fldCharType="separate"/>
      </w:r>
      <w:r>
        <w:t>[11]</w:t>
      </w:r>
      <w:r>
        <w:fldChar w:fldCharType="end"/>
      </w:r>
      <w:r>
        <w:t>用图编码器（Graphormer）与文本编码器（BERT</w:t>
      </w:r>
      <w:r>
        <w:fldChar w:fldCharType="begin"/>
      </w:r>
      <w:r>
        <w:instrText xml:space="preserve"> REF _Ref209951395 \r \h </w:instrText>
      </w:r>
      <w:r>
        <w:fldChar w:fldCharType="separate"/>
      </w:r>
      <w:r>
        <w:t>[12]</w:t>
      </w:r>
      <w:r>
        <w:fldChar w:fldCharType="end"/>
      </w:r>
      <w:r>
        <w:t>）双塔对比，关键在于把理化描述符转写为“知识提示”并注入图侧，引导结构—知识的对齐，使模型更好地理解“结构—性质”的规律并提升可迁移性</w:t>
      </w:r>
      <w:r>
        <w:rPr>
          <w:rFonts w:hint="eastAsia"/>
        </w:rPr>
        <w:t>。</w:t>
      </w:r>
      <w:r>
        <w:t>与此同时，</w:t>
      </w:r>
      <w:r>
        <w:rPr>
          <w:rStyle w:val="19"/>
          <w:b w:val="0"/>
          <w:bCs/>
        </w:rPr>
        <w:t>GNN范式</w:t>
      </w:r>
      <w:r>
        <w:t>仍在快速演化，例如面向“最短链路传讯”的chain-aware GNN</w:t>
      </w:r>
      <w:r>
        <w:fldChar w:fldCharType="begin"/>
      </w:r>
      <w:r>
        <w:instrText xml:space="preserve"> REF _Ref209951506 \r \h </w:instrText>
      </w:r>
      <w:r>
        <w:fldChar w:fldCharType="separate"/>
      </w:r>
      <w:r>
        <w:t>[13]</w:t>
      </w:r>
      <w:r>
        <w:fldChar w:fldCharType="end"/>
      </w:r>
      <w:r>
        <w:t>、可解释性与参数效率并重的KA-GNN</w:t>
      </w:r>
      <w:r>
        <w:fldChar w:fldCharType="begin"/>
      </w:r>
      <w:r>
        <w:instrText xml:space="preserve"> REF _Ref209951522 \r \h </w:instrText>
      </w:r>
      <w:r>
        <w:fldChar w:fldCharType="separate"/>
      </w:r>
      <w:r>
        <w:t>[14]</w:t>
      </w:r>
      <w:r>
        <w:fldChar w:fldCharType="end"/>
      </w:r>
      <w:r>
        <w:t>等，体现出在几何学习、长程依赖与可解释方面的持续改良。</w:t>
      </w:r>
    </w:p>
    <w:p w14:paraId="7876C008">
      <w:pPr>
        <w:pageBreakBefore w:val="0"/>
        <w:kinsoku/>
        <w:wordWrap/>
        <w:overflowPunct/>
        <w:topLinePunct w:val="0"/>
        <w:autoSpaceDE/>
        <w:autoSpaceDN/>
        <w:bidi w:val="0"/>
        <w:adjustRightInd/>
        <w:spacing w:beforeAutospacing="0" w:afterAutospacing="0" w:line="360" w:lineRule="auto"/>
        <w:ind w:firstLine="480"/>
        <w:textAlignment w:val="auto"/>
      </w:pPr>
      <w:r>
        <w:t>综上，分子性质预测正从“单一模态与任务定制模型”加速迈向“多模态、知识增强与基础模型”的阶段：既追求准确率/鲁棒性提升，也强调可解释性、迁移性与现实可用性。</w:t>
      </w:r>
    </w:p>
    <w:p w14:paraId="0D64043A">
      <w:pPr>
        <w:pageBreakBefore w:val="0"/>
        <w:numPr>
          <w:ilvl w:val="0"/>
          <w:numId w:val="0"/>
        </w:numPr>
        <w:kinsoku/>
        <w:wordWrap/>
        <w:overflowPunct/>
        <w:topLinePunct w:val="0"/>
        <w:autoSpaceDE/>
        <w:autoSpaceDN/>
        <w:bidi w:val="0"/>
        <w:adjustRightInd/>
        <w:spacing w:beforeAutospacing="0" w:afterAutospacing="0" w:line="360" w:lineRule="auto"/>
        <w:ind w:leftChars="0"/>
        <w:textAlignment w:val="auto"/>
      </w:pPr>
      <w:r>
        <w:t>多模态预训练与跨模态对齐，有望把“序列法则—拓扑约束—三维物理”与“理化知识—文本先验”纳入统一表征空间，缩短“结构—性质”的语义鸿沟，为“化学语言学—图几何—物理先验”的综合建模提供路径。Uni-Mol</w:t>
      </w:r>
      <w:r>
        <w:fldChar w:fldCharType="begin"/>
      </w:r>
      <w:r>
        <w:instrText xml:space="preserve"> REF _Ref209951676 \r \h </w:instrText>
      </w:r>
      <w:r>
        <w:fldChar w:fldCharType="separate"/>
      </w:r>
      <w:r>
        <w:t>[15]</w:t>
      </w:r>
      <w:r>
        <w:fldChar w:fldCharType="end"/>
      </w:r>
      <w:r>
        <w:t>、MolE</w:t>
      </w:r>
      <w:r>
        <w:fldChar w:fldCharType="begin"/>
      </w:r>
      <w:r>
        <w:instrText xml:space="preserve"> REF _Ref209951740 \r \h </w:instrText>
      </w:r>
      <w:r>
        <w:fldChar w:fldCharType="separate"/>
      </w:r>
      <w:r>
        <w:t>[16]</w:t>
      </w:r>
      <w:r>
        <w:fldChar w:fldCharType="end"/>
      </w:r>
      <w:r>
        <w:t>等工作表明，一旦预训练语料与任务谱系足够广，模型对陌生化学子空间具备更强的可迁移性，这对于探索“暗化学空间”尤为关键。</w:t>
      </w:r>
      <w:r>
        <w:rPr>
          <w:rFonts w:hint="eastAsia"/>
        </w:rPr>
        <w:t>并且</w:t>
      </w:r>
      <w:r>
        <w:t>仅依赖统计相关性的黑箱模型难以经受药学验证。通过引入3D构象、等变约束、能量/相互作用先验与药理知识文本提示，模型可在一定程度上朝“结构—相互作用—性质”的</w:t>
      </w:r>
      <w:r>
        <w:rPr>
          <w:rStyle w:val="19"/>
          <w:b w:val="0"/>
          <w:bCs/>
        </w:rPr>
        <w:t>机制一致性</w:t>
      </w:r>
      <w:r>
        <w:t>逼近，提升外推能力与解释力。Graphormer适配3D建模、等变Transformer</w:t>
      </w:r>
      <w:r>
        <w:fldChar w:fldCharType="begin"/>
      </w:r>
      <w:r>
        <w:instrText xml:space="preserve"> REF _Ref209951814 \r \h </w:instrText>
      </w:r>
      <w:r>
        <w:fldChar w:fldCharType="separate"/>
      </w:r>
      <w:r>
        <w:t>[17]</w:t>
      </w:r>
      <w:r>
        <w:fldChar w:fldCharType="end"/>
      </w:r>
      <w:r>
        <w:t>实践以及知识提示注入，某种程度上都体现了“物理/知识一致性”的趋势。</w:t>
      </w:r>
      <w:r>
        <w:rPr>
          <w:rFonts w:hint="eastAsia"/>
        </w:rPr>
        <w:t>在基准数据集上，</w:t>
      </w:r>
      <w:r>
        <w:t>MoleculeNet奠定了评测基础，但也暴露了与真实流程的差距。围绕更合理的数据拆分（基于Murcko scaffold、时序拆分等）、更贴近研发生命线的指标组合（多任务、多目标权衡）、更严谨的统计检验，学界与业界正形成共识。对基准的持续打磨不仅防止“过拟合基准”，也将指引模型走向真正可用。</w:t>
      </w:r>
    </w:p>
    <w:p w14:paraId="48E58DF1">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国内外研究现状</w:t>
      </w:r>
    </w:p>
    <w:p w14:paraId="56844CE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6A45F2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主要研究内容</w:t>
      </w:r>
    </w:p>
    <w:p w14:paraId="43E463B2">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6E0F7636">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本文组织架构</w:t>
      </w:r>
    </w:p>
    <w:p w14:paraId="17FC1B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5C3B04A">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default"/>
          <w:lang w:val="en-US" w:eastAsia="zh-CN"/>
        </w:rPr>
      </w:pPr>
      <w:r>
        <w:rPr>
          <w:rFonts w:hint="eastAsia"/>
          <w:lang w:val="en-US" w:eastAsia="zh-CN"/>
        </w:rPr>
        <w:t>相关理论基础</w:t>
      </w:r>
    </w:p>
    <w:p w14:paraId="69DBF46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多模态数据语义对齐</w:t>
      </w:r>
    </w:p>
    <w:p w14:paraId="4924549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这厮国内外现状这厮国内外现状这厮国内外现状这厮国内外现状这厮国内外现状这厮国内外现状</w:t>
      </w:r>
    </w:p>
    <w:p w14:paraId="34CE5D4E">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图神经网络</w:t>
      </w:r>
    </w:p>
    <w:p w14:paraId="245B08E2">
      <w:pPr>
        <w:pStyle w:val="3"/>
        <w:bidi w:val="0"/>
        <w:rPr>
          <w:rFonts w:hint="default"/>
          <w:lang w:val="en-US" w:eastAsia="zh-CN"/>
        </w:rPr>
      </w:pPr>
      <w:r>
        <w:rPr>
          <w:rFonts w:hint="eastAsia"/>
          <w:lang w:val="en-US" w:eastAsia="zh-CN"/>
        </w:rPr>
        <w:t>消息传递协议</w:t>
      </w:r>
    </w:p>
    <w:p w14:paraId="49F8392A">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提示词工程</w:t>
      </w:r>
    </w:p>
    <w:p w14:paraId="744ADB0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default"/>
          <w:lang w:val="en-US" w:eastAsia="zh-CN"/>
        </w:rPr>
      </w:pPr>
      <w:r>
        <w:rPr>
          <w:rFonts w:hint="eastAsia"/>
          <w:lang w:val="en-US" w:eastAsia="zh-CN"/>
        </w:rPr>
        <w:t>这厮国内外现状这厮国内外现状这厮国内外现状这厮国内外现状这厮国内外现状这厮国内外现状</w:t>
      </w:r>
    </w:p>
    <w:p w14:paraId="5B3CDD47">
      <w:pPr>
        <w:pStyle w:val="2"/>
        <w:pageBreakBefore w:val="0"/>
        <w:kinsoku/>
        <w:wordWrap/>
        <w:overflowPunct/>
        <w:topLinePunct w:val="0"/>
        <w:autoSpaceDE/>
        <w:autoSpaceDN/>
        <w:bidi w:val="0"/>
        <w:adjustRightInd/>
        <w:spacing w:beforeAutospacing="0" w:afterAutospacing="0" w:line="360" w:lineRule="auto"/>
        <w:ind w:left="425" w:leftChars="0" w:hanging="425" w:firstLineChars="0"/>
        <w:textAlignment w:val="auto"/>
        <w:rPr>
          <w:rFonts w:hint="eastAsia"/>
          <w:lang w:val="en-US" w:eastAsia="zh-CN"/>
        </w:rPr>
      </w:pPr>
      <w:r>
        <w:rPr>
          <w:rFonts w:hint="eastAsia"/>
          <w:lang w:val="en-US" w:eastAsia="zh-CN"/>
        </w:rPr>
        <w:t>基于知识增强以图为中心的分子性质预测方法</w:t>
      </w:r>
    </w:p>
    <w:p w14:paraId="0D57CF84">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模型设计与描述</w:t>
      </w:r>
    </w:p>
    <w:p w14:paraId="40A55EF4">
      <w:pPr>
        <w:bidi w:val="0"/>
        <w:rPr>
          <w:rFonts w:hint="eastAsia"/>
          <w:lang w:val="en-US" w:eastAsia="zh-CN"/>
        </w:rPr>
      </w:pPr>
      <w:r>
        <w:rPr>
          <w:rFonts w:hint="eastAsia"/>
          <w:lang w:val="en-US" w:eastAsia="zh-CN"/>
        </w:rPr>
        <w:t>在本章节中我们提出了一个基于知识增强得多模态数据药物分子预测框架，更具体得说我么提出了一个XXX框架，这是一个可以将多通道数据对齐到同一空间的框架，在预训练阶段我们采用对比学习和交叉注意力机制来进行训练，对于下游的分子性质预测任务我们通过MLP来进行灵活得预测。</w:t>
      </w:r>
    </w:p>
    <w:p w14:paraId="16D0604F">
      <w:pPr>
        <w:pageBreakBefore w:val="0"/>
        <w:kinsoku/>
        <w:wordWrap/>
        <w:overflowPunct/>
        <w:topLinePunct w:val="0"/>
        <w:autoSpaceDE/>
        <w:autoSpaceDN/>
        <w:bidi w:val="0"/>
        <w:adjustRightInd/>
        <w:spacing w:beforeAutospacing="0" w:afterAutospacing="0" w:line="360" w:lineRule="auto"/>
        <w:textAlignment w:val="auto"/>
        <w:rPr>
          <w:rFonts w:hint="eastAsia"/>
          <w:b w:val="0"/>
          <w:bCs w:val="0"/>
          <w:lang w:val="en-US" w:eastAsia="zh-CN"/>
        </w:rPr>
      </w:pPr>
      <w:r>
        <w:rPr>
          <w:rFonts w:hint="eastAsia"/>
          <w:b w:val="0"/>
          <w:bCs w:val="0"/>
          <w:lang w:val="en-US" w:eastAsia="zh-CN"/>
        </w:rPr>
        <w:t>此框架采用预训练-微调范式，此框架包含一个对比学习的预训练模块，用于生成各个模态的分子表示并进行语义对齐，以及一个下游任务微调的模块，用于下游任务的分子性质预测。模型的总体框架可以划分为以下三个部分：模态专属编码器，统一的嵌入空间映射模块，基于交叉注意力机制的融合模块。模型的总体架构图如图所示：</w:t>
      </w:r>
    </w:p>
    <w:p w14:paraId="5DFC6081">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261610" cy="1695450"/>
            <wp:effectExtent l="0" t="0" r="11430" b="11430"/>
            <wp:docPr id="1" name="图片 1" descr="image-202601051710326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age-20260105171032679"/>
                    <pic:cNvPicPr>
                      <a:picLocks noChangeAspect="1"/>
                    </pic:cNvPicPr>
                  </pic:nvPicPr>
                  <pic:blipFill>
                    <a:blip r:embed="rId6"/>
                    <a:stretch>
                      <a:fillRect/>
                    </a:stretch>
                  </pic:blipFill>
                  <pic:spPr>
                    <a:xfrm>
                      <a:off x="0" y="0"/>
                      <a:ext cx="5261610" cy="1695450"/>
                    </a:xfrm>
                    <a:prstGeom prst="rect">
                      <a:avLst/>
                    </a:prstGeom>
                  </pic:spPr>
                </pic:pic>
              </a:graphicData>
            </a:graphic>
          </wp:inline>
        </w:drawing>
      </w:r>
    </w:p>
    <w:p w14:paraId="5BAD807B">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3.2.1 多模态总体框架</w:t>
      </w:r>
    </w:p>
    <w:p w14:paraId="2047E93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对于每一个预训练的分子，其在不同模态下的原始输入可表示为：</w:t>
      </w:r>
    </w:p>
    <w:p w14:paraId="43A12828">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X={Xgraph,Xsmiles,Xtext,Xfp}</w:t>
      </w:r>
    </w:p>
    <w:p w14:paraId="30E8EF9F">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其中每一个模态均通过一个独立的编码器进行特征提取，得到对应的高维表示。</w:t>
      </w:r>
    </w:p>
    <w:p w14:paraId="72DFB9AC">
      <w:pPr>
        <w:keepNext w:val="0"/>
        <w:keepLines w:val="0"/>
        <w:pageBreakBefore w:val="0"/>
        <w:widowControl/>
        <w:suppressLineNumbers w:val="0"/>
        <w:kinsoku/>
        <w:wordWrap/>
        <w:overflowPunct/>
        <w:topLinePunct w:val="0"/>
        <w:autoSpaceDE/>
        <w:autoSpaceDN/>
        <w:bidi w:val="0"/>
        <w:adjustRightInd/>
        <w:spacing w:beforeAutospacing="0" w:afterAutospacing="0" w:line="360" w:lineRule="auto"/>
        <w:jc w:val="left"/>
        <w:textAlignment w:val="auto"/>
      </w:pPr>
      <w:r>
        <w:rPr>
          <w:rFonts w:ascii="宋体" w:hAnsi="宋体" w:eastAsia="宋体" w:cs="宋体"/>
          <w:kern w:val="0"/>
          <w:sz w:val="24"/>
          <w:szCs w:val="24"/>
          <w:lang w:val="en-US" w:eastAsia="zh-CN" w:bidi="ar"/>
        </w:rPr>
        <w:t xml:space="preserve">Hm=fm(Xm),m∈{graph,smiles,text,fp} </w:t>
      </w:r>
    </w:p>
    <w:p w14:paraId="17C6CE4B">
      <w:pPr>
        <w:pStyle w:val="15"/>
        <w:keepNext w:val="0"/>
        <w:keepLines w:val="0"/>
        <w:pageBreakBefore w:val="0"/>
        <w:widowControl/>
        <w:suppressLineNumbers w:val="0"/>
        <w:kinsoku/>
        <w:wordWrap/>
        <w:overflowPunct/>
        <w:topLinePunct w:val="0"/>
        <w:autoSpaceDE/>
        <w:autoSpaceDN/>
        <w:bidi w:val="0"/>
        <w:adjustRightInd/>
        <w:spacing w:beforeAutospacing="0" w:afterAutospacing="0" w:line="360" w:lineRule="auto"/>
        <w:textAlignment w:val="auto"/>
      </w:pPr>
      <w:r>
        <w:t>由于不同模态的特征维度和表示空间存在显著差异，模型进一步通过投影层将各模态表示映射至统一的嵌入空间，为后续融合操作提供基础。</w:t>
      </w:r>
    </w:p>
    <w:p w14:paraId="430A1E6C">
      <w:pPr>
        <w:pageBreakBefore w:val="0"/>
        <w:widowControl w:val="0"/>
        <w:kinsoku/>
        <w:wordWrap/>
        <w:overflowPunct/>
        <w:topLinePunct w:val="0"/>
        <w:autoSpaceDE/>
        <w:autoSpaceDN/>
        <w:bidi w:val="0"/>
        <w:adjustRightInd/>
        <w:spacing w:beforeAutospacing="0" w:afterAutospacing="0" w:line="360" w:lineRule="auto"/>
        <w:ind w:left="0" w:leftChars="0" w:firstLine="0" w:firstLineChars="0"/>
        <w:jc w:val="both"/>
        <w:textAlignment w:val="auto"/>
        <w:rPr>
          <w:rFonts w:hint="eastAsia" w:ascii="Times New Roman" w:hAnsi="Times New Roman" w:eastAsia="宋体" w:cs="Times New Roman"/>
          <w:kern w:val="2"/>
          <w:sz w:val="21"/>
          <w:szCs w:val="24"/>
          <w:lang w:val="en-US" w:eastAsia="zh-CN" w:bidi="ar-SA"/>
        </w:rPr>
      </w:pPr>
      <w:r>
        <w:rPr>
          <w:rFonts w:hint="eastAsia" w:ascii="Times New Roman" w:hAnsi="Times New Roman" w:eastAsia="宋体" w:cs="Times New Roman"/>
          <w:kern w:val="2"/>
          <w:sz w:val="21"/>
          <w:szCs w:val="24"/>
          <w:lang w:val="en-US" w:eastAsia="zh-CN" w:bidi="ar-SA"/>
        </w:rPr>
        <w:t>3.2.2 编码器的设计</w:t>
      </w:r>
    </w:p>
    <w:p w14:paraId="0C96CE8C">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ascii="Times New Roman" w:hAnsi="Times New Roman" w:eastAsia="宋体" w:cs="Times New Roman"/>
          <w:kern w:val="2"/>
          <w:szCs w:val="24"/>
          <w:lang w:val="en-US" w:eastAsia="zh-CN" w:bidi="ar-SA"/>
        </w:rPr>
        <w:t>1</w:t>
      </w:r>
      <w:r>
        <w:rPr>
          <w:rFonts w:hint="eastAsia"/>
          <w:lang w:val="en-US" w:eastAsia="zh-CN"/>
        </w:rPr>
        <w:t>. 我们使用多个预训练模型作为我们的基座模型来进行预训练</w:t>
      </w:r>
    </w:p>
    <w:p w14:paraId="5F96528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3.2.3 同一空间映射</w:t>
      </w:r>
    </w:p>
    <w:p w14:paraId="5E7E9799">
      <w:pPr>
        <w:pageBreakBefore w:val="0"/>
        <w:kinsoku/>
        <w:wordWrap/>
        <w:overflowPunct/>
        <w:topLinePunct w:val="0"/>
        <w:autoSpaceDE/>
        <w:autoSpaceDN/>
        <w:bidi w:val="0"/>
        <w:adjustRightInd/>
        <w:spacing w:beforeAutospacing="0" w:afterAutospacing="0" w:line="360" w:lineRule="auto"/>
        <w:textAlignment w:val="auto"/>
      </w:pPr>
      <w:r>
        <w:t>为消除不同模态之间在表示维度和分布上的差异，模型在每个模态编码器之后引入投影层，将各模态输出映射到统一维度的嵌入空间：</w:t>
      </w:r>
    </w:p>
    <w:p w14:paraId="3528CF06">
      <w:pPr>
        <w:pageBreakBefore w:val="0"/>
        <w:kinsoku/>
        <w:wordWrap/>
        <w:overflowPunct/>
        <w:topLinePunct w:val="0"/>
        <w:autoSpaceDE/>
        <w:autoSpaceDN/>
        <w:bidi w:val="0"/>
        <w:adjustRightInd/>
        <w:spacing w:beforeAutospacing="0" w:afterAutospacing="0" w:line="360" w:lineRule="auto"/>
        <w:textAlignment w:val="auto"/>
      </w:pPr>
      <w:r>
        <w:rPr>
          <w:rFonts w:ascii="宋体" w:hAnsi="宋体" w:eastAsia="宋体" w:cs="宋体"/>
          <w:sz w:val="24"/>
          <w:szCs w:val="24"/>
        </w:rPr>
        <w:t>Zm=gm(Hm),Zm∈Rd</w:t>
      </w:r>
    </w:p>
    <w:p w14:paraId="146A5E80">
      <w:pPr>
        <w:pageBreakBefore w:val="0"/>
        <w:kinsoku/>
        <w:wordWrap/>
        <w:overflowPunct/>
        <w:topLinePunct w:val="0"/>
        <w:autoSpaceDE/>
        <w:autoSpaceDN/>
        <w:bidi w:val="0"/>
        <w:adjustRightInd/>
        <w:spacing w:beforeAutospacing="0" w:afterAutospacing="0" w:line="360" w:lineRule="auto"/>
        <w:textAlignment w:val="auto"/>
      </w:pPr>
      <w:r>
        <w:t>其中，ddd 表示统一的嵌入维度。</w:t>
      </w:r>
    </w:p>
    <w:p w14:paraId="1AC15636">
      <w:pPr>
        <w:pageBreakBefore w:val="0"/>
        <w:kinsoku/>
        <w:wordWrap/>
        <w:overflowPunct/>
        <w:topLinePunct w:val="0"/>
        <w:autoSpaceDE/>
        <w:autoSpaceDN/>
        <w:bidi w:val="0"/>
        <w:adjustRightInd/>
        <w:spacing w:beforeAutospacing="0" w:afterAutospacing="0" w:line="360" w:lineRule="auto"/>
        <w:textAlignment w:val="auto"/>
      </w:pPr>
      <w:r>
        <w:t>通过该映射操作，不同模态的分子表示能够在同一语义空间中进行比较与融合。</w:t>
      </w:r>
    </w:p>
    <w:p w14:paraId="3F0806E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pPr>
      <w:r>
        <w:t>3.2.4 多模态注意力融合机制</w:t>
      </w:r>
    </w:p>
    <w:p w14:paraId="0D67477D">
      <w:pPr>
        <w:pageBreakBefore w:val="0"/>
        <w:kinsoku/>
        <w:wordWrap/>
        <w:overflowPunct/>
        <w:topLinePunct w:val="0"/>
        <w:autoSpaceDE/>
        <w:autoSpaceDN/>
        <w:bidi w:val="0"/>
        <w:adjustRightInd/>
        <w:spacing w:beforeAutospacing="0" w:afterAutospacing="0" w:line="360" w:lineRule="auto"/>
        <w:textAlignment w:val="auto"/>
      </w:pPr>
      <w:r>
        <w:t>不同模态在描述分子性质时的重要性并非固定不变，而是会随分子类型和任务需求发生变化。为此，本研究引入注意力机制对多模态表示进行自适应融合。</w:t>
      </w:r>
    </w:p>
    <w:p w14:paraId="3E5FBF44">
      <w:pPr>
        <w:pageBreakBefore w:val="0"/>
        <w:kinsoku/>
        <w:wordWrap/>
        <w:overflowPunct/>
        <w:topLinePunct w:val="0"/>
        <w:autoSpaceDE/>
        <w:autoSpaceDN/>
        <w:bidi w:val="0"/>
        <w:adjustRightInd/>
        <w:spacing w:beforeAutospacing="0" w:afterAutospacing="0" w:line="360" w:lineRule="auto"/>
        <w:textAlignment w:val="auto"/>
      </w:pPr>
      <w:r>
        <w:t>具体而言，模型首先对各模态嵌入计算注意力权重：</w:t>
      </w:r>
    </w:p>
    <w:p w14:paraId="04B6C6B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αm=softmax(WZm)</w:t>
      </w:r>
    </w:p>
    <w:p w14:paraId="6861EE33">
      <w:pPr>
        <w:pageBreakBefore w:val="0"/>
        <w:kinsoku/>
        <w:wordWrap/>
        <w:overflowPunct/>
        <w:topLinePunct w:val="0"/>
        <w:autoSpaceDE/>
        <w:autoSpaceDN/>
        <w:bidi w:val="0"/>
        <w:adjustRightInd/>
        <w:spacing w:beforeAutospacing="0" w:afterAutospacing="0" w:line="360" w:lineRule="auto"/>
        <w:textAlignment w:val="auto"/>
      </w:pPr>
      <w:r>
        <w:t>其中，</w:t>
      </w:r>
      <w:r>
        <w:rPr>
          <w:rFonts w:ascii="宋体" w:hAnsi="宋体" w:eastAsia="宋体" w:cs="宋体"/>
          <w:sz w:val="24"/>
          <w:szCs w:val="24"/>
        </w:rPr>
        <w:t>αm\alpha^{m}αm 表示第 mmm 个模态的注意力权重。</w:t>
      </w:r>
    </w:p>
    <w:p w14:paraId="4589ED79">
      <w:pPr>
        <w:pageBreakBefore w:val="0"/>
        <w:kinsoku/>
        <w:wordWrap/>
        <w:overflowPunct/>
        <w:topLinePunct w:val="0"/>
        <w:autoSpaceDE/>
        <w:autoSpaceDN/>
        <w:bidi w:val="0"/>
        <w:adjustRightInd/>
        <w:spacing w:beforeAutospacing="0" w:afterAutospacing="0" w:line="360" w:lineRule="auto"/>
        <w:textAlignment w:val="auto"/>
      </w:pPr>
      <w:r>
        <w:t>最终的分子表示通过加权求和获得：</w:t>
      </w:r>
    </w:p>
    <w:p w14:paraId="0C7CC3D0">
      <w:pPr>
        <w:pageBreakBefore w:val="0"/>
        <w:kinsoku/>
        <w:wordWrap/>
        <w:overflowPunct/>
        <w:topLinePunct w:val="0"/>
        <w:autoSpaceDE/>
        <w:autoSpaceDN/>
        <w:bidi w:val="0"/>
        <w:adjustRightInd/>
        <w:spacing w:beforeAutospacing="0" w:afterAutospacing="0" w:line="360" w:lineRule="auto"/>
        <w:textAlignment w:val="auto"/>
        <w:rPr>
          <w:rFonts w:ascii="宋体" w:hAnsi="宋体" w:eastAsia="宋体" w:cs="宋体"/>
          <w:sz w:val="24"/>
          <w:szCs w:val="24"/>
        </w:rPr>
      </w:pPr>
      <w:r>
        <w:rPr>
          <w:rFonts w:ascii="宋体" w:hAnsi="宋体" w:eastAsia="宋体" w:cs="宋体"/>
          <w:sz w:val="24"/>
          <w:szCs w:val="24"/>
        </w:rPr>
        <w:t>Z=m∑​αmZm</w:t>
      </w:r>
    </w:p>
    <w:p w14:paraId="40F9121D">
      <w:pPr>
        <w:pageBreakBefore w:val="0"/>
        <w:kinsoku/>
        <w:wordWrap/>
        <w:overflowPunct/>
        <w:topLinePunct w:val="0"/>
        <w:autoSpaceDE/>
        <w:autoSpaceDN/>
        <w:bidi w:val="0"/>
        <w:adjustRightInd/>
        <w:spacing w:beforeAutospacing="0" w:afterAutospacing="0" w:line="360" w:lineRule="auto"/>
        <w:textAlignment w:val="auto"/>
      </w:pPr>
      <w:r>
        <w:t>该融合方式使模型能够根据具体分子样本，动态调整不同模态的贡献，从而提升表示的表达能力与灵活性。</w:t>
      </w:r>
    </w:p>
    <w:p w14:paraId="50A6A950">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default"/>
          <w:lang w:val="en-US" w:eastAsia="zh-CN"/>
        </w:rPr>
      </w:pPr>
      <w:r>
        <w:rPr>
          <w:rFonts w:hint="eastAsia"/>
          <w:lang w:val="en-US" w:eastAsia="zh-CN"/>
        </w:rPr>
        <w:t>实验设计</w:t>
      </w:r>
    </w:p>
    <w:p w14:paraId="34E658AF">
      <w:pPr>
        <w:pStyle w:val="4"/>
        <w:pageBreakBefore w:val="0"/>
        <w:kinsoku/>
        <w:wordWrap/>
        <w:overflowPunct/>
        <w:topLinePunct w:val="0"/>
        <w:autoSpaceDE/>
        <w:autoSpaceDN/>
        <w:bidi w:val="0"/>
        <w:adjustRightInd/>
        <w:spacing w:beforeAutospacing="0" w:afterAutospacing="0" w:line="360" w:lineRule="auto"/>
        <w:ind w:left="709" w:leftChars="0" w:hanging="709" w:firstLineChars="0"/>
        <w:textAlignment w:val="auto"/>
        <w:rPr>
          <w:rFonts w:hint="default"/>
          <w:lang w:val="en-US" w:eastAsia="zh-CN"/>
        </w:rPr>
      </w:pPr>
      <w:r>
        <w:rPr>
          <w:rFonts w:hint="eastAsia"/>
          <w:lang w:val="en-US" w:eastAsia="zh-CN"/>
        </w:rPr>
        <w:t>预训练数据</w:t>
      </w:r>
    </w:p>
    <w:p w14:paraId="391F2D0F">
      <w:pPr>
        <w:bidi w:val="0"/>
        <w:rPr>
          <w:rFonts w:hint="default"/>
          <w:color w:val="auto"/>
          <w:lang w:val="en-US" w:eastAsia="zh-CN"/>
        </w:rPr>
      </w:pPr>
      <w:r>
        <w:rPr>
          <w:rFonts w:hint="default"/>
          <w:color w:val="auto"/>
          <w:lang w:val="en-US" w:eastAsia="zh-CN"/>
        </w:rPr>
        <w:t>为了克服现有分子文本数据集中存在的描述稀疏、噪声干扰大以及缺乏定量理化信息的问题，本文设计了一套包含“数据清洗—知识检索—属性计算—大模型重写”的自动化数据构建流水线。该流程旨在构建一个兼具高质量化学结构与高密度语义信息的分子—</w:t>
      </w:r>
      <w:r>
        <w:rPr>
          <w:rFonts w:hint="eastAsia"/>
          <w:color w:val="auto"/>
          <w:lang w:val="en-US" w:eastAsia="zh-CN"/>
        </w:rPr>
        <w:t>文本对</w:t>
      </w:r>
      <w:r>
        <w:rPr>
          <w:rFonts w:hint="default"/>
          <w:color w:val="auto"/>
          <w:lang w:val="en-US" w:eastAsia="zh-CN"/>
        </w:rPr>
        <w:t>数据集，</w:t>
      </w:r>
      <w:r>
        <w:rPr>
          <w:rFonts w:hint="eastAsia"/>
          <w:color w:val="auto"/>
          <w:lang w:val="en-US" w:eastAsia="zh-CN"/>
        </w:rPr>
        <w:t>并使用RDkit工具生成其他模态的数据，</w:t>
      </w:r>
      <w:r>
        <w:rPr>
          <w:rFonts w:hint="default"/>
          <w:color w:val="auto"/>
          <w:lang w:val="en-US" w:eastAsia="zh-CN"/>
        </w:rPr>
        <w:t>用于多模态预训练。具体构建流程如下：</w:t>
      </w:r>
    </w:p>
    <w:p w14:paraId="45EFDFC6">
      <w:pPr>
        <w:bidi w:val="0"/>
        <w:rPr>
          <w:rFonts w:hint="default"/>
          <w:color w:val="auto"/>
          <w:lang w:val="en-US" w:eastAsia="zh-CN"/>
        </w:rPr>
      </w:pPr>
      <w:r>
        <w:rPr>
          <w:rFonts w:hint="default"/>
          <w:color w:val="auto"/>
          <w:lang w:val="en-US" w:eastAsia="zh-CN"/>
        </w:rPr>
        <w:t>1.分子结构获取与标准化</w:t>
      </w:r>
      <w:r>
        <w:rPr>
          <w:rFonts w:hint="eastAsia"/>
          <w:color w:val="auto"/>
          <w:lang w:val="en-US" w:eastAsia="zh-CN"/>
        </w:rPr>
        <w:t>：</w:t>
      </w:r>
      <w:r>
        <w:rPr>
          <w:rFonts w:hint="default"/>
          <w:color w:val="auto"/>
          <w:lang w:val="en-US" w:eastAsia="zh-CN"/>
        </w:rPr>
        <w:t>本文选取PubChem数据库作为原始数据来源，随机抽取了约30万个药物分子SMILES序列。鉴于原始数据中存在异构体冗余及书写不规范等问题，本文使用RDKit工具包对所有SMILES进行了规范化处理，并去除了重复项</w:t>
      </w:r>
      <w:r>
        <w:rPr>
          <w:rFonts w:hint="eastAsia"/>
          <w:color w:val="auto"/>
          <w:lang w:val="en-US" w:eastAsia="zh-CN"/>
        </w:rPr>
        <w:t>等</w:t>
      </w:r>
      <w:r>
        <w:rPr>
          <w:rFonts w:hint="default"/>
          <w:color w:val="auto"/>
          <w:lang w:val="en-US" w:eastAsia="zh-CN"/>
        </w:rPr>
        <w:t>无法通过RDKit解析的异常分子。经过严格筛选，最终保留了约22万个具有高度代表性的独立分子结构，构成了预训练数据集的骨架。</w:t>
      </w:r>
    </w:p>
    <w:p w14:paraId="0527E9E4">
      <w:pPr>
        <w:bidi w:val="0"/>
        <w:rPr>
          <w:rFonts w:hint="default"/>
          <w:color w:val="auto"/>
          <w:lang w:val="en-US" w:eastAsia="zh-CN"/>
        </w:rPr>
      </w:pPr>
      <w:r>
        <w:rPr>
          <w:rFonts w:hint="default"/>
          <w:color w:val="auto"/>
          <w:lang w:val="en-US" w:eastAsia="zh-CN"/>
        </w:rPr>
        <w:t>2.基于API的专家知识检索</w:t>
      </w:r>
      <w:r>
        <w:rPr>
          <w:rFonts w:hint="eastAsia"/>
          <w:color w:val="auto"/>
          <w:lang w:val="en-US" w:eastAsia="zh-CN"/>
        </w:rPr>
        <w:t>：</w:t>
      </w:r>
      <w:r>
        <w:rPr>
          <w:rFonts w:hint="default"/>
          <w:color w:val="auto"/>
          <w:lang w:val="en-US" w:eastAsia="zh-CN"/>
        </w:rPr>
        <w:t>针对筛选出的分子，本文利用PubChem提供的PUG View API接口进行批量检索，重点提取JSON数据中“Names and Identifiers”及“Record Description”字段下的描述性文本。该部分数据通常包含分子的通用名称、药理作用机制及历史背景等专家知识。</w:t>
      </w:r>
    </w:p>
    <w:p w14:paraId="6890CC1C">
      <w:pPr>
        <w:bidi w:val="0"/>
        <w:rPr>
          <w:rFonts w:hint="default"/>
          <w:color w:val="auto"/>
          <w:lang w:val="en-US" w:eastAsia="zh-CN"/>
        </w:rPr>
      </w:pPr>
      <w:r>
        <w:rPr>
          <w:rFonts w:hint="default"/>
          <w:color w:val="auto"/>
          <w:lang w:val="en-US" w:eastAsia="zh-CN"/>
        </w:rPr>
        <w:t>然而，直接将API检索的原始文本用于训练存在显著的模态对齐障碍，主要体现在文本长度分布的极端不平衡与语义密度的不一致：</w:t>
      </w:r>
    </w:p>
    <w:p w14:paraId="5C77FD50">
      <w:pPr>
        <w:bidi w:val="0"/>
        <w:rPr>
          <w:rFonts w:hint="default"/>
          <w:color w:val="auto"/>
          <w:lang w:val="en-US" w:eastAsia="zh-CN"/>
        </w:rPr>
      </w:pPr>
      <w:r>
        <w:rPr>
          <w:rFonts w:hint="default"/>
          <w:color w:val="auto"/>
          <w:lang w:val="en-US" w:eastAsia="zh-CN"/>
        </w:rPr>
        <w:t>噪声冗余与文本过长：部分知名药物分子的记录中包含了大量非结构化的冗余信息。例如，在检索阿司匹林（Aspirin, CID 2244）时，返回的原始文本不仅长达数千词，还夹杂着“1839年从绣线菊中分离”等历史轶事、过期的专利号引用以及数百个商业商品名的罗列。这些与分子构效关系无关的噪声数据会显著稀释核心语义，增加模型训练的显存开销并导致注意力分散。</w:t>
      </w:r>
    </w:p>
    <w:p w14:paraId="729372D3">
      <w:pPr>
        <w:bidi w:val="0"/>
        <w:rPr>
          <w:rFonts w:hint="default"/>
          <w:color w:val="auto"/>
          <w:lang w:val="en-US" w:eastAsia="zh-CN"/>
        </w:rPr>
      </w:pPr>
      <w:r>
        <w:rPr>
          <w:rFonts w:hint="default"/>
          <w:color w:val="auto"/>
          <w:lang w:val="en-US" w:eastAsia="zh-CN"/>
        </w:rPr>
        <w:t>描述稀疏与语义缺失：相反，大量非药物类化合物或中间体的描述极为匮乏。例如，在检索2-丙醇钠（Sodium isopropylate, CID 10920443）时，API仅能返回“白色至类白色粉末（White to off-white powder）”这一句简单的物理状态描述，甚至仅有IUPAC命名的重复。此类“短文本”缺乏对分子功能、反应活性或生物靶点的深层刻画，导致模型在对比学习中无法捕获足够的语义信号，从而产生模态坍塌。</w:t>
      </w:r>
    </w:p>
    <w:p w14:paraId="258F0458">
      <w:pPr>
        <w:bidi w:val="0"/>
        <w:rPr>
          <w:rFonts w:hint="default"/>
          <w:color w:val="0000FF"/>
          <w:lang w:val="en-US" w:eastAsia="zh-CN"/>
        </w:rPr>
      </w:pPr>
      <w:r>
        <w:rPr>
          <w:rFonts w:hint="default"/>
          <w:color w:val="auto"/>
          <w:lang w:val="en-US" w:eastAsia="zh-CN"/>
        </w:rPr>
        <w:t>上述“长尾分布”现象证明，仅依赖原始检索文本难以构建高质量的对齐空间，必须</w:t>
      </w:r>
      <w:r>
        <w:rPr>
          <w:rFonts w:hint="eastAsia"/>
          <w:color w:val="auto"/>
          <w:lang w:val="en-US" w:eastAsia="zh-CN"/>
        </w:rPr>
        <w:t>进一步</w:t>
      </w:r>
      <w:r>
        <w:rPr>
          <w:rFonts w:hint="default"/>
          <w:color w:val="auto"/>
          <w:lang w:val="en-US" w:eastAsia="zh-CN"/>
        </w:rPr>
        <w:t>对文本进行去噪压缩与语义补全。</w:t>
      </w:r>
    </w:p>
    <w:p w14:paraId="1DE64003">
      <w:pPr>
        <w:bidi w:val="0"/>
        <w:rPr>
          <w:rFonts w:hint="default"/>
          <w:lang w:val="en-US" w:eastAsia="zh-CN"/>
        </w:rPr>
      </w:pPr>
      <w:r>
        <w:rPr>
          <w:rFonts w:hint="default"/>
          <w:lang w:val="en-US" w:eastAsia="zh-CN"/>
        </w:rPr>
        <w:t>3.理化性质计算与上下文构建</w:t>
      </w:r>
      <w:r>
        <w:rPr>
          <w:rFonts w:hint="eastAsia"/>
          <w:lang w:val="en-US" w:eastAsia="zh-CN"/>
        </w:rPr>
        <w:t>：</w:t>
      </w:r>
      <w:r>
        <w:rPr>
          <w:rFonts w:hint="default"/>
          <w:lang w:val="en-US" w:eastAsia="zh-CN"/>
        </w:rPr>
        <w:t>为了弥补文本模态在定量信息上的缺失，本文利用RDKit计算了每个分子的12项关键理化性质</w:t>
      </w:r>
      <w:r>
        <w:rPr>
          <w:rFonts w:hint="eastAsia"/>
          <w:lang w:val="en-US" w:eastAsia="zh-CN"/>
        </w:rPr>
        <w:t>，</w:t>
      </w:r>
      <w:r>
        <w:rPr>
          <w:rFonts w:hint="eastAsia"/>
          <w:color w:val="FF0000"/>
          <w:lang w:val="en-US" w:eastAsia="zh-CN"/>
        </w:rPr>
        <w:t>具体的理化性质见表X</w:t>
      </w:r>
      <w:r>
        <w:rPr>
          <w:rFonts w:hint="default"/>
          <w:lang w:val="en-US" w:eastAsia="zh-CN"/>
        </w:rPr>
        <w:t>。这些理化指标被格式化为结构化的文本上下文，作为后续大模型生成的“事实锚点”，确保生成的文本描述在物理化学属性上不仅定性准确，而且定量精确。</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944"/>
        <w:gridCol w:w="2169"/>
        <w:gridCol w:w="4338"/>
      </w:tblGrid>
      <w:tr w14:paraId="4E686A5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bottom w:val="single" w:color="auto" w:sz="8" w:space="0"/>
            </w:tcBorders>
            <w:vAlign w:val="center"/>
          </w:tcPr>
          <w:p w14:paraId="00BAFC72">
            <w:pPr>
              <w:bidi w:val="0"/>
              <w:ind w:left="0" w:leftChars="0" w:firstLine="0" w:firstLineChars="0"/>
              <w:jc w:val="center"/>
              <w:rPr>
                <w:rFonts w:hint="default"/>
                <w:vertAlign w:val="baseline"/>
                <w:lang w:val="en-US" w:eastAsia="zh-CN"/>
              </w:rPr>
            </w:pPr>
            <w:r>
              <w:rPr>
                <w:rFonts w:hint="eastAsia"/>
                <w:vertAlign w:val="baseline"/>
                <w:lang w:val="en-US" w:eastAsia="zh-CN"/>
              </w:rPr>
              <w:t>属性名称</w:t>
            </w:r>
          </w:p>
        </w:tc>
        <w:tc>
          <w:tcPr>
            <w:tcW w:w="2169" w:type="dxa"/>
            <w:tcBorders>
              <w:bottom w:val="single" w:color="auto" w:sz="8" w:space="0"/>
            </w:tcBorders>
            <w:vAlign w:val="center"/>
          </w:tcPr>
          <w:p w14:paraId="798380FD">
            <w:pPr>
              <w:bidi w:val="0"/>
              <w:ind w:left="0" w:leftChars="0" w:firstLine="0" w:firstLineChars="0"/>
              <w:jc w:val="center"/>
              <w:rPr>
                <w:rFonts w:hint="default"/>
                <w:vertAlign w:val="baseline"/>
                <w:lang w:val="en-US" w:eastAsia="zh-CN"/>
              </w:rPr>
            </w:pPr>
            <w:r>
              <w:rPr>
                <w:rFonts w:hint="eastAsia"/>
                <w:vertAlign w:val="baseline"/>
                <w:lang w:val="en-US" w:eastAsia="zh-CN"/>
              </w:rPr>
              <w:t>英文标识</w:t>
            </w:r>
          </w:p>
        </w:tc>
        <w:tc>
          <w:tcPr>
            <w:tcW w:w="4338" w:type="dxa"/>
            <w:tcBorders>
              <w:bottom w:val="single" w:color="auto" w:sz="8" w:space="0"/>
            </w:tcBorders>
            <w:vAlign w:val="center"/>
          </w:tcPr>
          <w:p w14:paraId="7BCD5B6B">
            <w:pPr>
              <w:bidi w:val="0"/>
              <w:ind w:left="0" w:leftChars="0" w:firstLine="0" w:firstLineChars="0"/>
              <w:jc w:val="center"/>
              <w:rPr>
                <w:rFonts w:hint="default"/>
                <w:vertAlign w:val="baseline"/>
                <w:lang w:val="en-US" w:eastAsia="zh-CN"/>
              </w:rPr>
            </w:pPr>
            <w:r>
              <w:rPr>
                <w:rFonts w:hint="eastAsia"/>
                <w:vertAlign w:val="baseline"/>
                <w:lang w:val="en-US" w:eastAsia="zh-CN"/>
              </w:rPr>
              <w:t>含义描述</w:t>
            </w:r>
          </w:p>
        </w:tc>
      </w:tr>
      <w:tr w14:paraId="38F837C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op w:val="single" w:color="auto" w:sz="8" w:space="0"/>
              <w:tl2br w:val="nil"/>
              <w:tr2bl w:val="nil"/>
            </w:tcBorders>
            <w:vAlign w:val="center"/>
          </w:tcPr>
          <w:p w14:paraId="4BA9659E">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平均分子量</w:t>
            </w:r>
          </w:p>
        </w:tc>
        <w:tc>
          <w:tcPr>
            <w:tcW w:w="2169" w:type="dxa"/>
            <w:tcBorders>
              <w:top w:val="single" w:color="auto" w:sz="8" w:space="0"/>
              <w:tl2br w:val="nil"/>
              <w:tr2bl w:val="nil"/>
            </w:tcBorders>
            <w:vAlign w:val="center"/>
          </w:tcPr>
          <w:p w14:paraId="08F0A0E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MolWt</w:t>
            </w:r>
          </w:p>
        </w:tc>
        <w:tc>
          <w:tcPr>
            <w:tcW w:w="4338" w:type="dxa"/>
            <w:tcBorders>
              <w:top w:val="single" w:color="auto" w:sz="8" w:space="0"/>
              <w:tl2br w:val="nil"/>
              <w:tr2bl w:val="nil"/>
            </w:tcBorders>
            <w:vAlign w:val="center"/>
          </w:tcPr>
          <w:p w14:paraId="15ED8F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分子的平均相对质量</w:t>
            </w:r>
          </w:p>
        </w:tc>
      </w:tr>
      <w:tr w14:paraId="4D040C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98C9209">
            <w:pPr>
              <w:bidi w:val="0"/>
              <w:ind w:left="0" w:leftChars="0" w:firstLine="0" w:firstLineChars="0"/>
              <w:jc w:val="center"/>
              <w:rPr>
                <w:rFonts w:hint="default"/>
                <w:sz w:val="21"/>
                <w:szCs w:val="21"/>
                <w:vertAlign w:val="baseline"/>
                <w:lang w:val="en-US" w:eastAsia="zh-CN"/>
              </w:rPr>
            </w:pPr>
            <w:r>
              <w:rPr>
                <w:rFonts w:ascii="宋体" w:hAnsi="宋体" w:eastAsia="宋体" w:cs="宋体"/>
                <w:sz w:val="21"/>
                <w:szCs w:val="21"/>
              </w:rPr>
              <w:t>精确分子量</w:t>
            </w:r>
          </w:p>
        </w:tc>
        <w:tc>
          <w:tcPr>
            <w:tcW w:w="2169" w:type="dxa"/>
            <w:tcBorders>
              <w:tl2br w:val="nil"/>
              <w:tr2bl w:val="nil"/>
            </w:tcBorders>
            <w:vAlign w:val="center"/>
          </w:tcPr>
          <w:p w14:paraId="42BBC4B3">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ExactMolWt</w:t>
            </w:r>
          </w:p>
        </w:tc>
        <w:tc>
          <w:tcPr>
            <w:tcW w:w="4338" w:type="dxa"/>
            <w:tcBorders>
              <w:tl2br w:val="nil"/>
              <w:tr2bl w:val="nil"/>
            </w:tcBorders>
            <w:vAlign w:val="center"/>
          </w:tcPr>
          <w:p w14:paraId="7D6C1CC7">
            <w:pPr>
              <w:bidi w:val="0"/>
              <w:ind w:left="0" w:leftChars="0" w:firstLine="0" w:firstLineChars="0"/>
              <w:jc w:val="center"/>
              <w:rPr>
                <w:rFonts w:hint="default"/>
                <w:vertAlign w:val="baseline"/>
                <w:lang w:val="en-US" w:eastAsia="zh-CN"/>
              </w:rPr>
            </w:pPr>
            <w:r>
              <w:rPr>
                <w:rFonts w:ascii="宋体" w:hAnsi="宋体" w:eastAsia="宋体" w:cs="宋体"/>
                <w:sz w:val="24"/>
                <w:szCs w:val="24"/>
              </w:rPr>
              <w:t>基于同位素质量计算的精确分子质量</w:t>
            </w:r>
          </w:p>
        </w:tc>
      </w:tr>
      <w:tr w14:paraId="1FD9B8B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D6076B2">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脂水分配系数</w:t>
            </w:r>
          </w:p>
        </w:tc>
        <w:tc>
          <w:tcPr>
            <w:tcW w:w="2169" w:type="dxa"/>
            <w:tcBorders>
              <w:tl2br w:val="nil"/>
              <w:tr2bl w:val="nil"/>
            </w:tcBorders>
            <w:vAlign w:val="center"/>
          </w:tcPr>
          <w:p w14:paraId="659AA0E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LogP</w:t>
            </w:r>
          </w:p>
        </w:tc>
        <w:tc>
          <w:tcPr>
            <w:tcW w:w="4338" w:type="dxa"/>
            <w:tcBorders>
              <w:tl2br w:val="nil"/>
              <w:tr2bl w:val="nil"/>
            </w:tcBorders>
            <w:vAlign w:val="center"/>
          </w:tcPr>
          <w:p w14:paraId="39056255">
            <w:pPr>
              <w:bidi w:val="0"/>
              <w:ind w:left="0" w:leftChars="0" w:firstLine="0" w:firstLineChars="0"/>
              <w:jc w:val="center"/>
              <w:rPr>
                <w:rFonts w:hint="default"/>
                <w:vertAlign w:val="baseline"/>
                <w:lang w:val="en-US" w:eastAsia="zh-CN"/>
              </w:rPr>
            </w:pPr>
            <w:r>
              <w:rPr>
                <w:rFonts w:ascii="宋体" w:hAnsi="宋体" w:eastAsia="宋体" w:cs="宋体"/>
                <w:sz w:val="24"/>
                <w:szCs w:val="24"/>
              </w:rPr>
              <w:t>衡量分子亲脂性的关键参数</w:t>
            </w:r>
          </w:p>
        </w:tc>
      </w:tr>
      <w:tr w14:paraId="64FC686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F9D3E">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拓扑极性表面积</w:t>
            </w:r>
          </w:p>
        </w:tc>
        <w:tc>
          <w:tcPr>
            <w:tcW w:w="2169" w:type="dxa"/>
            <w:tcBorders>
              <w:tl2br w:val="nil"/>
              <w:tr2bl w:val="nil"/>
            </w:tcBorders>
            <w:vAlign w:val="center"/>
          </w:tcPr>
          <w:p w14:paraId="25A4D3D4">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TPSA</w:t>
            </w:r>
          </w:p>
        </w:tc>
        <w:tc>
          <w:tcPr>
            <w:tcW w:w="4338" w:type="dxa"/>
            <w:tcBorders>
              <w:tl2br w:val="nil"/>
              <w:tr2bl w:val="nil"/>
            </w:tcBorders>
            <w:vAlign w:val="center"/>
          </w:tcPr>
          <w:p w14:paraId="5A717EDB">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分子表面极性原子的总面积</w:t>
            </w:r>
          </w:p>
        </w:tc>
      </w:tr>
      <w:tr w14:paraId="5220B3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514BD9C">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重原子数</w:t>
            </w:r>
          </w:p>
        </w:tc>
        <w:tc>
          <w:tcPr>
            <w:tcW w:w="2169" w:type="dxa"/>
            <w:tcBorders>
              <w:tl2br w:val="nil"/>
              <w:tr2bl w:val="nil"/>
            </w:tcBorders>
            <w:vAlign w:val="center"/>
          </w:tcPr>
          <w:p w14:paraId="596ABCA7">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Heavy_Atoms</w:t>
            </w:r>
          </w:p>
        </w:tc>
        <w:tc>
          <w:tcPr>
            <w:tcW w:w="4338" w:type="dxa"/>
            <w:tcBorders>
              <w:tl2br w:val="nil"/>
              <w:tr2bl w:val="nil"/>
            </w:tcBorders>
            <w:vAlign w:val="center"/>
          </w:tcPr>
          <w:p w14:paraId="3AA91C73">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分子中非氢原子的总数量</w:t>
            </w:r>
          </w:p>
        </w:tc>
      </w:tr>
      <w:tr w14:paraId="3B12D6C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376BCC4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氢键供体数</w:t>
            </w:r>
          </w:p>
        </w:tc>
        <w:tc>
          <w:tcPr>
            <w:tcW w:w="2169" w:type="dxa"/>
            <w:tcBorders>
              <w:tl2br w:val="nil"/>
              <w:tr2bl w:val="nil"/>
            </w:tcBorders>
            <w:vAlign w:val="center"/>
          </w:tcPr>
          <w:p w14:paraId="78F05C00">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H_Bond_Donors</w:t>
            </w:r>
          </w:p>
        </w:tc>
        <w:tc>
          <w:tcPr>
            <w:tcW w:w="4338" w:type="dxa"/>
            <w:tcBorders>
              <w:tl2br w:val="nil"/>
              <w:tr2bl w:val="nil"/>
            </w:tcBorders>
            <w:vAlign w:val="center"/>
          </w:tcPr>
          <w:p w14:paraId="01A1DBC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分子中能提供质子的基团数量</w:t>
            </w:r>
          </w:p>
        </w:tc>
      </w:tr>
      <w:tr w14:paraId="7800BE5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75DB5207">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氢键受体数</w:t>
            </w:r>
          </w:p>
        </w:tc>
        <w:tc>
          <w:tcPr>
            <w:tcW w:w="2169" w:type="dxa"/>
            <w:tcBorders>
              <w:tl2br w:val="nil"/>
              <w:tr2bl w:val="nil"/>
            </w:tcBorders>
            <w:vAlign w:val="center"/>
          </w:tcPr>
          <w:p w14:paraId="0FB40D1F">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H_Bond_Acceptors</w:t>
            </w:r>
          </w:p>
        </w:tc>
        <w:tc>
          <w:tcPr>
            <w:tcW w:w="4338" w:type="dxa"/>
            <w:tcBorders>
              <w:tl2br w:val="nil"/>
              <w:tr2bl w:val="nil"/>
            </w:tcBorders>
            <w:vAlign w:val="center"/>
          </w:tcPr>
          <w:p w14:paraId="24CBCDAE">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分子中能接受质子的原子数量</w:t>
            </w:r>
          </w:p>
        </w:tc>
      </w:tr>
      <w:tr w14:paraId="251E970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6695EAC8">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可旋转键数</w:t>
            </w:r>
          </w:p>
        </w:tc>
        <w:tc>
          <w:tcPr>
            <w:tcW w:w="2169" w:type="dxa"/>
            <w:tcBorders>
              <w:tl2br w:val="nil"/>
              <w:tr2bl w:val="nil"/>
            </w:tcBorders>
            <w:vAlign w:val="center"/>
          </w:tcPr>
          <w:p w14:paraId="5901DD9C">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Rotatable_Bonds</w:t>
            </w:r>
          </w:p>
        </w:tc>
        <w:tc>
          <w:tcPr>
            <w:tcW w:w="4338" w:type="dxa"/>
            <w:tcBorders>
              <w:tl2br w:val="nil"/>
              <w:tr2bl w:val="nil"/>
            </w:tcBorders>
            <w:vAlign w:val="center"/>
          </w:tcPr>
          <w:p w14:paraId="3C288A64">
            <w:pPr>
              <w:bidi w:val="0"/>
              <w:ind w:left="0" w:leftChars="0" w:firstLine="0" w:firstLineChars="0"/>
              <w:jc w:val="center"/>
              <w:rPr>
                <w:rFonts w:hint="default"/>
                <w:vertAlign w:val="baseline"/>
                <w:lang w:val="en-US" w:eastAsia="zh-CN"/>
              </w:rPr>
            </w:pPr>
            <w:r>
              <w:rPr>
                <w:rFonts w:ascii="宋体" w:hAnsi="宋体" w:eastAsia="宋体" w:cs="宋体"/>
                <w:sz w:val="24"/>
                <w:szCs w:val="24"/>
              </w:rPr>
              <w:t>单键旋转自由度的度量</w:t>
            </w:r>
          </w:p>
        </w:tc>
      </w:tr>
      <w:tr w14:paraId="1D3E0A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2E6D3DF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环数量</w:t>
            </w:r>
          </w:p>
        </w:tc>
        <w:tc>
          <w:tcPr>
            <w:tcW w:w="2169" w:type="dxa"/>
            <w:tcBorders>
              <w:tl2br w:val="nil"/>
              <w:tr2bl w:val="nil"/>
            </w:tcBorders>
            <w:vAlign w:val="center"/>
          </w:tcPr>
          <w:p w14:paraId="03553238">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Ring_Count</w:t>
            </w:r>
          </w:p>
        </w:tc>
        <w:tc>
          <w:tcPr>
            <w:tcW w:w="4338" w:type="dxa"/>
            <w:tcBorders>
              <w:tl2br w:val="nil"/>
              <w:tr2bl w:val="nil"/>
            </w:tcBorders>
            <w:vAlign w:val="center"/>
          </w:tcPr>
          <w:p w14:paraId="7FBE89C0">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分子中环状结构的总数</w:t>
            </w:r>
          </w:p>
        </w:tc>
      </w:tr>
      <w:tr w14:paraId="06E625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8C32670">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芳香环数量</w:t>
            </w:r>
          </w:p>
        </w:tc>
        <w:tc>
          <w:tcPr>
            <w:tcW w:w="2169" w:type="dxa"/>
            <w:tcBorders>
              <w:tl2br w:val="nil"/>
              <w:tr2bl w:val="nil"/>
            </w:tcBorders>
            <w:vAlign w:val="center"/>
          </w:tcPr>
          <w:p w14:paraId="182368FE">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Aromatic_Rings</w:t>
            </w:r>
          </w:p>
        </w:tc>
        <w:tc>
          <w:tcPr>
            <w:tcW w:w="4338" w:type="dxa"/>
            <w:tcBorders>
              <w:tl2br w:val="nil"/>
              <w:tr2bl w:val="nil"/>
            </w:tcBorders>
            <w:vAlign w:val="center"/>
          </w:tcPr>
          <w:p w14:paraId="0A3EB135">
            <w:pPr>
              <w:keepNext w:val="0"/>
              <w:keepLines w:val="0"/>
              <w:widowControl/>
              <w:suppressLineNumbers w:val="0"/>
              <w:ind w:left="0" w:leftChars="0" w:firstLine="0" w:firstLineChars="0"/>
              <w:jc w:val="center"/>
              <w:rPr>
                <w:rFonts w:hint="default"/>
                <w:vertAlign w:val="baseline"/>
                <w:lang w:val="en-US" w:eastAsia="zh-CN"/>
              </w:rPr>
            </w:pPr>
            <w:r>
              <w:rPr>
                <w:rFonts w:ascii="宋体" w:hAnsi="宋体" w:eastAsia="宋体" w:cs="宋体"/>
                <w:kern w:val="0"/>
                <w:sz w:val="24"/>
                <w:szCs w:val="24"/>
                <w:lang w:val="en-US" w:eastAsia="zh-CN" w:bidi="ar"/>
              </w:rPr>
              <w:t>具有芳香性的环结构数量</w:t>
            </w:r>
          </w:p>
        </w:tc>
      </w:tr>
      <w:tr w14:paraId="14A2525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c>
          <w:tcPr>
            <w:tcW w:w="1944" w:type="dxa"/>
            <w:tcBorders>
              <w:tl2br w:val="nil"/>
              <w:tr2bl w:val="nil"/>
            </w:tcBorders>
            <w:vAlign w:val="center"/>
          </w:tcPr>
          <w:p w14:paraId="59D12073">
            <w:pPr>
              <w:bidi w:val="0"/>
              <w:ind w:left="0" w:leftChars="0" w:firstLine="0" w:firstLineChars="0"/>
              <w:jc w:val="center"/>
              <w:rPr>
                <w:rFonts w:ascii="宋体" w:hAnsi="宋体" w:eastAsia="宋体" w:cs="宋体"/>
                <w:sz w:val="21"/>
                <w:szCs w:val="21"/>
              </w:rPr>
            </w:pPr>
            <w:r>
              <w:rPr>
                <w:rFonts w:ascii="宋体" w:hAnsi="宋体" w:eastAsia="宋体" w:cs="宋体"/>
                <w:sz w:val="21"/>
                <w:szCs w:val="21"/>
              </w:rPr>
              <w:t>手性中心数</w:t>
            </w:r>
          </w:p>
        </w:tc>
        <w:tc>
          <w:tcPr>
            <w:tcW w:w="2169" w:type="dxa"/>
            <w:tcBorders>
              <w:tl2br w:val="nil"/>
              <w:tr2bl w:val="nil"/>
            </w:tcBorders>
            <w:vAlign w:val="center"/>
          </w:tcPr>
          <w:p w14:paraId="355D9839">
            <w:pPr>
              <w:bidi w:val="0"/>
              <w:ind w:left="0" w:leftChars="0" w:firstLine="0" w:firstLineChars="0"/>
              <w:jc w:val="center"/>
              <w:rPr>
                <w:rFonts w:hint="default" w:ascii="Times New Roman" w:hAnsi="Times New Roman" w:cs="Times New Roman"/>
                <w:sz w:val="21"/>
                <w:szCs w:val="21"/>
                <w:vertAlign w:val="baseline"/>
                <w:lang w:val="en-US" w:eastAsia="zh-CN"/>
              </w:rPr>
            </w:pPr>
            <w:r>
              <w:rPr>
                <w:rFonts w:hint="default" w:ascii="Times New Roman" w:hAnsi="Times New Roman" w:eastAsia="宋体" w:cs="Times New Roman"/>
                <w:sz w:val="21"/>
                <w:szCs w:val="21"/>
              </w:rPr>
              <w:t>Stereocenters</w:t>
            </w:r>
          </w:p>
        </w:tc>
        <w:tc>
          <w:tcPr>
            <w:tcW w:w="4338" w:type="dxa"/>
            <w:tcBorders>
              <w:tl2br w:val="nil"/>
              <w:tr2bl w:val="nil"/>
            </w:tcBorders>
            <w:vAlign w:val="center"/>
          </w:tcPr>
          <w:p w14:paraId="6A38572D">
            <w:pPr>
              <w:bidi w:val="0"/>
              <w:ind w:left="0" w:leftChars="0" w:firstLine="0" w:firstLineChars="0"/>
              <w:jc w:val="center"/>
              <w:rPr>
                <w:rFonts w:hint="default"/>
                <w:vertAlign w:val="baseline"/>
                <w:lang w:val="en-US" w:eastAsia="zh-CN"/>
              </w:rPr>
            </w:pPr>
            <w:r>
              <w:rPr>
                <w:rFonts w:ascii="宋体" w:hAnsi="宋体" w:eastAsia="宋体" w:cs="宋体"/>
                <w:sz w:val="24"/>
                <w:szCs w:val="24"/>
              </w:rPr>
              <w:t>分子中立体异构中心的数量</w:t>
            </w:r>
          </w:p>
        </w:tc>
      </w:tr>
    </w:tbl>
    <w:p w14:paraId="543C5316">
      <w:pPr>
        <w:bidi w:val="0"/>
        <w:ind w:left="0" w:leftChars="0" w:firstLine="0" w:firstLineChars="0"/>
        <w:rPr>
          <w:rFonts w:hint="default"/>
          <w:lang w:val="en-US" w:eastAsia="zh-CN"/>
        </w:rPr>
      </w:pPr>
    </w:p>
    <w:p w14:paraId="3B3DF23F">
      <w:pPr>
        <w:bidi w:val="0"/>
        <w:rPr>
          <w:rFonts w:hint="default"/>
          <w:lang w:val="en-US" w:eastAsia="zh-CN"/>
        </w:rPr>
      </w:pPr>
      <w:r>
        <w:rPr>
          <w:rFonts w:hint="default"/>
          <w:lang w:val="en-US" w:eastAsia="zh-CN"/>
        </w:rPr>
        <w:t>4.基于大模型的知识清洗与重写</w:t>
      </w:r>
      <w:r>
        <w:rPr>
          <w:rFonts w:hint="eastAsia"/>
          <w:lang w:val="en-US" w:eastAsia="zh-CN"/>
        </w:rPr>
        <w:t>：</w:t>
      </w:r>
      <w:r>
        <w:rPr>
          <w:rFonts w:hint="default"/>
          <w:lang w:val="en-US" w:eastAsia="zh-CN"/>
        </w:rPr>
        <w:t>本文引入大语言模型（LLM）作为文本生成代理，通过精心设计的提示词工程执行“清洗+融合”任务。具体而言，我们将API检索到的粗糙文本与RDKit计算的理化性质共同输入模型，要求模型去除原始文本中的噪声，并将理化指标自然地融入对分子的描述中。最终生成的文本呈现为“专家知识+理化属性”的混合描述形式，既保留了PubChem中的药理语义，又增强了对分子结构—性质关系的显式表达。</w:t>
      </w:r>
    </w:p>
    <w:p w14:paraId="32A3A78A">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提示词的设计遵循以下三个核心原则：</w:t>
      </w:r>
    </w:p>
    <w:p w14:paraId="35B73FF2">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角色定义与任务约束：明确指示模型扮演“资深药物化学家”的角色，并规定输出必须使用客观、学术的陈述语气，严禁使用第一人称或情感色彩词汇。</w:t>
      </w:r>
    </w:p>
    <w:p w14:paraId="53D4A730">
      <w:pPr>
        <w:widowControl w:val="0"/>
        <w:bidi w:val="0"/>
        <w:spacing w:line="360" w:lineRule="auto"/>
        <w:jc w:val="both"/>
        <w:rPr>
          <w:rFonts w:hint="eastAsia"/>
          <w:kern w:val="2"/>
          <w:sz w:val="21"/>
          <w:szCs w:val="24"/>
          <w:lang w:val="en-US" w:eastAsia="zh-CN" w:bidi="ar-SA"/>
        </w:rPr>
      </w:pPr>
    </w:p>
    <w:p w14:paraId="507C9A20">
      <w:pPr>
        <w:widowControl w:val="0"/>
        <w:bidi w:val="0"/>
        <w:spacing w:line="360" w:lineRule="auto"/>
        <w:jc w:val="both"/>
        <w:rPr>
          <w:rFonts w:hint="eastAsia"/>
          <w:kern w:val="2"/>
          <w:sz w:val="21"/>
          <w:szCs w:val="24"/>
          <w:lang w:val="en-US" w:eastAsia="zh-CN" w:bidi="ar-SA"/>
        </w:rPr>
      </w:pPr>
      <w:r>
        <w:rPr>
          <w:rFonts w:hint="eastAsia"/>
          <w:kern w:val="2"/>
          <w:sz w:val="21"/>
          <w:szCs w:val="24"/>
          <w:lang w:val="en-US" w:eastAsia="zh-CN" w:bidi="ar-SA"/>
        </w:rPr>
        <w:t>上下文注入：将检索到的原始文本与计算所得的理化性质列表作为两个独立的上下文块输入，强制模型在重写时必须参考这两部分信息。</w:t>
      </w:r>
    </w:p>
    <w:p w14:paraId="2BC64E5B">
      <w:pPr>
        <w:widowControl w:val="0"/>
        <w:bidi w:val="0"/>
        <w:spacing w:line="360" w:lineRule="auto"/>
        <w:jc w:val="both"/>
        <w:rPr>
          <w:rFonts w:hint="default"/>
          <w:kern w:val="2"/>
          <w:sz w:val="21"/>
          <w:szCs w:val="24"/>
          <w:lang w:val="en-US" w:eastAsia="zh-CN" w:bidi="ar-SA"/>
        </w:rPr>
      </w:pPr>
      <w:r>
        <w:rPr>
          <w:rFonts w:hint="eastAsia"/>
          <w:kern w:val="2"/>
          <w:sz w:val="21"/>
          <w:szCs w:val="24"/>
          <w:lang w:val="en-US" w:eastAsia="zh-CN" w:bidi="ar-SA"/>
        </w:rPr>
        <w:t>负面约束：显式列出需要过滤的噪声类型（如专利号、历史轶事、商业名称），防止模型产生“幻觉”或保留冗余信息。具体的提示词模板如表3.2所示。</w:t>
      </w:r>
    </w:p>
    <w:tbl>
      <w:tblPr>
        <w:tblStyle w:val="17"/>
        <w:tblW w:w="0" w:type="auto"/>
        <w:tblInd w:w="0" w:type="dxa"/>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left w:w="108" w:type="dxa"/>
          <w:right w:w="108" w:type="dxa"/>
        </w:tblCellMar>
      </w:tblPr>
      <w:tblGrid>
        <w:gridCol w:w="2130"/>
        <w:gridCol w:w="6254"/>
      </w:tblGrid>
      <w:tr w14:paraId="296A9E2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bottom w:val="single" w:color="auto" w:sz="8" w:space="0"/>
            </w:tcBorders>
          </w:tcPr>
          <w:p w14:paraId="64E6672D">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模块</w:t>
            </w:r>
          </w:p>
        </w:tc>
        <w:tc>
          <w:tcPr>
            <w:tcW w:w="6254" w:type="dxa"/>
            <w:tcBorders>
              <w:bottom w:val="single" w:color="auto" w:sz="8" w:space="0"/>
            </w:tcBorders>
          </w:tcPr>
          <w:p w14:paraId="1BEEDDB2">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内容</w:t>
            </w:r>
          </w:p>
        </w:tc>
      </w:tr>
      <w:tr w14:paraId="295F403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op w:val="single" w:color="auto" w:sz="8" w:space="0"/>
              <w:tl2br w:val="nil"/>
              <w:tr2bl w:val="nil"/>
            </w:tcBorders>
          </w:tcPr>
          <w:p w14:paraId="45CCB4CC">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系统指令</w:t>
            </w:r>
          </w:p>
        </w:tc>
        <w:tc>
          <w:tcPr>
            <w:tcW w:w="6254" w:type="dxa"/>
            <w:tcBorders>
              <w:top w:val="single" w:color="auto" w:sz="8" w:space="0"/>
              <w:tl2br w:val="nil"/>
              <w:tr2bl w:val="nil"/>
            </w:tcBorders>
          </w:tcPr>
          <w:p w14:paraId="1EB44A02">
            <w:pPr>
              <w:widowControl w:val="0"/>
              <w:bidi w:val="0"/>
              <w:spacing w:line="360" w:lineRule="auto"/>
              <w:ind w:left="0" w:leftChars="0" w:firstLine="0" w:firstLineChars="0"/>
              <w:jc w:val="both"/>
              <w:rPr>
                <w:rFonts w:hint="eastAsia"/>
                <w:kern w:val="2"/>
                <w:sz w:val="21"/>
                <w:szCs w:val="24"/>
                <w:vertAlign w:val="baseline"/>
                <w:lang w:val="en-US" w:eastAsia="zh-CN" w:bidi="ar-SA"/>
              </w:rPr>
            </w:pPr>
            <w:r>
              <w:rPr>
                <w:rFonts w:hint="eastAsia"/>
                <w:kern w:val="2"/>
                <w:sz w:val="21"/>
                <w:szCs w:val="24"/>
                <w:vertAlign w:val="baseline"/>
                <w:lang w:val="en-US" w:eastAsia="zh-CN" w:bidi="ar-SA"/>
              </w:rPr>
              <w:t>You are an expert scholar in pharmaceutical chemistry and drug discovery. Your task is to rewrite a noisy molecular description into a high-quality, scientifically accurate summary.</w:t>
            </w:r>
          </w:p>
        </w:tc>
      </w:tr>
      <w:tr w14:paraId="244360C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l2br w:val="nil"/>
              <w:tr2bl w:val="nil"/>
            </w:tcBorders>
          </w:tcPr>
          <w:p w14:paraId="626966FA">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输入上下文</w:t>
            </w:r>
          </w:p>
        </w:tc>
        <w:tc>
          <w:tcPr>
            <w:tcW w:w="6254" w:type="dxa"/>
            <w:tcBorders>
              <w:tl2br w:val="nil"/>
              <w:tr2bl w:val="nil"/>
            </w:tcBorders>
          </w:tcPr>
          <w:p w14:paraId="0AAF42B7">
            <w:pPr>
              <w:bidi w:val="0"/>
              <w:ind w:left="0" w:leftChars="0" w:firstLine="0" w:firstLineChars="0"/>
            </w:pPr>
            <w:r>
              <w:t>[Instruction]: Combine the following Raw Description (from PubChem) and Physicochemical Properties (calculated by RDKit) into a cohesive paragraph.</w:t>
            </w:r>
          </w:p>
          <w:p w14:paraId="594927C9">
            <w:pPr>
              <w:bidi w:val="0"/>
              <w:ind w:left="0" w:leftChars="0" w:firstLine="0" w:firstLineChars="0"/>
            </w:pPr>
            <w:r>
              <w:t>[Raw Description]: {raw_description_text}</w:t>
            </w:r>
          </w:p>
          <w:p w14:paraId="231D237C">
            <w:pPr>
              <w:bidi w:val="0"/>
              <w:ind w:left="0" w:leftChars="0" w:firstLine="0" w:firstLineChars="0"/>
              <w:rPr>
                <w:rFonts w:hint="eastAsia"/>
                <w:kern w:val="2"/>
                <w:szCs w:val="24"/>
                <w:vertAlign w:val="baseline"/>
                <w:lang w:val="en-US" w:eastAsia="zh-CN" w:bidi="ar-SA"/>
              </w:rPr>
            </w:pPr>
            <w:r>
              <w:t>[Physicochemical Properties]: {calculated_properties_list}</w:t>
            </w:r>
          </w:p>
        </w:tc>
      </w:tr>
      <w:tr w14:paraId="28468D8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left w:w="108" w:type="dxa"/>
            <w:right w:w="108" w:type="dxa"/>
          </w:tblCellMar>
        </w:tblPrEx>
        <w:tc>
          <w:tcPr>
            <w:tcW w:w="2130" w:type="dxa"/>
            <w:tcBorders>
              <w:tl2br w:val="nil"/>
              <w:tr2bl w:val="nil"/>
            </w:tcBorders>
          </w:tcPr>
          <w:p w14:paraId="50157BDB">
            <w:pPr>
              <w:widowControl w:val="0"/>
              <w:bidi w:val="0"/>
              <w:spacing w:line="360" w:lineRule="auto"/>
              <w:jc w:val="both"/>
              <w:rPr>
                <w:rFonts w:hint="default"/>
                <w:kern w:val="2"/>
                <w:sz w:val="21"/>
                <w:szCs w:val="24"/>
                <w:vertAlign w:val="baseline"/>
                <w:lang w:val="en-US" w:eastAsia="zh-CN" w:bidi="ar-SA"/>
              </w:rPr>
            </w:pPr>
            <w:r>
              <w:rPr>
                <w:rFonts w:hint="eastAsia"/>
                <w:kern w:val="2"/>
                <w:sz w:val="21"/>
                <w:szCs w:val="24"/>
                <w:vertAlign w:val="baseline"/>
                <w:lang w:val="en-US" w:eastAsia="zh-CN" w:bidi="ar-SA"/>
              </w:rPr>
              <w:t>生成约束</w:t>
            </w:r>
          </w:p>
        </w:tc>
        <w:tc>
          <w:tcPr>
            <w:tcW w:w="6254" w:type="dxa"/>
            <w:tcBorders>
              <w:tl2br w:val="nil"/>
              <w:tr2bl w:val="nil"/>
            </w:tcBorders>
          </w:tcPr>
          <w:p w14:paraId="7EF14F96">
            <w:pPr>
              <w:bidi w:val="0"/>
              <w:ind w:left="0" w:leftChars="0" w:firstLine="0" w:firstLineChars="0"/>
            </w:pPr>
            <w:r>
              <w:t>1. Noise Filtering: Remove all patent numbers (e.g., US12345), dates of discovery, historical anecdotes, commercial trade names, and CAS registry numbers.</w:t>
            </w:r>
          </w:p>
          <w:p w14:paraId="466034D3">
            <w:pPr>
              <w:bidi w:val="0"/>
              <w:ind w:left="0" w:leftChars="0" w:firstLine="0" w:firstLineChars="0"/>
            </w:pPr>
            <w:r>
              <w:t>2. Property Integration: Naturally weave the quantitative properties (especially MW, LogP, TPSA, and H-bond counts) into the description to explain the molecule's solubility, permeability, or size. Do not just list the numbers.</w:t>
            </w:r>
          </w:p>
          <w:p w14:paraId="00A692B5">
            <w:pPr>
              <w:bidi w:val="0"/>
              <w:ind w:left="0" w:leftChars="0" w:firstLine="0" w:firstLineChars="0"/>
              <w:rPr>
                <w:rFonts w:hint="eastAsia" w:eastAsia="宋体"/>
                <w:lang w:val="en-US" w:eastAsia="zh-CN"/>
              </w:rPr>
            </w:pPr>
            <w:r>
              <w:t>3. Handling Sparsity: If the Raw Description is empty or too short, rely on the Physicochemical Properties to describe the molecule's potential characteristics</w:t>
            </w:r>
            <w:r>
              <w:rPr>
                <w:rFonts w:hint="eastAsia"/>
                <w:lang w:val="en-US" w:eastAsia="zh-CN"/>
              </w:rPr>
              <w:t>.</w:t>
            </w:r>
          </w:p>
          <w:p w14:paraId="0C3FB5E1">
            <w:pPr>
              <w:bidi w:val="0"/>
              <w:ind w:left="0" w:leftChars="0" w:firstLine="0" w:firstLineChars="0"/>
              <w:rPr>
                <w:rFonts w:hint="eastAsia" w:eastAsia="宋体"/>
                <w:kern w:val="2"/>
                <w:sz w:val="21"/>
                <w:szCs w:val="24"/>
                <w:vertAlign w:val="baseline"/>
                <w:lang w:val="en-US" w:eastAsia="zh-CN" w:bidi="ar-SA"/>
              </w:rPr>
            </w:pPr>
            <w:r>
              <w:t>4. Format: Start the paragraph strictly with "This molecu</w:t>
            </w:r>
            <w:r>
              <w:rPr>
                <w:b/>
                <w:bCs/>
              </w:rPr>
              <w:t>le is...</w:t>
            </w:r>
            <w:r>
              <w:t>". Keep it concise, under 200 words</w:t>
            </w:r>
            <w:r>
              <w:rPr>
                <w:rFonts w:hint="eastAsia"/>
                <w:lang w:val="en-US" w:eastAsia="zh-CN"/>
              </w:rPr>
              <w:t>.</w:t>
            </w:r>
          </w:p>
        </w:tc>
      </w:tr>
    </w:tbl>
    <w:p w14:paraId="7CDEA7C3">
      <w:pPr>
        <w:widowControl w:val="0"/>
        <w:bidi w:val="0"/>
        <w:spacing w:line="360" w:lineRule="auto"/>
        <w:ind w:left="0" w:leftChars="0" w:firstLine="0" w:firstLineChars="0"/>
        <w:jc w:val="both"/>
        <w:rPr>
          <w:rFonts w:hint="default"/>
          <w:kern w:val="2"/>
          <w:sz w:val="21"/>
          <w:szCs w:val="24"/>
          <w:lang w:val="en-US" w:eastAsia="zh-CN" w:bidi="ar-SA"/>
        </w:rPr>
      </w:pPr>
      <w:r>
        <w:rPr>
          <w:rFonts w:hint="default"/>
          <w:kern w:val="2"/>
          <w:sz w:val="21"/>
          <w:szCs w:val="24"/>
          <w:lang w:val="en-US" w:eastAsia="zh-CN" w:bidi="ar-SA"/>
        </w:rPr>
        <w:t>5.多模态输入视图构建</w:t>
      </w:r>
      <w:r>
        <w:rPr>
          <w:rFonts w:hint="eastAsia"/>
          <w:kern w:val="2"/>
          <w:sz w:val="21"/>
          <w:szCs w:val="24"/>
          <w:lang w:val="en-US" w:eastAsia="zh-CN" w:bidi="ar-SA"/>
        </w:rPr>
        <w:t>：</w:t>
      </w:r>
      <w:r>
        <w:rPr>
          <w:rFonts w:hint="default"/>
          <w:kern w:val="2"/>
          <w:sz w:val="21"/>
          <w:szCs w:val="24"/>
          <w:lang w:val="en-US" w:eastAsia="zh-CN" w:bidi="ar-SA"/>
        </w:rPr>
        <w:t>为了构建全方位的分子表征空间，除上述增强后的文本模态外，本文进一步基于清洗后的SMILES序列，利用RDKit工具包生成了分子的2D拓扑图结构（Graph）与分子指纹（Fingerprint），形成了“图—序列—指纹—文本”四位一体的</w:t>
      </w:r>
      <w:r>
        <w:rPr>
          <w:rFonts w:hint="eastAsia"/>
          <w:kern w:val="2"/>
          <w:sz w:val="21"/>
          <w:szCs w:val="24"/>
          <w:lang w:val="en-US" w:eastAsia="zh-CN" w:bidi="ar-SA"/>
        </w:rPr>
        <w:t>多模态</w:t>
      </w:r>
      <w:r>
        <w:rPr>
          <w:rFonts w:hint="default"/>
          <w:kern w:val="2"/>
          <w:sz w:val="21"/>
          <w:szCs w:val="24"/>
          <w:lang w:val="en-US" w:eastAsia="zh-CN" w:bidi="ar-SA"/>
        </w:rPr>
        <w:t>输入数据</w:t>
      </w:r>
      <w:r>
        <w:rPr>
          <w:rFonts w:hint="eastAsia"/>
          <w:kern w:val="2"/>
          <w:sz w:val="21"/>
          <w:szCs w:val="24"/>
          <w:lang w:val="en-US" w:eastAsia="zh-CN" w:bidi="ar-SA"/>
        </w:rPr>
        <w:t>。</w:t>
      </w:r>
    </w:p>
    <w:p w14:paraId="5322A33A">
      <w:pPr>
        <w:bidi w:val="0"/>
        <w:rPr>
          <w:rFonts w:hint="default"/>
          <w:lang w:val="en-US" w:eastAsia="zh-CN"/>
        </w:rPr>
      </w:pPr>
      <w:r>
        <w:rPr>
          <w:rFonts w:hint="default"/>
          <w:lang w:val="en-US" w:eastAsia="zh-CN"/>
        </w:rPr>
        <w:t>通过上述流程，本文成功构建了一个包含约22万个高质量</w:t>
      </w:r>
      <w:r>
        <w:rPr>
          <w:rFonts w:hint="eastAsia"/>
          <w:lang w:val="en-US" w:eastAsia="zh-CN"/>
        </w:rPr>
        <w:t>多模态</w:t>
      </w:r>
      <w:r>
        <w:rPr>
          <w:rFonts w:hint="default"/>
          <w:lang w:val="en-US" w:eastAsia="zh-CN"/>
        </w:rPr>
        <w:t>预训练数据集，为后续的多模态对比学习提供了坚实的数据基础。</w:t>
      </w:r>
    </w:p>
    <w:p w14:paraId="03163B31">
      <w:pPr>
        <w:pStyle w:val="4"/>
        <w:bidi w:val="0"/>
        <w:rPr>
          <w:rFonts w:hint="default"/>
          <w:lang w:val="en-US" w:eastAsia="zh-CN"/>
        </w:rPr>
      </w:pPr>
      <w:r>
        <w:rPr>
          <w:rFonts w:hint="eastAsia"/>
          <w:lang w:val="en-US" w:eastAsia="zh-CN"/>
        </w:rPr>
        <w:t>下游数据集介绍</w:t>
      </w:r>
    </w:p>
    <w:p w14:paraId="40A8DD1F">
      <w:pPr>
        <w:bidi w:val="0"/>
        <w:rPr>
          <w:rFonts w:hint="eastAsia"/>
          <w:lang w:val="en-US" w:eastAsia="zh-CN"/>
        </w:rPr>
      </w:pPr>
      <w:r>
        <w:rPr>
          <w:rFonts w:hint="eastAsia"/>
          <w:lang w:val="en-US" w:eastAsia="zh-CN"/>
        </w:rPr>
        <w:t>为评估本文预训练模型在下游分子性质预测任务中的泛化能力和迁移能力，本文选取了MoleculeNet数据集中9个具有代表性的数据集进行效果评估。</w:t>
      </w:r>
      <w:r>
        <w:rPr>
          <w:rFonts w:ascii="宋体" w:hAnsi="宋体" w:eastAsia="宋体" w:cs="宋体"/>
          <w:sz w:val="21"/>
          <w:szCs w:val="21"/>
        </w:rPr>
        <w:t>MoleculeNet由Wu等于2018年提出，通过提供统一的数据划分策略、评价指标及实验协议，解决了过往研究中因基准不一致导致模型性能难以横向比较的问题。</w:t>
      </w:r>
      <w:r>
        <w:rPr>
          <w:rFonts w:hint="eastAsia" w:ascii="宋体" w:hAnsi="宋体" w:eastAsia="宋体" w:cs="宋体"/>
          <w:sz w:val="21"/>
          <w:szCs w:val="21"/>
        </w:rPr>
        <w:t>本文选用的数据集涵盖了生物物理学、生理学及物理化学等多个领域，包含6个分类任务与3个回归任务。具体的数据集统计信息及划分方式如表3.3所示。</w:t>
      </w:r>
    </w:p>
    <w:tbl>
      <w:tblPr>
        <w:tblStyle w:val="17"/>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95"/>
        <w:gridCol w:w="1173"/>
        <w:gridCol w:w="1199"/>
        <w:gridCol w:w="1314"/>
        <w:gridCol w:w="1208"/>
        <w:gridCol w:w="1128"/>
      </w:tblGrid>
      <w:tr w14:paraId="46D733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bottom w:val="single" w:color="auto" w:sz="8" w:space="0"/>
            </w:tcBorders>
          </w:tcPr>
          <w:p w14:paraId="3BB4B05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lang w:val="en-US" w:eastAsia="zh-CN"/>
              </w:rPr>
              <w:t>数据集</w:t>
            </w:r>
          </w:p>
        </w:tc>
        <w:tc>
          <w:tcPr>
            <w:tcW w:w="1173" w:type="dxa"/>
            <w:tcBorders>
              <w:bottom w:val="single" w:color="auto" w:sz="8" w:space="0"/>
            </w:tcBorders>
          </w:tcPr>
          <w:p w14:paraId="060FE2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任务类型</w:t>
            </w:r>
          </w:p>
        </w:tc>
        <w:tc>
          <w:tcPr>
            <w:tcW w:w="1199" w:type="dxa"/>
            <w:tcBorders>
              <w:bottom w:val="single" w:color="auto" w:sz="8" w:space="0"/>
            </w:tcBorders>
          </w:tcPr>
          <w:p w14:paraId="1103793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分子数</w:t>
            </w:r>
          </w:p>
        </w:tc>
        <w:tc>
          <w:tcPr>
            <w:tcW w:w="1314" w:type="dxa"/>
            <w:tcBorders>
              <w:bottom w:val="single" w:color="auto" w:sz="8" w:space="0"/>
            </w:tcBorders>
          </w:tcPr>
          <w:p w14:paraId="743447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种类</w:t>
            </w:r>
          </w:p>
        </w:tc>
        <w:tc>
          <w:tcPr>
            <w:tcW w:w="1208" w:type="dxa"/>
            <w:tcBorders>
              <w:bottom w:val="single" w:color="auto" w:sz="8" w:space="0"/>
            </w:tcBorders>
          </w:tcPr>
          <w:p w14:paraId="75B25F4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指标</w:t>
            </w:r>
          </w:p>
        </w:tc>
        <w:tc>
          <w:tcPr>
            <w:tcW w:w="1128" w:type="dxa"/>
            <w:tcBorders>
              <w:bottom w:val="single" w:color="auto" w:sz="8" w:space="0"/>
            </w:tcBorders>
          </w:tcPr>
          <w:p w14:paraId="19CC6B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划分方式</w:t>
            </w:r>
          </w:p>
        </w:tc>
      </w:tr>
      <w:tr w14:paraId="75A803A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op w:val="single" w:color="auto" w:sz="8" w:space="0"/>
              <w:tl2br w:val="nil"/>
              <w:tr2bl w:val="nil"/>
            </w:tcBorders>
          </w:tcPr>
          <w:p w14:paraId="3454CBE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BACE</w:t>
            </w:r>
          </w:p>
        </w:tc>
        <w:tc>
          <w:tcPr>
            <w:tcW w:w="1173" w:type="dxa"/>
            <w:tcBorders>
              <w:top w:val="single" w:color="auto" w:sz="8" w:space="0"/>
              <w:tl2br w:val="nil"/>
              <w:tr2bl w:val="nil"/>
            </w:tcBorders>
          </w:tcPr>
          <w:p w14:paraId="5B7E790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op w:val="single" w:color="auto" w:sz="8" w:space="0"/>
              <w:tl2br w:val="nil"/>
              <w:tr2bl w:val="nil"/>
            </w:tcBorders>
          </w:tcPr>
          <w:p w14:paraId="03A73B4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1513</w:t>
            </w:r>
          </w:p>
        </w:tc>
        <w:tc>
          <w:tcPr>
            <w:tcW w:w="1314" w:type="dxa"/>
            <w:tcBorders>
              <w:top w:val="single" w:color="auto" w:sz="8" w:space="0"/>
              <w:tl2br w:val="nil"/>
              <w:tr2bl w:val="nil"/>
            </w:tcBorders>
          </w:tcPr>
          <w:p w14:paraId="5357DE6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生物物理学</w:t>
            </w:r>
          </w:p>
        </w:tc>
        <w:tc>
          <w:tcPr>
            <w:tcW w:w="1208" w:type="dxa"/>
            <w:tcBorders>
              <w:top w:val="single" w:color="auto" w:sz="8" w:space="0"/>
              <w:tl2br w:val="nil"/>
              <w:tr2bl w:val="nil"/>
            </w:tcBorders>
          </w:tcPr>
          <w:p w14:paraId="3A19320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op w:val="single" w:color="auto" w:sz="8" w:space="0"/>
              <w:tl2br w:val="nil"/>
              <w:tr2bl w:val="nil"/>
            </w:tcBorders>
          </w:tcPr>
          <w:p w14:paraId="4238280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4596F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1B8C2B7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173" w:type="dxa"/>
            <w:tcBorders>
              <w:tl2br w:val="nil"/>
              <w:tr2bl w:val="nil"/>
            </w:tcBorders>
          </w:tcPr>
          <w:p w14:paraId="70787EF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B0840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314" w:type="dxa"/>
            <w:tcBorders>
              <w:tl2br w:val="nil"/>
              <w:tr2bl w:val="nil"/>
            </w:tcBorders>
          </w:tcPr>
          <w:p w14:paraId="485F454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生理学</w:t>
            </w:r>
          </w:p>
        </w:tc>
        <w:tc>
          <w:tcPr>
            <w:tcW w:w="1208" w:type="dxa"/>
            <w:tcBorders>
              <w:tl2br w:val="nil"/>
              <w:tr2bl w:val="nil"/>
            </w:tcBorders>
          </w:tcPr>
          <w:p w14:paraId="4FB14AC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688BB84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478EF0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32F7E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1173" w:type="dxa"/>
            <w:tcBorders>
              <w:tl2br w:val="nil"/>
              <w:tr2bl w:val="nil"/>
            </w:tcBorders>
          </w:tcPr>
          <w:p w14:paraId="2DD7733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47D3D21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1314" w:type="dxa"/>
            <w:tcBorders>
              <w:tl2br w:val="nil"/>
              <w:tr2bl w:val="nil"/>
            </w:tcBorders>
          </w:tcPr>
          <w:p w14:paraId="7D0D3152">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B7C1CA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7EFCA47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99B28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41F044D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173" w:type="dxa"/>
            <w:tcBorders>
              <w:tl2br w:val="nil"/>
              <w:tr2bl w:val="nil"/>
            </w:tcBorders>
          </w:tcPr>
          <w:p w14:paraId="34FAA96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22C16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314" w:type="dxa"/>
            <w:tcBorders>
              <w:tl2br w:val="nil"/>
              <w:tr2bl w:val="nil"/>
            </w:tcBorders>
          </w:tcPr>
          <w:p w14:paraId="035F058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2BD0729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439F5DE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骨架划分</w:t>
            </w:r>
          </w:p>
        </w:tc>
      </w:tr>
      <w:tr w14:paraId="279686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18D38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1173" w:type="dxa"/>
            <w:tcBorders>
              <w:tl2br w:val="nil"/>
              <w:tr2bl w:val="nil"/>
            </w:tcBorders>
          </w:tcPr>
          <w:p w14:paraId="52D76B9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36E4274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1314" w:type="dxa"/>
            <w:tcBorders>
              <w:tl2br w:val="nil"/>
              <w:tr2bl w:val="nil"/>
            </w:tcBorders>
          </w:tcPr>
          <w:p w14:paraId="5B2C895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6EE18D2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5BE6656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1DE8331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B61BAB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c>
          <w:tcPr>
            <w:tcW w:w="1173" w:type="dxa"/>
            <w:tcBorders>
              <w:tl2br w:val="nil"/>
              <w:tr2bl w:val="nil"/>
            </w:tcBorders>
          </w:tcPr>
          <w:p w14:paraId="6F7486B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分类</w:t>
            </w:r>
          </w:p>
        </w:tc>
        <w:tc>
          <w:tcPr>
            <w:tcW w:w="1199" w:type="dxa"/>
            <w:tcBorders>
              <w:tl2br w:val="nil"/>
              <w:tr2bl w:val="nil"/>
            </w:tcBorders>
          </w:tcPr>
          <w:p w14:paraId="226082BB">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c>
          <w:tcPr>
            <w:tcW w:w="1314" w:type="dxa"/>
            <w:tcBorders>
              <w:tl2br w:val="nil"/>
              <w:tr2bl w:val="nil"/>
            </w:tcBorders>
          </w:tcPr>
          <w:p w14:paraId="13D67058">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生理学</w:t>
            </w:r>
          </w:p>
        </w:tc>
        <w:tc>
          <w:tcPr>
            <w:tcW w:w="1208" w:type="dxa"/>
            <w:tcBorders>
              <w:tl2br w:val="nil"/>
              <w:tr2bl w:val="nil"/>
            </w:tcBorders>
          </w:tcPr>
          <w:p w14:paraId="76AAE12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AUC</w:t>
            </w:r>
          </w:p>
        </w:tc>
        <w:tc>
          <w:tcPr>
            <w:tcW w:w="1128" w:type="dxa"/>
            <w:tcBorders>
              <w:tl2br w:val="nil"/>
              <w:tr2bl w:val="nil"/>
            </w:tcBorders>
          </w:tcPr>
          <w:p w14:paraId="39024CD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0510350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38535AA9">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FreeSolv</w:t>
            </w:r>
          </w:p>
        </w:tc>
        <w:tc>
          <w:tcPr>
            <w:tcW w:w="1173" w:type="dxa"/>
            <w:tcBorders>
              <w:tl2br w:val="nil"/>
              <w:tr2bl w:val="nil"/>
            </w:tcBorders>
          </w:tcPr>
          <w:p w14:paraId="524D025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80D584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642</w:t>
            </w:r>
          </w:p>
        </w:tc>
        <w:tc>
          <w:tcPr>
            <w:tcW w:w="1314" w:type="dxa"/>
            <w:tcBorders>
              <w:tl2br w:val="nil"/>
              <w:tr2bl w:val="nil"/>
            </w:tcBorders>
          </w:tcPr>
          <w:p w14:paraId="54E24C80">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255B68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5FD0303E">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205AAA7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7569E0B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ESOL</w:t>
            </w:r>
          </w:p>
        </w:tc>
        <w:tc>
          <w:tcPr>
            <w:tcW w:w="1173" w:type="dxa"/>
            <w:tcBorders>
              <w:tl2br w:val="nil"/>
              <w:tr2bl w:val="nil"/>
            </w:tcBorders>
          </w:tcPr>
          <w:p w14:paraId="02EB747F">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1A0C3B7C">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1128</w:t>
            </w:r>
          </w:p>
        </w:tc>
        <w:tc>
          <w:tcPr>
            <w:tcW w:w="1314" w:type="dxa"/>
            <w:tcBorders>
              <w:tl2br w:val="nil"/>
              <w:tr2bl w:val="nil"/>
            </w:tcBorders>
          </w:tcPr>
          <w:p w14:paraId="72B959F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6EF4C12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0E2C41B1">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r w14:paraId="6AB852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95" w:type="dxa"/>
            <w:tcBorders>
              <w:tl2br w:val="nil"/>
              <w:tr2bl w:val="nil"/>
            </w:tcBorders>
          </w:tcPr>
          <w:p w14:paraId="2D4EDBCA">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Lipo</w:t>
            </w:r>
          </w:p>
        </w:tc>
        <w:tc>
          <w:tcPr>
            <w:tcW w:w="1173" w:type="dxa"/>
            <w:tcBorders>
              <w:tl2br w:val="nil"/>
              <w:tr2bl w:val="nil"/>
            </w:tcBorders>
          </w:tcPr>
          <w:p w14:paraId="27B2B653">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回归</w:t>
            </w:r>
          </w:p>
        </w:tc>
        <w:tc>
          <w:tcPr>
            <w:tcW w:w="1199" w:type="dxa"/>
            <w:tcBorders>
              <w:tl2br w:val="nil"/>
              <w:tr2bl w:val="nil"/>
            </w:tcBorders>
          </w:tcPr>
          <w:p w14:paraId="5991D12D">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4200</w:t>
            </w:r>
          </w:p>
        </w:tc>
        <w:tc>
          <w:tcPr>
            <w:tcW w:w="1314" w:type="dxa"/>
            <w:tcBorders>
              <w:tl2br w:val="nil"/>
              <w:tr2bl w:val="nil"/>
            </w:tcBorders>
          </w:tcPr>
          <w:p w14:paraId="15AF71B4">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物理化学</w:t>
            </w:r>
          </w:p>
        </w:tc>
        <w:tc>
          <w:tcPr>
            <w:tcW w:w="1208" w:type="dxa"/>
            <w:tcBorders>
              <w:tl2br w:val="nil"/>
              <w:tr2bl w:val="nil"/>
            </w:tcBorders>
          </w:tcPr>
          <w:p w14:paraId="10768BD5">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RMSE</w:t>
            </w:r>
          </w:p>
        </w:tc>
        <w:tc>
          <w:tcPr>
            <w:tcW w:w="1128" w:type="dxa"/>
            <w:tcBorders>
              <w:tl2br w:val="nil"/>
              <w:tr2bl w:val="nil"/>
            </w:tcBorders>
          </w:tcPr>
          <w:p w14:paraId="41603BD7">
            <w:pPr>
              <w:pageBreakBefore w:val="0"/>
              <w:kinsoku/>
              <w:wordWrap/>
              <w:overflowPunct/>
              <w:topLinePunct w:val="0"/>
              <w:autoSpaceDE/>
              <w:autoSpaceDN/>
              <w:bidi w:val="0"/>
              <w:adjustRightInd/>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骨架划分</w:t>
            </w:r>
          </w:p>
        </w:tc>
      </w:tr>
    </w:tbl>
    <w:p w14:paraId="18E28228">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BACE：判断分子是否为β-分泌酶1的抑制剂 —— BACE1过度激活会导致大脑中异常淀粉样蛋白沉积，是阿尔茨海默病的关键致病因素，该任务用于筛选潜在的抗阿尔茨海默病药物。</w:t>
      </w:r>
    </w:p>
    <w:p w14:paraId="53E32D4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BBBP：判断分子能否穿透血脑屏障 —— 血脑屏障是中枢神经系统（如大脑）的保护屏障，若开发治疗阿尔茨海默病、帕金森病等脑部疾病的药物，需分子具备穿透该屏障的能力。</w:t>
      </w:r>
    </w:p>
    <w:p w14:paraId="5F9CE71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ClinTox：判断分子在临床实验阶段是否存在毒性，如肝毒性、心脏毒性 —— 临床阶段是药物研发的关键环节，该任务可筛选出临床风险低的分子，降低研发失败率。</w:t>
      </w:r>
    </w:p>
    <w:p w14:paraId="08D501A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Tox21：判断分子对 21 种毒性相关生物靶点的活性 —— 这些靶点与细胞毒性、遗传毒性等密切相关，该任务可全面评估分子的多维度毒性，是药物安全性评估的核心任务之一。ToxCast：判断分子是否具有致癌性、致突变性等长期毒性 —— 长期毒性是药物上市前的重要评估指标，该任务可提前识别分子的潜在长期风险。</w:t>
      </w:r>
    </w:p>
    <w:p w14:paraId="00A0AD9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SIDER：判断分子是否具有已知的副作用 —— SIDER 数据库收录了药物已报道的副作用信息，该任务可提前评估分子的安全性风险，避免后续临床实验中因严重副作用终止研发。</w:t>
      </w:r>
    </w:p>
    <w:p w14:paraId="1383A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ESOL：预测分子的水溶性 —— 水溶性直接影响药物的口服吸收、生物利用度，水溶性过低的药物可能无法被人体有效吸收，该任务可指导优化分子结构以提升水溶性。</w:t>
      </w:r>
    </w:p>
    <w:p w14:paraId="29C3538C">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FreeSolv：预测分子在水中的溶剂化自由能 —— 溶剂化自由能反映分子与水的相互作用强度，与药物的溶解度、稳定性密切相关，该任务为分子的溶剂选择、剂型设计提供依据。Lipo：预测分子的脂溶性 —— 脂溶性影响药物的跨膜吸收、组织分布，脂溶性过高或过低都会影响药效，该任务可优化分子的脂溶性以平衡吸收与分布。</w:t>
      </w:r>
    </w:p>
    <w:p w14:paraId="2D9AC9CE">
      <w:pPr>
        <w:pStyle w:val="4"/>
        <w:bidi w:val="0"/>
        <w:rPr>
          <w:rFonts w:hint="default"/>
          <w:lang w:val="en-US" w:eastAsia="zh-CN"/>
        </w:rPr>
      </w:pPr>
      <w:r>
        <w:rPr>
          <w:rFonts w:hint="eastAsia"/>
          <w:lang w:val="en-US" w:eastAsia="zh-CN"/>
        </w:rPr>
        <w:t>实验环境</w:t>
      </w:r>
    </w:p>
    <w:p w14:paraId="226FB38D">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r>
        <w:rPr>
          <w:rFonts w:hint="eastAsia"/>
          <w:lang w:val="en-US" w:eastAsia="zh-CN"/>
        </w:rPr>
        <w:t>本文实验均在Linux操作系统上进行实验，各个类别的详细信息如图所示。</w:t>
      </w:r>
    </w:p>
    <w:tbl>
      <w:tblPr>
        <w:tblStyle w:val="17"/>
        <w:tblW w:w="7989" w:type="dxa"/>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85"/>
        <w:gridCol w:w="1999"/>
        <w:gridCol w:w="4605"/>
      </w:tblGrid>
      <w:tr w14:paraId="04AFF20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tcBorders>
              <w:bottom w:val="single" w:color="auto" w:sz="8" w:space="0"/>
            </w:tcBorders>
            <w:vAlign w:val="center"/>
          </w:tcPr>
          <w:p w14:paraId="1DA964C8">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类别</w:t>
            </w:r>
          </w:p>
        </w:tc>
        <w:tc>
          <w:tcPr>
            <w:tcW w:w="1999" w:type="dxa"/>
            <w:tcBorders>
              <w:bottom w:val="single" w:color="auto" w:sz="8" w:space="0"/>
            </w:tcBorders>
            <w:vAlign w:val="center"/>
          </w:tcPr>
          <w:p w14:paraId="5669979B">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组件/库</w:t>
            </w:r>
          </w:p>
        </w:tc>
        <w:tc>
          <w:tcPr>
            <w:tcW w:w="4605" w:type="dxa"/>
            <w:tcBorders>
              <w:bottom w:val="single" w:color="auto" w:sz="8" w:space="0"/>
            </w:tcBorders>
            <w:vAlign w:val="center"/>
          </w:tcPr>
          <w:p w14:paraId="54B8A42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版本/规格</w:t>
            </w:r>
          </w:p>
        </w:tc>
      </w:tr>
      <w:tr w14:paraId="1952F43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cBorders>
            <w:shd w:val="clear" w:color="auto" w:fill="auto"/>
            <w:vAlign w:val="center"/>
          </w:tcPr>
          <w:p w14:paraId="726A2BBF">
            <w:pPr>
              <w:pageBreakBefore w:val="0"/>
              <w:kinsoku/>
              <w:wordWrap/>
              <w:overflowPunct/>
              <w:topLinePunct w:val="0"/>
              <w:autoSpaceDE/>
              <w:autoSpaceDN/>
              <w:bidi w:val="0"/>
              <w:adjustRightInd/>
              <w:spacing w:beforeAutospacing="0" w:afterAutospacing="0" w:line="360" w:lineRule="auto"/>
              <w:ind w:left="0" w:leftChars="0" w:firstLine="420" w:firstLineChars="200"/>
              <w:jc w:val="left"/>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系统</w:t>
            </w:r>
          </w:p>
        </w:tc>
        <w:tc>
          <w:tcPr>
            <w:tcW w:w="1999" w:type="dxa"/>
            <w:tcBorders>
              <w:top w:val="single" w:color="auto" w:sz="8" w:space="0"/>
            </w:tcBorders>
            <w:shd w:val="clear" w:color="auto" w:fill="auto"/>
            <w:vAlign w:val="center"/>
          </w:tcPr>
          <w:p w14:paraId="4308254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OS</w:t>
            </w:r>
          </w:p>
        </w:tc>
        <w:tc>
          <w:tcPr>
            <w:tcW w:w="4605" w:type="dxa"/>
            <w:tcBorders>
              <w:top w:val="single" w:color="auto" w:sz="8" w:space="0"/>
            </w:tcBorders>
            <w:shd w:val="clear" w:color="auto" w:fill="auto"/>
            <w:vAlign w:val="center"/>
          </w:tcPr>
          <w:p w14:paraId="773A262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Ubuntu 24.04.1 LTS</w:t>
            </w:r>
          </w:p>
        </w:tc>
      </w:tr>
      <w:tr w14:paraId="29A08D4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auto" w:sz="8" w:space="0"/>
            </w:tcBorders>
            <w:vAlign w:val="center"/>
          </w:tcPr>
          <w:p w14:paraId="2AC1A3A2">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auto" w:sz="8" w:space="0"/>
            </w:tcBorders>
            <w:shd w:val="clear" w:color="auto" w:fill="auto"/>
            <w:vAlign w:val="center"/>
          </w:tcPr>
          <w:p w14:paraId="6740381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CUDA</w:t>
            </w:r>
          </w:p>
        </w:tc>
        <w:tc>
          <w:tcPr>
            <w:tcW w:w="4605" w:type="dxa"/>
            <w:tcBorders>
              <w:bottom w:val="single" w:color="auto" w:sz="8" w:space="0"/>
            </w:tcBorders>
            <w:shd w:val="clear" w:color="auto" w:fill="auto"/>
            <w:vAlign w:val="center"/>
          </w:tcPr>
          <w:p w14:paraId="4DE4AFE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12.2</w:t>
            </w:r>
          </w:p>
        </w:tc>
      </w:tr>
      <w:tr w14:paraId="00FB8A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auto" w:sz="8" w:space="0"/>
              <w:tl2br w:val="nil"/>
              <w:tr2bl w:val="nil"/>
            </w:tcBorders>
            <w:vAlign w:val="center"/>
          </w:tcPr>
          <w:p w14:paraId="525C98A5">
            <w:pPr>
              <w:pageBreakBefore w:val="0"/>
              <w:kinsoku/>
              <w:wordWrap/>
              <w:overflowPunct/>
              <w:topLinePunct w:val="0"/>
              <w:autoSpaceDE/>
              <w:autoSpaceDN/>
              <w:bidi w:val="0"/>
              <w:adjustRightInd/>
              <w:spacing w:beforeAutospacing="0" w:afterAutospacing="0" w:line="360" w:lineRule="auto"/>
              <w:jc w:val="left"/>
              <w:textAlignment w:val="auto"/>
              <w:rPr>
                <w:rFonts w:hint="default"/>
                <w:vertAlign w:val="baseline"/>
                <w:lang w:val="en-US" w:eastAsia="zh-CN"/>
              </w:rPr>
            </w:pPr>
            <w:r>
              <w:rPr>
                <w:rFonts w:hint="eastAsia"/>
                <w:vertAlign w:val="baseline"/>
                <w:lang w:val="en-US" w:eastAsia="zh-CN"/>
              </w:rPr>
              <w:t>硬件</w:t>
            </w:r>
          </w:p>
        </w:tc>
        <w:tc>
          <w:tcPr>
            <w:tcW w:w="1999" w:type="dxa"/>
            <w:tcBorders>
              <w:top w:val="single" w:color="auto" w:sz="8" w:space="0"/>
              <w:tl2br w:val="nil"/>
              <w:tr2bl w:val="nil"/>
            </w:tcBorders>
            <w:vAlign w:val="center"/>
          </w:tcPr>
          <w:p w14:paraId="65EFA1CF">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GPU</w:t>
            </w:r>
          </w:p>
        </w:tc>
        <w:tc>
          <w:tcPr>
            <w:tcW w:w="4605" w:type="dxa"/>
            <w:tcBorders>
              <w:top w:val="single" w:color="auto" w:sz="8" w:space="0"/>
              <w:tl2br w:val="nil"/>
              <w:tr2bl w:val="nil"/>
            </w:tcBorders>
            <w:vAlign w:val="center"/>
          </w:tcPr>
          <w:p w14:paraId="2621D9F6">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NVIDIA GeForce RTX 4090 (24GB)</w:t>
            </w:r>
          </w:p>
        </w:tc>
      </w:tr>
      <w:tr w14:paraId="4E471E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16A2D8EE">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tl2br w:val="nil"/>
              <w:tr2bl w:val="nil"/>
            </w:tcBorders>
            <w:vAlign w:val="center"/>
          </w:tcPr>
          <w:p w14:paraId="0E43EFE2">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CPU</w:t>
            </w:r>
          </w:p>
        </w:tc>
        <w:tc>
          <w:tcPr>
            <w:tcW w:w="4605" w:type="dxa"/>
            <w:tcBorders>
              <w:tl2br w:val="nil"/>
              <w:tr2bl w:val="nil"/>
            </w:tcBorders>
            <w:vAlign w:val="center"/>
          </w:tcPr>
          <w:p w14:paraId="206D7E9A">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Intel Core i7-12700KF</w:t>
            </w:r>
          </w:p>
        </w:tc>
      </w:tr>
      <w:tr w14:paraId="7657CBB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bottom w:val="single" w:color="000000" w:sz="8" w:space="0"/>
              <w:tl2br w:val="nil"/>
              <w:tr2bl w:val="nil"/>
            </w:tcBorders>
            <w:vAlign w:val="center"/>
          </w:tcPr>
          <w:p w14:paraId="2C652F2B">
            <w:pPr>
              <w:pageBreakBefore w:val="0"/>
              <w:kinsoku/>
              <w:wordWrap/>
              <w:overflowPunct/>
              <w:topLinePunct w:val="0"/>
              <w:autoSpaceDE/>
              <w:autoSpaceDN/>
              <w:bidi w:val="0"/>
              <w:adjustRightInd/>
              <w:spacing w:beforeAutospacing="0" w:afterAutospacing="0" w:line="360" w:lineRule="auto"/>
              <w:jc w:val="left"/>
              <w:textAlignment w:val="auto"/>
              <w:rPr>
                <w:rFonts w:hint="eastAsia"/>
                <w:vertAlign w:val="baseline"/>
                <w:lang w:val="en-US" w:eastAsia="zh-CN"/>
              </w:rPr>
            </w:pPr>
          </w:p>
        </w:tc>
        <w:tc>
          <w:tcPr>
            <w:tcW w:w="1999" w:type="dxa"/>
            <w:tcBorders>
              <w:bottom w:val="single" w:color="000000" w:sz="8" w:space="0"/>
              <w:tl2br w:val="nil"/>
              <w:tr2bl w:val="nil"/>
            </w:tcBorders>
            <w:vAlign w:val="center"/>
          </w:tcPr>
          <w:p w14:paraId="6A8C2640">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RAM</w:t>
            </w:r>
          </w:p>
        </w:tc>
        <w:tc>
          <w:tcPr>
            <w:tcW w:w="4605" w:type="dxa"/>
            <w:tcBorders>
              <w:bottom w:val="single" w:color="000000" w:sz="8" w:space="0"/>
              <w:tl2br w:val="nil"/>
              <w:tr2bl w:val="nil"/>
            </w:tcBorders>
            <w:vAlign w:val="center"/>
          </w:tcPr>
          <w:p w14:paraId="0589DAB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64G</w:t>
            </w:r>
          </w:p>
        </w:tc>
      </w:tr>
      <w:tr w14:paraId="019D97E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restart"/>
            <w:tcBorders>
              <w:top w:val="single" w:color="000000" w:sz="8" w:space="0"/>
              <w:tl2br w:val="nil"/>
              <w:tr2bl w:val="nil"/>
            </w:tcBorders>
            <w:vAlign w:val="center"/>
          </w:tcPr>
          <w:p w14:paraId="60163BA4">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default"/>
                <w:vertAlign w:val="baseline"/>
                <w:lang w:val="en-US" w:eastAsia="zh-CN"/>
              </w:rPr>
            </w:pPr>
            <w:r>
              <w:rPr>
                <w:rFonts w:hint="eastAsia"/>
                <w:vertAlign w:val="baseline"/>
                <w:lang w:val="en-US" w:eastAsia="zh-CN"/>
              </w:rPr>
              <w:t xml:space="preserve">    软件</w:t>
            </w:r>
          </w:p>
        </w:tc>
        <w:tc>
          <w:tcPr>
            <w:tcW w:w="1999" w:type="dxa"/>
            <w:tcBorders>
              <w:top w:val="single" w:color="000000" w:sz="8" w:space="0"/>
              <w:tl2br w:val="nil"/>
              <w:tr2bl w:val="nil"/>
            </w:tcBorders>
            <w:vAlign w:val="center"/>
          </w:tcPr>
          <w:p w14:paraId="53FBBF3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Python</w:t>
            </w:r>
          </w:p>
        </w:tc>
        <w:tc>
          <w:tcPr>
            <w:tcW w:w="4605" w:type="dxa"/>
            <w:tcBorders>
              <w:top w:val="single" w:color="000000" w:sz="8" w:space="0"/>
              <w:tl2br w:val="nil"/>
              <w:tr2bl w:val="nil"/>
            </w:tcBorders>
            <w:vAlign w:val="center"/>
          </w:tcPr>
          <w:p w14:paraId="7700C60A">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3.10.19</w:t>
            </w:r>
          </w:p>
        </w:tc>
      </w:tr>
      <w:tr w14:paraId="2F6FBCC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5EB34913">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1FF7CA8">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PyTorch</w:t>
            </w:r>
          </w:p>
        </w:tc>
        <w:tc>
          <w:tcPr>
            <w:tcW w:w="4605" w:type="dxa"/>
            <w:tcBorders>
              <w:tl2br w:val="nil"/>
              <w:tr2bl w:val="nil"/>
            </w:tcBorders>
            <w:vAlign w:val="center"/>
          </w:tcPr>
          <w:p w14:paraId="4E5FE5F9">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2.4.1+cu121</w:t>
            </w:r>
          </w:p>
        </w:tc>
      </w:tr>
      <w:tr w14:paraId="0CB7B0A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6C422461">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693B78C3">
            <w:pPr>
              <w:pageBreakBefore w:val="0"/>
              <w:kinsoku/>
              <w:wordWrap/>
              <w:overflowPunct/>
              <w:topLinePunct w:val="0"/>
              <w:autoSpaceDE/>
              <w:autoSpaceDN/>
              <w:bidi w:val="0"/>
              <w:adjustRightInd/>
              <w:spacing w:beforeAutospacing="0" w:afterAutospacing="0" w:line="360" w:lineRule="auto"/>
              <w:ind w:left="420" w:leftChars="200" w:firstLine="0" w:firstLineChars="0"/>
              <w:jc w:val="both"/>
              <w:textAlignment w:val="auto"/>
              <w:rPr>
                <w:rFonts w:hint="eastAsia"/>
                <w:vertAlign w:val="baseline"/>
                <w:lang w:val="en-US" w:eastAsia="zh-CN"/>
              </w:rPr>
            </w:pPr>
            <w:r>
              <w:rPr>
                <w:rFonts w:hint="eastAsia"/>
                <w:vertAlign w:val="baseline"/>
                <w:lang w:val="en-US" w:eastAsia="zh-CN"/>
              </w:rPr>
              <w:t>Geometric</w:t>
            </w:r>
          </w:p>
        </w:tc>
        <w:tc>
          <w:tcPr>
            <w:tcW w:w="4605" w:type="dxa"/>
            <w:tcBorders>
              <w:tl2br w:val="nil"/>
              <w:tr2bl w:val="nil"/>
            </w:tcBorders>
            <w:vAlign w:val="center"/>
          </w:tcPr>
          <w:p w14:paraId="150761B7">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2.7.0</w:t>
            </w:r>
          </w:p>
        </w:tc>
      </w:tr>
      <w:tr w14:paraId="3227F60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385" w:type="dxa"/>
            <w:vMerge w:val="continue"/>
            <w:tcBorders>
              <w:tl2br w:val="nil"/>
              <w:tr2bl w:val="nil"/>
            </w:tcBorders>
            <w:vAlign w:val="center"/>
          </w:tcPr>
          <w:p w14:paraId="7809350D">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p>
        </w:tc>
        <w:tc>
          <w:tcPr>
            <w:tcW w:w="1999" w:type="dxa"/>
            <w:tcBorders>
              <w:tl2br w:val="nil"/>
              <w:tr2bl w:val="nil"/>
            </w:tcBorders>
            <w:vAlign w:val="center"/>
          </w:tcPr>
          <w:p w14:paraId="5147F022">
            <w:pPr>
              <w:pageBreakBefore w:val="0"/>
              <w:kinsoku/>
              <w:wordWrap/>
              <w:overflowPunct/>
              <w:topLinePunct w:val="0"/>
              <w:autoSpaceDE/>
              <w:autoSpaceDN/>
              <w:bidi w:val="0"/>
              <w:adjustRightInd/>
              <w:spacing w:beforeAutospacing="0" w:afterAutospacing="0" w:line="360" w:lineRule="auto"/>
              <w:jc w:val="both"/>
              <w:textAlignment w:val="auto"/>
              <w:rPr>
                <w:rFonts w:hint="eastAsia"/>
                <w:vertAlign w:val="baseline"/>
                <w:lang w:val="en-US" w:eastAsia="zh-CN"/>
              </w:rPr>
            </w:pPr>
            <w:r>
              <w:rPr>
                <w:rFonts w:hint="eastAsia"/>
                <w:vertAlign w:val="baseline"/>
                <w:lang w:val="en-US" w:eastAsia="zh-CN"/>
              </w:rPr>
              <w:t>RDKit</w:t>
            </w:r>
          </w:p>
        </w:tc>
        <w:tc>
          <w:tcPr>
            <w:tcW w:w="4605" w:type="dxa"/>
            <w:tcBorders>
              <w:tl2br w:val="nil"/>
              <w:tr2bl w:val="nil"/>
            </w:tcBorders>
            <w:vAlign w:val="center"/>
          </w:tcPr>
          <w:p w14:paraId="6E051F84">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2025.9.3</w:t>
            </w:r>
          </w:p>
        </w:tc>
      </w:tr>
    </w:tbl>
    <w:p w14:paraId="52FA2639">
      <w:pPr>
        <w:ind w:left="0" w:leftChars="0" w:firstLine="0" w:firstLineChars="0"/>
        <w:rPr>
          <w:rFonts w:hint="default"/>
          <w:lang w:val="en-US" w:eastAsia="zh-CN"/>
        </w:rPr>
      </w:pPr>
    </w:p>
    <w:p w14:paraId="1014AC8C">
      <w:pPr>
        <w:pStyle w:val="4"/>
        <w:bidi w:val="0"/>
        <w:rPr>
          <w:rFonts w:hint="default"/>
          <w:lang w:val="en-US" w:eastAsia="zh-CN"/>
        </w:rPr>
      </w:pPr>
      <w:r>
        <w:rPr>
          <w:rFonts w:hint="eastAsia"/>
          <w:lang w:val="en-US" w:eastAsia="zh-CN"/>
        </w:rPr>
        <w:t>对比损失函数</w:t>
      </w:r>
    </w:p>
    <w:p w14:paraId="08F05F81">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将分子的多模态特征映射到同一的向量空间之后，模型的核心任务是通过对比学习来实现跨模态的语义对齐。本文设计了一种改进的以图为中心的双向NT-Xent对比损失，并引入基于同方差不确定性的自适应加权机制，以实现多任务场景下的稳健优化。</w:t>
      </w:r>
    </w:p>
    <w:p w14:paraId="749999D9">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对比学习通过在表征空间中拉近正样本对、推远负样本对来学习具有判别性的特征表示。目前最主流的目标函数是归一化温度缩放交叉熵损失（Normalized Temperature-scaled Cross Entropy Loss, NT-Xent）。对于给定的样本对(i, j)，其标准的NT-Xent损失定义如下：</w:t>
      </w:r>
    </w:p>
    <w:p w14:paraId="3CF4F2B3">
      <w:pPr>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napToGrid/>
        <w:spacing w:before="0" w:beforeAutospacing="0" w:after="0" w:afterAutospacing="0" w:line="14" w:lineRule="atLeast"/>
        <w:ind w:left="0" w:right="0"/>
        <w:jc w:val="left"/>
        <w:textAlignment w:val="auto"/>
        <w:rPr>
          <w:rFonts w:hint="eastAsia" w:eastAsia="宋体"/>
          <w:lang w:val="en-US" w:eastAsia="zh-CN"/>
        </w:rPr>
      </w:pPr>
      <m:oMathPara>
        <m:oMath>
          <m:sSub>
            <m:sSubPr>
              <m:ctrlPr>
                <w:rPr>
                  <w:rFonts w:hint="default" w:ascii="Cambria Math" w:hAnsi="Cambria Math" w:eastAsia="sans-serif"/>
                  <w:sz w:val="24"/>
                </w:rPr>
              </m:ctrlPr>
            </m:sSubPr>
            <m:e>
              <m:r>
                <m:rPr/>
                <w:rPr>
                  <w:rFonts w:hint="default" w:ascii="Cambria Math" w:hAnsi="Cambria Math" w:eastAsia="sans-serif"/>
                  <w:sz w:val="24"/>
                </w:rPr>
                <m:t>ℓ</m:t>
              </m:r>
              <m:ctrlPr>
                <w:rPr>
                  <w:rFonts w:ascii="Cambria Math" w:hAnsi="Cambria Math" w:eastAsia="sans-serif"/>
                  <w:sz w:val="24"/>
                </w:rPr>
              </m:ctrlPr>
            </m:e>
            <m:sub>
              <m:r>
                <m:rPr/>
                <w:rPr>
                  <w:rFonts w:hint="default" w:ascii="Cambria Math" w:hAnsi="Cambria Math" w:eastAsia="sans-serif"/>
                  <w:sz w:val="24"/>
                </w:rPr>
                <m:t>i,j</m:t>
              </m:r>
              <m:ctrlPr>
                <w:rPr>
                  <w:rFonts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j</m:t>
                      </m:r>
                      <m:ctrlPr>
                        <w:rPr>
                          <w:rFonts w:ascii="Cambria Math" w:hAnsi="Cambria Math" w:eastAsia="sans-serif"/>
                          <w:sz w:val="24"/>
                        </w:rPr>
                      </m:ctrlPr>
                    </m:sub>
                  </m:sSub>
                  <m:r>
                    <m:rPr/>
                    <w:rPr>
                      <w:rFonts w:hint="default" w:ascii="Cambria Math" w:hAnsi="Cambria Math" w:eastAsia="sans-serif"/>
                      <w:sz w:val="24"/>
                    </w:rPr>
                    <m:t>)/τ)</m:t>
                  </m:r>
                  <m:ctrlPr>
                    <w:rPr>
                      <w:rFonts w:hint="default" w:ascii="Cambria Math" w:hAnsi="Cambria Math" w:eastAsia="sans-serif"/>
                      <w:sz w:val="24"/>
                    </w:rPr>
                  </m:ctrlPr>
                </m:num>
                <m:den>
                  <m:sSub>
                    <m:sSubPr>
                      <m:ctrlPr>
                        <w:rPr>
                          <w:rFonts w:hint="default" w:ascii="Cambria Math" w:hAnsi="Cambria Math" w:eastAsia="sans-serif"/>
                          <w:sz w:val="24"/>
                        </w:rPr>
                      </m:ctrlPr>
                    </m:sSubPr>
                    <m:e>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k=1</m:t>
                          </m:r>
                          <m:ctrlPr>
                            <w:rPr>
                              <w:rFonts w:ascii="Cambria Math" w:hAnsi="Cambria Math" w:eastAsia="sans-serif"/>
                              <w:sz w:val="24"/>
                            </w:rPr>
                          </m:ctrlPr>
                        </m:sub>
                        <m:sup>
                          <m:r>
                            <m:rPr/>
                            <w:rPr>
                              <w:rFonts w:hint="default" w:ascii="Cambria Math" w:hAnsi="Cambria Math" w:eastAsia="sans-serif"/>
                              <w:sz w:val="24"/>
                            </w:rPr>
                            <m:t>2B</m:t>
                          </m:r>
                          <m:ctrlPr>
                            <w:rPr>
                              <w:rFonts w:ascii="Cambria Math" w:hAnsi="Cambria Math" w:eastAsia="sans-serif"/>
                              <w:sz w:val="24"/>
                            </w:rPr>
                          </m:ctrlPr>
                        </m:sup>
                        <m:e>
                          <m:r>
                            <m:rPr>
                              <m:scr m:val="double-struck"/>
                            </m:rPr>
                            <w:rPr>
                              <w:rFonts w:hint="default" w:ascii="Cambria Math" w:hAnsi="Cambria Math" w:eastAsia="MS Mincho"/>
                              <w:sz w:val="24"/>
                            </w:rPr>
                            <m:t>1</m:t>
                          </m:r>
                          <m:ctrlPr>
                            <w:rPr>
                              <w:rFonts w:ascii="Cambria Math" w:hAnsi="Cambria Math" w:eastAsia="sans-serif"/>
                              <w:sz w:val="24"/>
                            </w:rPr>
                          </m:ctrlPr>
                        </m:e>
                      </m:nary>
                      <m:ctrlPr>
                        <w:rPr>
                          <w:rFonts w:hint="default" w:ascii="Cambria Math" w:hAnsi="Cambria Math" w:eastAsia="sans-serif"/>
                          <w:i/>
                          <w:sz w:val="24"/>
                        </w:rPr>
                      </m:ctrlPr>
                    </m:e>
                    <m:sub>
                      <m:r>
                        <m:rPr/>
                        <w:rPr>
                          <w:rFonts w:hint="default" w:ascii="Cambria Math" w:hAnsi="Cambria Math" w:eastAsia="sans-serif"/>
                          <w:sz w:val="24"/>
                        </w:rPr>
                        <m:t>[k≠i]</m:t>
                      </m:r>
                      <m:ctrlPr>
                        <w:rPr>
                          <w:rFonts w:hint="default" w:ascii="Cambria Math" w:hAnsi="Cambria Math" w:eastAsia="sans-serif"/>
                          <w:i/>
                          <w:sz w:val="24"/>
                        </w:rPr>
                      </m:ctrlPr>
                    </m:sub>
                  </m:sSub>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hint="default" w:ascii="Cambria Math" w:hAnsi="Cambria Math" w:eastAsia="sans-serif"/>
                          <w:i/>
                          <w:sz w:val="24"/>
                        </w:rPr>
                      </m:ctrlPr>
                    </m:fName>
                    <m:e>
                      <m:r>
                        <m:rPr/>
                        <w:rPr>
                          <w:rFonts w:hint="default" w:ascii="Cambria Math" w:hAnsi="Cambria Math" w:eastAsia="sans-serif"/>
                          <w:sz w:val="24"/>
                        </w:rPr>
                        <m:t>(</m:t>
                      </m:r>
                      <m:ctrlPr>
                        <w:rPr>
                          <w:rFonts w:hint="default" w:ascii="Cambria Math" w:hAnsi="Cambria Math" w:eastAsia="sans-serif"/>
                          <w:i/>
                          <w:sz w:val="24"/>
                        </w:rPr>
                      </m:ctrlPr>
                    </m:e>
                  </m:func>
                  <m:r>
                    <m:rPr/>
                    <w:rPr>
                      <w:rFonts w:hint="default" w:ascii="Cambria Math" w:hAnsi="Cambria Math" w:eastAsia="sans-serif"/>
                      <w:sz w:val="24"/>
                    </w:rPr>
                    <m:t>sim(</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i</m:t>
                      </m:r>
                      <m:ctrlPr>
                        <w:rPr>
                          <w:rFonts w:hint="default" w:ascii="Cambria Math" w:hAnsi="Cambria Math" w:eastAsia="sans-serif"/>
                          <w:i/>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w:rPr>
                          <w:rFonts w:hint="default" w:ascii="Cambria Math" w:hAnsi="Cambria Math" w:eastAsia="sans-serif"/>
                          <w:sz w:val="24"/>
                        </w:rPr>
                        <m:t>z</m:t>
                      </m:r>
                      <m:ctrlPr>
                        <w:rPr>
                          <w:rFonts w:hint="default" w:ascii="Cambria Math" w:hAnsi="Cambria Math" w:eastAsia="sans-serif"/>
                          <w:i/>
                          <w:sz w:val="24"/>
                        </w:rPr>
                      </m:ctrlPr>
                    </m:e>
                    <m:sub>
                      <m:r>
                        <m:rPr/>
                        <w:rPr>
                          <w:rFonts w:hint="default" w:ascii="Cambria Math" w:hAnsi="Cambria Math" w:eastAsia="sans-serif"/>
                          <w:sz w:val="24"/>
                        </w:rPr>
                        <m:t>k</m:t>
                      </m:r>
                      <m:ctrlPr>
                        <w:rPr>
                          <w:rFonts w:hint="default" w:ascii="Cambria Math" w:hAnsi="Cambria Math" w:eastAsia="sans-serif"/>
                          <w:i/>
                          <w:sz w:val="24"/>
                        </w:rPr>
                      </m:ctrlPr>
                    </m:sub>
                  </m:sSub>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oMath>
      </m:oMathPara>
    </w:p>
    <w:p w14:paraId="0BFE1BBE">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w:t>
      </w:r>
      <m:oMathPara>
        <m:oMath>
          <m:sSub>
            <m:sSubPr>
              <m:ctrlPr>
                <w:rPr>
                  <w:rFonts w:hint="default" w:ascii="Cambria Math"/>
                </w:rPr>
              </m:ctrlPr>
            </m:sSubPr>
            <m:e>
              <m:r>
                <m:rPr/>
                <w:rPr>
                  <w:rFonts w:hint="default" w:ascii="Cambria Math"/>
                </w:rPr>
                <m:t>z</m:t>
              </m:r>
            </m:e>
            <m:sub>
              <m:r>
                <m:rPr/>
                <w:rPr>
                  <w:rFonts w:hint="default" w:ascii="Cambria Math"/>
                </w:rPr>
                <m:t>i</m:t>
              </m:r>
            </m:sub>
          </m:sSub>
          <m:r>
            <m:rPr/>
            <w:rPr>
              <w:rFonts w:hint="default" w:ascii="Cambria Math"/>
            </w:rPr>
            <m:t>,</m:t>
          </m:r>
          <m:sSub>
            <m:sSubPr>
              <m:ctrlPr>
                <w:rPr>
                  <w:rFonts w:hint="default" w:ascii="Cambria Math"/>
                </w:rPr>
              </m:ctrlPr>
            </m:sSubPr>
            <m:e>
              <m:r>
                <m:rPr/>
                <w:rPr>
                  <w:rFonts w:hint="default" w:ascii="Cambria Math"/>
                </w:rPr>
                <m:t>z</m:t>
              </m:r>
            </m:e>
            <m:sub>
              <m:r>
                <m:rPr/>
                <w:rPr>
                  <w:rFonts w:hint="default" w:ascii="Cambria Math"/>
                </w:rPr>
                <m:t>j</m:t>
              </m:r>
            </m:sub>
          </m:sSub>
        </m:oMath>
      </m:oMathPara>
      <w:r>
        <w:rPr>
          <w:rFonts w:hint="eastAsia"/>
          <w:lang w:val="en-US" w:eastAsia="zh-CN"/>
        </w:rPr>
        <w:t>为归一化后的特征向量，</w:t>
      </w:r>
      <m:oMathPara>
        <m:oMath>
          <m:r>
            <m:rPr/>
            <w:rPr>
              <w:rFonts w:hint="default" w:ascii="Cambria Math"/>
            </w:rPr>
            <m:t>sim(⋅,⋅)</m:t>
          </m:r>
        </m:oMath>
      </m:oMathPara>
      <w:r>
        <w:rPr>
          <w:rFonts w:hint="eastAsia"/>
          <w:lang w:val="en-US" w:eastAsia="zh-CN"/>
        </w:rPr>
        <w:t>表示余弦相似度，</w:t>
      </w:r>
      <m:oMathPara>
        <m:oMath>
          <m:r>
            <m:rPr/>
            <w:rPr>
              <w:rFonts w:hint="default" w:ascii="Cambria Math"/>
            </w:rPr>
            <m:t>τ</m:t>
          </m:r>
        </m:oMath>
      </m:oMathPara>
      <w:r>
        <w:rPr>
          <w:rFonts w:hint="eastAsia"/>
          <w:lang w:val="en-US" w:eastAsia="zh-CN"/>
        </w:rPr>
        <w:t>为温度系数，</w:t>
      </w:r>
      <m:oMathPara>
        <m:oMath>
          <m:r>
            <m:rPr/>
            <w:rPr>
              <w:rFonts w:hint="default" w:ascii="Cambria Math"/>
            </w:rPr>
            <m:t>B</m:t>
          </m:r>
        </m:oMath>
      </m:oMathPara>
      <w:r>
        <w:rPr>
          <w:rFonts w:hint="eastAsia"/>
          <w:lang w:val="en-US" w:eastAsia="zh-CN"/>
        </w:rPr>
        <w:t>为批次大小，分母项包含了批次内所有的负样本。然而，经典的NT-Xent通常基于双视图设定，如CLIP中的图像–文本。当扩展至本文的四模态场景（Graph, SMILES, Fingerprint, Text）时，若采用全排列的“两两对齐”策略，将面临计算开销随模态数量呈平方级增长,噪声传播与训练不稳定性等问题。</w:t>
      </w:r>
    </w:p>
    <w:p w14:paraId="12D1CD27">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在分子表征学习中，分子图直接刻画了原子间的连接拓扑，被认为是最具“物理真实性”和“结构稳定性”的主模态；相比之下，SMILES序列、分子指纹及文本描述均可视为该核心结构的辅助视图。</w:t>
      </w:r>
    </w:p>
    <w:p w14:paraId="5FC3EF85">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基于此，本文采用Graph-centered对齐范式：仅计算分子图与其辅模态间的对齐损失，而不进行辅模态间的冗余对齐。设第</w:t>
      </w:r>
      <m:oMathPara>
        <m:oMath>
          <m:r>
            <m:rPr/>
            <w:rPr>
              <w:rFonts w:hint="default" w:ascii="Cambria Math"/>
            </w:rPr>
            <m:t>i</m:t>
          </m:r>
        </m:oMath>
      </m:oMathPara>
      <w:r>
        <w:rPr>
          <w:rFonts w:hint="eastAsia"/>
          <w:lang w:val="en-US" w:eastAsia="zh-CN"/>
        </w:rPr>
        <w:t>个分子样本在模态</w:t>
      </w:r>
      <m:oMathPara>
        <m:oMath>
          <m:r>
            <m:rPr/>
            <w:rPr>
              <w:rFonts w:hint="default" w:ascii="Cambria Math"/>
            </w:rPr>
            <m:t>m∈{S,F,T}</m:t>
          </m:r>
        </m:oMath>
      </m:oMathPara>
      <w:r>
        <w:rPr>
          <w:rFonts w:hint="eastAsia"/>
          <w:lang w:val="en-US" w:eastAsia="zh-CN"/>
        </w:rPr>
        <w:t>下的表示为</w:t>
      </w:r>
      <m:oMathPara>
        <m:oMath>
          <m:sSubSup>
            <m:sSubSupPr>
              <m:ctrlPr>
                <w:rPr>
                  <w:rFonts w:hint="default" w:ascii="Cambria Math"/>
                </w:rPr>
              </m:ctrlPr>
            </m:sSubSupPr>
            <m:e>
              <m:r>
                <m:rPr/>
                <w:rPr>
                  <w:rFonts w:hint="default" w:ascii="Cambria Math"/>
                </w:rPr>
                <m:t>z</m:t>
              </m:r>
            </m:e>
            <m:sub>
              <m:r>
                <m:rPr/>
                <w:rPr>
                  <w:rFonts w:hint="default" w:ascii="Cambria Math"/>
                </w:rPr>
                <m:t>i</m:t>
              </m:r>
            </m:sub>
            <m:sup>
              <m:r>
                <m:rPr/>
                <w:rPr>
                  <w:rFonts w:hint="default" w:ascii="Cambria Math"/>
                </w:rPr>
                <m:t>(m)</m:t>
              </m:r>
            </m:sup>
          </m:sSubSup>
        </m:oMath>
      </m:oMathPara>
      <w:r>
        <w:rPr>
          <w:rFonts w:hint="eastAsia"/>
          <w:lang w:val="en-US" w:eastAsia="zh-CN"/>
        </w:rPr>
        <w:t>，Graph模态表示为</w:t>
      </w:r>
      <m:oMathPara>
        <m:oMath>
          <m:sSubSup>
            <m:sSubSupPr>
              <m:ctrlPr>
                <w:rPr>
                  <w:rFonts w:hint="default" w:ascii="Cambria Math"/>
                </w:rPr>
              </m:ctrlPr>
            </m:sSubSupPr>
            <m:e>
              <m:r>
                <m:rPr/>
                <w:rPr>
                  <w:rFonts w:hint="default" w:ascii="Cambria Math"/>
                </w:rPr>
                <m:t>z</m:t>
              </m:r>
            </m:e>
            <m:sub>
              <m:r>
                <m:rPr/>
                <w:rPr>
                  <w:rFonts w:hint="default" w:ascii="Cambria Math"/>
                </w:rPr>
                <m:t>i</m:t>
              </m:r>
            </m:sub>
            <m:sup>
              <m:r>
                <m:rPr/>
                <w:rPr>
                  <w:rFonts w:hint="default" w:ascii="Cambria Math"/>
                </w:rPr>
                <m:t>(G)</m:t>
              </m:r>
            </m:sup>
          </m:sSubSup>
        </m:oMath>
      </m:oMathPara>
      <w:r>
        <w:rPr>
          <w:rFonts w:hint="eastAsia"/>
          <w:lang w:val="en-US" w:eastAsia="zh-CN"/>
        </w:rPr>
        <w:t>。为了确保对齐的对称性，本文定义双向对比损失</w:t>
      </w:r>
      <m:oMathPara>
        <m:oMath>
          <m:sSub>
            <m:sSubPr>
              <m:ctrlPr>
                <w:rPr>
                  <w:rFonts w:hint="default" w:ascii="Cambria Math"/>
                </w:rPr>
              </m:ctrlPr>
            </m:sSubPr>
            <m:e>
              <m:r>
                <m:rPr>
                  <m:scr m:val="script"/>
                </m:rPr>
                <w:rPr>
                  <w:rFonts w:hint="default" w:ascii="Cambria Math"/>
                </w:rPr>
                <m:t>ℒ</m:t>
              </m:r>
            </m:e>
            <m:sub>
              <m:r>
                <m:rPr/>
                <w:rPr>
                  <w:rFonts w:hint="default" w:ascii="Cambria Math"/>
                </w:rPr>
                <m:t>G,m</m:t>
              </m:r>
            </m:sub>
          </m:sSub>
        </m:oMath>
      </m:oMathPara>
      <w:r>
        <w:rPr>
          <w:rFonts w:hint="eastAsia"/>
          <w:lang w:val="en-US" w:eastAsia="zh-CN"/>
        </w:rPr>
        <w:t>为：</w:t>
      </w:r>
    </w:p>
    <w:p w14:paraId="23C5480B">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ctrlPr>
                <w:rPr>
                  <w:rFonts w:ascii="Cambria Math" w:hAnsi="Cambria Math" w:eastAsia="sans-serif"/>
                  <w:sz w:val="24"/>
                </w:rPr>
              </m:ctrlPr>
            </m:den>
          </m:f>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m→G</m:t>
              </m:r>
              <m:ctrlPr>
                <w:rPr>
                  <w:rFonts w:ascii="Cambria Math" w:hAnsi="Cambria Math" w:eastAsia="sans-serif"/>
                  <w:sz w:val="24"/>
                </w:rPr>
              </m:ctrlPr>
            </m:sub>
          </m:sSub>
          <m:r>
            <m:rPr/>
            <w:rPr>
              <w:rFonts w:hint="default" w:ascii="Cambria Math" w:hAnsi="Cambria Math" w:eastAsia="sans-serif"/>
              <w:sz w:val="24"/>
            </w:rPr>
            <m:t>)</m:t>
          </m:r>
        </m:oMath>
      </m:oMathPara>
    </w:p>
    <w:p w14:paraId="691F2F6A">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其中，从Graph到模态$m$的单向对比损失定义为：</w:t>
      </w:r>
    </w:p>
    <w:p w14:paraId="4944D731">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eastAsia"/>
          <w:lang w:val="en-US" w:eastAsia="zh-CN"/>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G→m</m:t>
              </m:r>
              <m:ctrlPr>
                <w:rPr>
                  <w:rFonts w:ascii="Cambria Math" w:hAnsi="Cambria Math" w:eastAsia="sans-serif"/>
                  <w:sz w:val="24"/>
                </w:rPr>
              </m:ctrlPr>
            </m:sub>
          </m:sSub>
          <m:r>
            <m:rPr/>
            <w:rPr>
              <w:rFonts w:hint="default" w:ascii="Cambria Math" w:hAnsi="Cambria Math" w:eastAsia="sans-serif"/>
              <w:sz w:val="24"/>
            </w:rPr>
            <m:t>=−</m:t>
          </m:r>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B</m:t>
              </m:r>
              <m:ctrlPr>
                <w:rPr>
                  <w:rFonts w:ascii="Cambria Math" w:hAnsi="Cambria Math" w:eastAsia="sans-serif"/>
                  <w:sz w:val="24"/>
                </w:rPr>
              </m:ctrlPr>
            </m:den>
          </m:f>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i=1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ascii="Cambria Math" w:hAnsi="Cambria Math" w:eastAsia="sans-serif"/>
                      <w:sz w:val="24"/>
                    </w:rPr>
                  </m:ctrlPr>
                </m:fName>
                <m:e>
                  <m:f>
                    <m:fPr>
                      <m:ctrlPr>
                        <w:rPr>
                          <w:rFonts w:hint="default" w:ascii="Cambria Math" w:hAnsi="Cambria Math" w:eastAsia="sans-serif"/>
                          <w:i/>
                          <w:sz w:val="24"/>
                        </w:rPr>
                      </m:ctrlPr>
                    </m:fPr>
                    <m:num>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(G)</m:t>
                          </m:r>
                          <m:ctrlPr>
                            <w:rPr>
                              <w:rFonts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ascii="Cambria Math" w:hAnsi="Cambria Math" w:eastAsia="sans-serif"/>
                              <w:sz w:val="24"/>
                            </w:rPr>
                          </m:ctrlPr>
                        </m:e>
                        <m:sub>
                          <m:r>
                            <m:rPr/>
                            <w:rPr>
                              <w:rFonts w:hint="default" w:ascii="Cambria Math" w:hAnsi="Cambria Math" w:eastAsia="sans-serif"/>
                              <w:sz w:val="24"/>
                            </w:rPr>
                            <m:t>i</m:t>
                          </m:r>
                          <m:ctrlPr>
                            <w:rPr>
                              <w:rFonts w:ascii="Cambria Math" w:hAnsi="Cambria Math" w:eastAsia="sans-serif"/>
                              <w:sz w:val="24"/>
                            </w:rPr>
                          </m:ctrlPr>
                        </m:sub>
                        <m:sup>
                          <m:r>
                            <m:rPr/>
                            <w:rPr>
                              <w:rFonts w:hint="default" w:ascii="Cambria Math" w:hAnsi="Cambria Math" w:eastAsia="sans-serif"/>
                              <w:sz w:val="24"/>
                            </w:rPr>
                            <m:t>(m)</m:t>
                          </m:r>
                          <m:ctrlPr>
                            <w:rPr>
                              <w:rFonts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num>
                    <m:den>
                      <m:nary>
                        <m:naryPr>
                          <m:chr m:val="∑"/>
                          <m:limLoc m:val="undOvr"/>
                          <m:ctrlPr>
                            <w:rPr>
                              <w:rFonts w:hint="default" w:ascii="Cambria Math" w:hAnsi="Cambria Math" w:eastAsia="sans-serif"/>
                              <w:i/>
                              <w:sz w:val="24"/>
                            </w:rPr>
                          </m:ctrlPr>
                        </m:naryPr>
                        <m:sub>
                          <m:r>
                            <m:rPr/>
                            <w:rPr>
                              <w:rFonts w:hint="default" w:ascii="Cambria Math" w:hAnsi="Cambria Math" w:eastAsia="sans-serif"/>
                              <w:sz w:val="24"/>
                            </w:rPr>
                            <m:t>j=1</m:t>
                          </m:r>
                          <m:ctrlPr>
                            <w:rPr>
                              <w:rFonts w:ascii="Cambria Math" w:hAnsi="Cambria Math" w:eastAsia="sans-serif"/>
                              <w:sz w:val="24"/>
                            </w:rPr>
                          </m:ctrlPr>
                        </m:sub>
                        <m:sup>
                          <m:r>
                            <m:rPr/>
                            <w:rPr>
                              <w:rFonts w:hint="default" w:ascii="Cambria Math" w:hAnsi="Cambria Math" w:eastAsia="sans-serif"/>
                              <w:sz w:val="24"/>
                            </w:rPr>
                            <m:t>B</m:t>
                          </m:r>
                          <m:ctrlPr>
                            <w:rPr>
                              <w:rFonts w:ascii="Cambria Math" w:hAnsi="Cambria Math" w:eastAsia="sans-serif"/>
                              <w:sz w:val="24"/>
                            </w:rPr>
                          </m:ctrlPr>
                        </m:sup>
                        <m:e>
                          <m:func>
                            <m:funcPr>
                              <m:ctrlPr>
                                <w:rPr>
                                  <w:rFonts w:hint="default" w:ascii="Cambria Math" w:hAnsi="Cambria Math" w:eastAsia="sans-serif"/>
                                  <w:sz w:val="24"/>
                                </w:rPr>
                              </m:ctrlPr>
                            </m:funcPr>
                            <m:fName>
                              <m:r>
                                <m:rPr>
                                  <m:sty m:val="p"/>
                                </m:rPr>
                                <w:rPr>
                                  <w:rFonts w:hint="default" w:ascii="Cambria Math" w:hAnsi="Cambria Math" w:eastAsia="sans-serif"/>
                                  <w:sz w:val="24"/>
                                </w:rPr>
                                <m:t>exp</m:t>
                              </m:r>
                              <m:ctrlPr>
                                <w:rPr>
                                  <w:rFonts w:ascii="Cambria Math" w:hAnsi="Cambria Math" w:eastAsia="sans-serif"/>
                                  <w:sz w:val="24"/>
                                </w:rPr>
                              </m:ctrlPr>
                            </m:fName>
                            <m:e>
                              <m:r>
                                <m:rPr/>
                                <w:rPr>
                                  <w:rFonts w:hint="default" w:ascii="Cambria Math" w:hAnsi="Cambria Math" w:eastAsia="sans-serif"/>
                                  <w:sz w:val="24"/>
                                </w:rPr>
                                <m:t>(</m:t>
                              </m:r>
                              <m:ctrlPr>
                                <w:rPr>
                                  <w:rFonts w:ascii="Cambria Math" w:hAnsi="Cambria Math" w:eastAsia="sans-serif"/>
                                  <w:sz w:val="24"/>
                                </w:rPr>
                              </m:ctrlPr>
                            </m:e>
                          </m:func>
                          <m:ctrlPr>
                            <w:rPr>
                              <w:rFonts w:hint="default" w:ascii="Cambria Math" w:hAnsi="Cambria Math" w:eastAsia="sans-serif"/>
                              <w:sz w:val="24"/>
                            </w:rPr>
                          </m:ctrlPr>
                        </m:e>
                      </m:nary>
                      <m:r>
                        <m:rPr/>
                        <w:rPr>
                          <w:rFonts w:hint="default" w:ascii="Cambria Math" w:hAnsi="Cambria Math" w:eastAsia="sans-serif"/>
                          <w:sz w:val="24"/>
                        </w:rPr>
                        <m:t>sim(</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i</m:t>
                          </m:r>
                          <m:ctrlPr>
                            <w:rPr>
                              <w:rFonts w:hint="default" w:ascii="Cambria Math" w:hAnsi="Cambria Math" w:eastAsia="sans-serif"/>
                              <w:sz w:val="24"/>
                            </w:rPr>
                          </m:ctrlPr>
                        </m:sub>
                        <m:sup>
                          <m:r>
                            <m:rPr/>
                            <w:rPr>
                              <w:rFonts w:hint="default" w:ascii="Cambria Math" w:hAnsi="Cambria Math" w:eastAsia="sans-serif"/>
                              <w:sz w:val="24"/>
                            </w:rPr>
                            <m:t>(G)</m:t>
                          </m:r>
                          <m:ctrlPr>
                            <w:rPr>
                              <w:rFonts w:hint="default" w:ascii="Cambria Math" w:hAnsi="Cambria Math" w:eastAsia="sans-serif"/>
                              <w:sz w:val="24"/>
                            </w:rPr>
                          </m:ctrlPr>
                        </m:sup>
                      </m:sSubSup>
                      <m:r>
                        <m:rPr/>
                        <w:rPr>
                          <w:rFonts w:hint="default" w:ascii="Cambria Math" w:hAnsi="Cambria Math" w:eastAsia="sans-serif"/>
                          <w:sz w:val="24"/>
                        </w:rPr>
                        <m:t>,</m:t>
                      </m:r>
                      <m:sSubSup>
                        <m:sSubSupPr>
                          <m:ctrlPr>
                            <w:rPr>
                              <w:rFonts w:hint="default" w:ascii="Cambria Math" w:hAnsi="Cambria Math" w:eastAsia="sans-serif"/>
                              <w:sz w:val="24"/>
                            </w:rPr>
                          </m:ctrlPr>
                        </m:sSubSupPr>
                        <m:e>
                          <m:r>
                            <m:rPr/>
                            <w:rPr>
                              <w:rFonts w:hint="default" w:ascii="Cambria Math" w:hAnsi="Cambria Math" w:eastAsia="sans-serif"/>
                              <w:sz w:val="24"/>
                            </w:rPr>
                            <m:t>z</m:t>
                          </m:r>
                          <m:ctrlPr>
                            <w:rPr>
                              <w:rFonts w:hint="default" w:ascii="Cambria Math" w:hAnsi="Cambria Math" w:eastAsia="sans-serif"/>
                              <w:sz w:val="24"/>
                            </w:rPr>
                          </m:ctrlPr>
                        </m:e>
                        <m:sub>
                          <m:r>
                            <m:rPr/>
                            <w:rPr>
                              <w:rFonts w:hint="default" w:ascii="Cambria Math" w:hAnsi="Cambria Math" w:eastAsia="sans-serif"/>
                              <w:sz w:val="24"/>
                            </w:rPr>
                            <m:t>j</m:t>
                          </m:r>
                          <m:ctrlPr>
                            <w:rPr>
                              <w:rFonts w:hint="default" w:ascii="Cambria Math" w:hAnsi="Cambria Math" w:eastAsia="sans-serif"/>
                              <w:sz w:val="24"/>
                            </w:rPr>
                          </m:ctrlPr>
                        </m:sub>
                        <m:sup>
                          <m:r>
                            <m:rPr/>
                            <w:rPr>
                              <w:rFonts w:hint="default" w:ascii="Cambria Math" w:hAnsi="Cambria Math" w:eastAsia="sans-serif"/>
                              <w:sz w:val="24"/>
                            </w:rPr>
                            <m:t>(m)</m:t>
                          </m:r>
                          <m:ctrlPr>
                            <w:rPr>
                              <w:rFonts w:hint="default" w:ascii="Cambria Math" w:hAnsi="Cambria Math" w:eastAsia="sans-serif"/>
                              <w:sz w:val="24"/>
                            </w:rPr>
                          </m:ctrlPr>
                        </m:sup>
                      </m:sSubSup>
                      <m:r>
                        <m:rPr/>
                        <w:rPr>
                          <w:rFonts w:hint="default" w:ascii="Cambria Math" w:hAnsi="Cambria Math" w:eastAsia="sans-serif"/>
                          <w:sz w:val="24"/>
                        </w:rPr>
                        <m:t>)/τ)</m:t>
                      </m:r>
                      <m:ctrlPr>
                        <w:rPr>
                          <w:rFonts w:hint="default" w:ascii="Cambria Math" w:hAnsi="Cambria Math" w:eastAsia="sans-serif"/>
                          <w:sz w:val="24"/>
                        </w:rPr>
                      </m:ctrlPr>
                    </m:den>
                  </m:f>
                  <m:ctrlPr>
                    <w:rPr>
                      <w:rFonts w:hint="default" w:ascii="Cambria Math" w:hAnsi="Cambria Math" w:eastAsia="sans-serif"/>
                      <w:i/>
                      <w:sz w:val="24"/>
                    </w:rPr>
                  </m:ctrlPr>
                </m:e>
              </m:func>
              <m:ctrlPr>
                <w:rPr>
                  <w:rFonts w:hint="default" w:ascii="Cambria Math" w:hAnsi="Cambria Math" w:eastAsia="sans-serif"/>
                  <w:sz w:val="24"/>
                </w:rPr>
              </m:ctrlPr>
            </m:e>
          </m:nary>
        </m:oMath>
      </m:oMathPara>
    </w:p>
    <w:p w14:paraId="3824D8F6">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p>
    <w:p w14:paraId="0AF73DE8">
      <w:pPr>
        <w:keepNext w:val="0"/>
        <w:keepLines w:val="0"/>
        <w:pageBreakBefore w:val="0"/>
        <w:widowControl w:val="0"/>
        <w:kinsoku/>
        <w:wordWrap/>
        <w:overflowPunct/>
        <w:topLinePunct w:val="0"/>
        <w:autoSpaceDE/>
        <w:autoSpaceDN/>
        <w:bidi w:val="0"/>
        <w:adjustRightInd/>
        <w:snapToGrid/>
        <w:spacing w:beforeAutospacing="0" w:afterAutospacing="0" w:line="360" w:lineRule="auto"/>
        <w:textAlignment w:val="auto"/>
        <w:rPr>
          <w:rFonts w:hint="eastAsia"/>
          <w:lang w:val="en-US" w:eastAsia="zh-CN"/>
        </w:rPr>
      </w:pPr>
      <w:r>
        <w:rPr>
          <w:rFonts w:hint="eastAsia"/>
          <w:lang w:val="en-US" w:eastAsia="zh-CN"/>
        </w:rPr>
        <w:t>在联合优化三个对齐任务</w:t>
      </w:r>
      <m:oMathPara>
        <m:oMath>
          <m:r>
            <m:rPr>
              <m:sty m:val="p"/>
            </m:rPr>
            <w:rPr>
              <w:rFonts w:hint="default" w:ascii="Cambria Math"/>
            </w:rPr>
            <m:t>（</m:t>
          </m:r>
          <m:r>
            <m:rPr/>
            <w:rPr>
              <w:rFonts w:hint="default" w:ascii="Cambria Math"/>
            </w:rPr>
            <m:t>G↔S</m:t>
          </m:r>
          <m:r>
            <m:rPr>
              <m:sty m:val="p"/>
            </m:rPr>
            <w:rPr>
              <w:rFonts w:hint="default" w:ascii="Cambria Math"/>
            </w:rPr>
            <m:t>，</m:t>
          </m:r>
          <m:r>
            <m:rPr/>
            <w:rPr>
              <w:rFonts w:hint="default" w:ascii="Cambria Math"/>
            </w:rPr>
            <m:t>G↔F</m:t>
          </m:r>
          <m:r>
            <m:rPr>
              <m:sty m:val="p"/>
            </m:rPr>
            <w:rPr>
              <w:rFonts w:hint="default" w:ascii="Cambria Math"/>
            </w:rPr>
            <m:t>，</m:t>
          </m:r>
          <m:r>
            <m:rPr/>
            <w:rPr>
              <w:rFonts w:hint="default" w:ascii="Cambria Math"/>
            </w:rPr>
            <m:t>G↔T</m:t>
          </m:r>
          <m:r>
            <m:rPr>
              <m:sty m:val="p"/>
            </m:rPr>
            <w:rPr>
              <w:rFonts w:hint="default" w:ascii="Cambria Math"/>
            </w:rPr>
            <m:t>）</m:t>
          </m:r>
        </m:oMath>
      </m:oMathPara>
      <w:r>
        <w:rPr>
          <w:rFonts w:hint="eastAsia"/>
          <w:lang w:val="en-US" w:eastAsia="zh-CN"/>
        </w:rPr>
        <w:t>时，由于各模态的信息熵与噪声水平存在显著差异，采用静态等权重加权（如</w:t>
      </w:r>
      <m:oMathPara>
        <m:oMath>
          <m:r>
            <m:rPr/>
            <w:rPr>
              <w:rFonts w:hint="default" w:ascii="Cambria Math"/>
            </w:rPr>
            <m:t>1:1:1</m:t>
          </m:r>
        </m:oMath>
      </m:oMathPara>
      <w:r>
        <w:rPr>
          <w:rFonts w:hint="eastAsia"/>
          <w:lang w:val="en-US" w:eastAsia="zh-CN"/>
        </w:rPr>
        <w:t>）往往难以达到最优收敛状态。特别是文本描述模态，由于LLM生成的自然语言具有更强的语义抽象性，其损失函数的量级与梯度方向可能与其他模态产生剧烈冲突。为此，本文借鉴同方差不确定性理论，通过为每个对齐任务引入可学习的噪声参数</w:t>
      </w:r>
      <m:oMathPara>
        <m:oMath>
          <m:sSub>
            <m:sSubPr>
              <m:ctrlPr>
                <w:rPr>
                  <w:rFonts w:hint="default" w:ascii="Cambria Math"/>
                </w:rPr>
              </m:ctrlPr>
            </m:sSubPr>
            <m:e>
              <m:r>
                <m:rPr/>
                <w:rPr>
                  <w:rFonts w:hint="default" w:ascii="Cambria Math"/>
                </w:rPr>
                <m:t>σ</m:t>
              </m:r>
            </m:e>
            <m:sub>
              <m:r>
                <m:rPr/>
                <w:rPr>
                  <w:rFonts w:hint="default" w:ascii="Cambria Math"/>
                </w:rPr>
                <m:t>m</m:t>
              </m:r>
            </m:sub>
          </m:sSub>
        </m:oMath>
      </m:oMathPara>
      <w:r>
        <w:rPr>
          <w:rFonts w:hint="eastAsia"/>
          <w:lang w:val="en-US" w:eastAsia="zh-CN"/>
        </w:rPr>
        <w:t>，构建自适应加权损失函数：</w:t>
      </w:r>
    </w:p>
    <w:p w14:paraId="1B04EC56">
      <w:pPr>
        <w:keepNext w:val="0"/>
        <w:keepLines w:val="0"/>
        <w:pageBreakBefore w:val="0"/>
        <w:widowControl/>
        <w:suppressLineNumbers w:val="0"/>
        <w:kinsoku/>
        <w:wordWrap/>
        <w:overflowPunct/>
        <w:topLinePunct w:val="0"/>
        <w:autoSpaceDE/>
        <w:autoSpaceDN/>
        <w:bidi w:val="0"/>
        <w:adjustRightInd/>
        <w:snapToGrid/>
        <w:spacing w:before="0" w:beforeAutospacing="0" w:afterAutospacing="0" w:line="14" w:lineRule="atLeast"/>
        <w:jc w:val="left"/>
        <w:textAlignment w:val="auto"/>
        <w:rPr>
          <w:rFonts w:hint="default" w:hAnsi="Cambria Math" w:eastAsia="sans-serif"/>
          <w:i w:val="0"/>
          <w:sz w:val="24"/>
        </w:rPr>
      </w:pPr>
      <m:oMathPara>
        <m:oMath>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ascii="Cambria Math" w:hAnsi="Cambria Math" w:eastAsia="sans-serif"/>
                  <w:sz w:val="24"/>
                </w:rPr>
              </m:ctrlPr>
            </m:e>
            <m:sub>
              <m:r>
                <m:rPr/>
                <w:rPr>
                  <w:rFonts w:hint="default" w:ascii="Cambria Math" w:hAnsi="Cambria Math" w:eastAsia="sans-serif"/>
                  <w:sz w:val="24"/>
                </w:rPr>
                <m:t>total</m:t>
              </m:r>
              <m:ctrlPr>
                <w:rPr>
                  <w:rFonts w:ascii="Cambria Math" w:hAnsi="Cambria Math" w:eastAsia="sans-serif"/>
                  <w:sz w:val="24"/>
                </w:rPr>
              </m:ctrlPr>
            </m:sub>
          </m:sSub>
          <m:r>
            <m:rPr/>
            <w:rPr>
              <w:rFonts w:hint="default" w:ascii="Cambria Math" w:hAnsi="Cambria Math" w:eastAsia="sans-serif"/>
              <w:sz w:val="24"/>
            </w:rPr>
            <m:t>=</m:t>
          </m:r>
          <m:nary>
            <m:naryPr>
              <m:chr m:val="∑"/>
              <m:limLoc m:val="undOvr"/>
              <m:supHide m:val="1"/>
              <m:ctrlPr>
                <w:rPr>
                  <w:rFonts w:hint="default" w:ascii="Cambria Math" w:hAnsi="Cambria Math" w:eastAsia="sans-serif"/>
                  <w:i/>
                  <w:sz w:val="24"/>
                </w:rPr>
              </m:ctrlPr>
            </m:naryPr>
            <m:sub>
              <m:r>
                <m:rPr/>
                <w:rPr>
                  <w:rFonts w:hint="default" w:ascii="Cambria Math" w:hAnsi="Cambria Math" w:eastAsia="sans-serif"/>
                  <w:sz w:val="24"/>
                </w:rPr>
                <m:t>m∈{S,F,T}</m:t>
              </m:r>
              <m:ctrlPr>
                <w:rPr>
                  <w:rFonts w:ascii="Cambria Math" w:hAnsi="Cambria Math" w:eastAsia="sans-serif"/>
                  <w:sz w:val="24"/>
                </w:rPr>
              </m:ctrlPr>
            </m:sub>
            <m:sup>
              <m:ctrlPr>
                <w:rPr>
                  <w:rFonts w:ascii="Cambria Math" w:hAnsi="Cambria Math" w:eastAsia="sans-serif"/>
                  <w:sz w:val="24"/>
                </w:rPr>
              </m:ctrlPr>
            </m:sup>
            <m:e>
              <m:d>
                <m:dPr>
                  <m:ctrlPr>
                    <w:rPr>
                      <w:rFonts w:hint="default" w:ascii="Cambria Math" w:hAnsi="Cambria Math" w:eastAsia="sans-serif"/>
                      <w:i/>
                      <w:sz w:val="24"/>
                    </w:rPr>
                  </m:ctrlPr>
                </m:dPr>
                <m:e>
                  <m:f>
                    <m:fPr>
                      <m:ctrlPr>
                        <w:rPr>
                          <w:rFonts w:hint="default" w:ascii="Cambria Math" w:hAnsi="Cambria Math" w:eastAsia="sans-serif"/>
                          <w:i/>
                          <w:sz w:val="24"/>
                        </w:rPr>
                      </m:ctrlPr>
                    </m:fPr>
                    <m:num>
                      <m:r>
                        <m:rPr/>
                        <w:rPr>
                          <w:rFonts w:hint="default" w:ascii="Cambria Math" w:hAnsi="Cambria Math" w:eastAsia="sans-serif"/>
                          <w:sz w:val="24"/>
                        </w:rPr>
                        <m:t>1</m:t>
                      </m:r>
                      <m:ctrlPr>
                        <w:rPr>
                          <w:rFonts w:ascii="Cambria Math" w:hAnsi="Cambria Math" w:eastAsia="sans-serif"/>
                          <w:sz w:val="24"/>
                        </w:rPr>
                      </m:ctrlPr>
                    </m:num>
                    <m:den>
                      <m:r>
                        <m:rPr/>
                        <w:rPr>
                          <w:rFonts w:hint="default" w:ascii="Cambria Math" w:hAnsi="Cambria Math" w:eastAsia="sans-serif"/>
                          <w:sz w:val="24"/>
                        </w:rPr>
                        <m:t>2</m:t>
                      </m:r>
                      <m:sSubSup>
                        <m:sSubSupPr>
                          <m:ctrlPr>
                            <w:rPr>
                              <w:rFonts w:hint="default" w:ascii="Cambria Math" w:hAnsi="Cambria Math" w:eastAsia="sans-serif"/>
                              <w:sz w:val="24"/>
                            </w:rPr>
                          </m:ctrlPr>
                        </m:sSubSup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up>
                          <m:r>
                            <m:rPr/>
                            <w:rPr>
                              <w:rFonts w:hint="default" w:ascii="Cambria Math" w:hAnsi="Cambria Math" w:eastAsia="sans-serif"/>
                              <w:sz w:val="24"/>
                            </w:rPr>
                            <m:t>2</m:t>
                          </m:r>
                          <m:ctrlPr>
                            <w:rPr>
                              <w:rFonts w:ascii="Cambria Math" w:hAnsi="Cambria Math" w:eastAsia="sans-serif"/>
                              <w:sz w:val="24"/>
                            </w:rPr>
                          </m:ctrlPr>
                        </m:sup>
                      </m:sSubSup>
                      <m:ctrlPr>
                        <w:rPr>
                          <w:rFonts w:hint="default" w:ascii="Cambria Math" w:hAnsi="Cambria Math" w:eastAsia="sans-serif"/>
                          <w:sz w:val="24"/>
                        </w:rPr>
                      </m:ctrlPr>
                    </m:den>
                  </m:f>
                  <m:sSub>
                    <m:sSubPr>
                      <m:ctrlPr>
                        <w:rPr>
                          <w:rFonts w:hint="default" w:ascii="Cambria Math" w:hAnsi="Cambria Math" w:eastAsia="sans-serif"/>
                          <w:sz w:val="24"/>
                        </w:rPr>
                      </m:ctrlPr>
                    </m:sSubPr>
                    <m:e>
                      <m:r>
                        <m:rPr>
                          <m:scr m:val="script"/>
                        </m:rPr>
                        <w:rPr>
                          <w:rFonts w:hint="default" w:ascii="Cambria Math" w:hAnsi="Cambria Math" w:eastAsia="MS Mincho"/>
                          <w:sz w:val="24"/>
                        </w:rPr>
                        <m:t>ℒ</m:t>
                      </m:r>
                      <m:ctrlPr>
                        <w:rPr>
                          <w:rFonts w:hint="default" w:ascii="Cambria Math" w:hAnsi="Cambria Math" w:eastAsia="sans-serif"/>
                          <w:sz w:val="24"/>
                        </w:rPr>
                      </m:ctrlPr>
                    </m:e>
                    <m:sub>
                      <m:r>
                        <m:rPr/>
                        <w:rPr>
                          <w:rFonts w:hint="default" w:ascii="Cambria Math" w:hAnsi="Cambria Math" w:eastAsia="sans-serif"/>
                          <w:sz w:val="24"/>
                        </w:rPr>
                        <m:t>G,m</m:t>
                      </m:r>
                      <m:ctrlPr>
                        <w:rPr>
                          <w:rFonts w:hint="default" w:ascii="Cambria Math" w:hAnsi="Cambria Math" w:eastAsia="sans-serif"/>
                          <w:sz w:val="24"/>
                        </w:rPr>
                      </m:ctrlPr>
                    </m:sub>
                  </m:sSub>
                  <m:r>
                    <m:rPr/>
                    <w:rPr>
                      <w:rFonts w:hint="default" w:ascii="Cambria Math" w:hAnsi="Cambria Math" w:eastAsia="sans-serif"/>
                      <w:sz w:val="24"/>
                    </w:rPr>
                    <m:t>+</m:t>
                  </m:r>
                  <m:func>
                    <m:funcPr>
                      <m:ctrlPr>
                        <w:rPr>
                          <w:rFonts w:hint="default" w:ascii="Cambria Math" w:hAnsi="Cambria Math" w:eastAsia="sans-serif"/>
                          <w:sz w:val="24"/>
                        </w:rPr>
                      </m:ctrlPr>
                    </m:funcPr>
                    <m:fName>
                      <m:r>
                        <m:rPr>
                          <m:sty m:val="p"/>
                        </m:rPr>
                        <w:rPr>
                          <w:rFonts w:hint="default" w:ascii="Cambria Math" w:hAnsi="Cambria Math" w:eastAsia="sans-serif"/>
                          <w:sz w:val="24"/>
                        </w:rPr>
                        <m:t>log</m:t>
                      </m:r>
                      <m:ctrlPr>
                        <w:rPr>
                          <w:rFonts w:hint="default" w:ascii="Cambria Math" w:hAnsi="Cambria Math" w:eastAsia="sans-serif"/>
                          <w:sz w:val="24"/>
                        </w:rPr>
                      </m:ctrlPr>
                    </m:fName>
                    <m:e>
                      <m:sSub>
                        <m:sSubPr>
                          <m:ctrlPr>
                            <w:rPr>
                              <w:rFonts w:hint="default" w:ascii="Cambria Math" w:hAnsi="Cambria Math" w:eastAsia="sans-serif"/>
                              <w:sz w:val="24"/>
                            </w:rPr>
                          </m:ctrlPr>
                        </m:sSubPr>
                        <m:e>
                          <m:r>
                            <m:rPr/>
                            <w:rPr>
                              <w:rFonts w:hint="default" w:ascii="Cambria Math" w:hAnsi="Cambria Math" w:eastAsia="sans-serif"/>
                              <w:sz w:val="24"/>
                            </w:rPr>
                            <m:t>σ</m:t>
                          </m:r>
                          <m:ctrlPr>
                            <w:rPr>
                              <w:rFonts w:ascii="Cambria Math" w:hAnsi="Cambria Math" w:eastAsia="sans-serif"/>
                              <w:sz w:val="24"/>
                            </w:rPr>
                          </m:ctrlPr>
                        </m:e>
                        <m:sub>
                          <m:r>
                            <m:rPr/>
                            <w:rPr>
                              <w:rFonts w:hint="default" w:ascii="Cambria Math" w:hAnsi="Cambria Math" w:eastAsia="sans-serif"/>
                              <w:sz w:val="24"/>
                            </w:rPr>
                            <m:t>m</m:t>
                          </m:r>
                          <m:ctrlPr>
                            <w:rPr>
                              <w:rFonts w:ascii="Cambria Math" w:hAnsi="Cambria Math" w:eastAsia="sans-serif"/>
                              <w:sz w:val="24"/>
                            </w:rPr>
                          </m:ctrlPr>
                        </m:sub>
                      </m:sSub>
                      <m:ctrlPr>
                        <w:rPr>
                          <w:rFonts w:hint="default" w:ascii="Cambria Math" w:hAnsi="Cambria Math" w:eastAsia="sans-serif"/>
                          <w:sz w:val="24"/>
                        </w:rPr>
                      </m:ctrlPr>
                    </m:e>
                  </m:func>
                  <m:ctrlPr>
                    <w:rPr>
                      <w:rFonts w:hint="default" w:ascii="Cambria Math" w:hAnsi="Cambria Math" w:eastAsia="sans-serif"/>
                      <w:sz w:val="24"/>
                    </w:rPr>
                  </m:ctrlPr>
                </m:e>
              </m:d>
              <m:ctrlPr>
                <w:rPr>
                  <w:rFonts w:hint="default" w:ascii="Cambria Math" w:hAnsi="Cambria Math" w:eastAsia="sans-serif"/>
                  <w:i/>
                  <w:sz w:val="24"/>
                </w:rPr>
              </m:ctrlPr>
            </m:e>
          </m:nary>
        </m:oMath>
      </m:oMathPara>
    </w:p>
    <w:p w14:paraId="6A3C81BB">
      <w:pPr>
        <w:bidi w:val="0"/>
        <w:rPr>
          <w:rFonts w:hint="eastAsia"/>
          <w:lang w:val="en-US" w:eastAsia="zh-CN"/>
        </w:rPr>
      </w:pPr>
      <w:r>
        <w:rPr>
          <w:rFonts w:hint="eastAsia"/>
          <w:lang w:val="en-US" w:eastAsia="zh-CN"/>
        </w:rPr>
        <w:t>在该机制下：</w:t>
      </w:r>
    </w:p>
    <w:p w14:paraId="5E1A4EAC">
      <w:pPr>
        <w:bidi w:val="0"/>
        <w:rPr>
          <w:rFonts w:hint="eastAsia"/>
          <w:lang w:val="en-US" w:eastAsia="zh-CN"/>
        </w:rPr>
      </w:pPr>
      <w:r>
        <w:rPr>
          <w:rFonts w:hint="eastAsia"/>
          <w:lang w:val="en-US" w:eastAsia="zh-CN"/>
        </w:rPr>
        <w:t>自适应权重调节：</w:t>
      </w:r>
      <m:oMathPara>
        <m:oMath>
          <m:f>
            <m:fPr>
              <m:ctrlPr>
                <w:rPr>
                  <w:rFonts w:hint="default" w:ascii="Cambria Math" w:hAnsi="Cambria Math"/>
                </w:rPr>
              </m:ctrlPr>
            </m:fPr>
            <m:num>
              <m:r>
                <m:rPr>
                  <m:sty m:val="p"/>
                </m:rPr>
                <w:rPr>
                  <w:rFonts w:hint="default" w:ascii="Times New Roman" w:hAnsi="Times New Roman"/>
                </w:rPr>
                <m:t>1</m:t>
              </m:r>
            </m:num>
            <m:den>
              <m:r>
                <m:rPr>
                  <m:sty m:val="p"/>
                </m:rPr>
                <w:rPr>
                  <w:rFonts w:hint="default" w:ascii="Times New Roman" w:hAnsi="Times New Roman"/>
                </w:rPr>
                <m:t>2</m:t>
              </m:r>
              <m:sSubSup>
                <m:sSubSupPr>
                  <m:ctrlPr>
                    <w:rPr>
                      <w:rFonts w:hint="default" w:ascii="Cambria Math" w:hAnsi="Cambria Math"/>
                    </w:rPr>
                  </m:ctrlPr>
                </m:sSubSupPr>
                <m:e>
                  <m:r>
                    <m:rPr>
                      <m:sty m:val="p"/>
                    </m:rPr>
                    <w:rPr>
                      <w:rFonts w:hint="default" w:ascii="Times New Roman" w:hAnsi="Times New Roman"/>
                    </w:rPr>
                    <m:t>σ</m:t>
                  </m:r>
                </m:e>
                <m:sub>
                  <m:r>
                    <m:rPr>
                      <m:sty m:val="p"/>
                    </m:rPr>
                    <w:rPr>
                      <w:rFonts w:hint="default" w:ascii="Times New Roman" w:hAnsi="Times New Roman"/>
                    </w:rPr>
                    <m:t>m</m:t>
                  </m:r>
                </m:sub>
                <m:sup>
                  <m:r>
                    <m:rPr>
                      <m:sty m:val="p"/>
                    </m:rPr>
                    <w:rPr>
                      <w:rFonts w:hint="default" w:ascii="Times New Roman" w:hAnsi="Times New Roman"/>
                    </w:rPr>
                    <m:t>2</m:t>
                  </m:r>
                </m:sup>
              </m:sSubSup>
              <m:ctrlPr>
                <w:rPr>
                  <w:rFonts w:hint="default" w:ascii="Cambria Math" w:hAnsi="Cambria Math"/>
                </w:rPr>
              </m:ctrlPr>
            </m:den>
          </m:f>
        </m:oMath>
      </m:oMathPara>
      <w:r>
        <w:rPr>
          <w:rFonts w:hint="eastAsia"/>
          <w:lang w:val="en-US" w:eastAsia="zh-CN"/>
        </w:rPr>
        <w:t>项充当动态权重。当某一模态对齐任务表现出较高的不确定性或存在较大噪声时，模型会自动增大</w:t>
      </w:r>
      <m:oMathPara>
        <m:oMath>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oMath>
      </m:oMathPara>
      <w:r>
        <w:rPr>
          <w:rFonts w:hint="eastAsia"/>
          <w:lang w:val="en-US" w:eastAsia="zh-CN"/>
        </w:rPr>
        <w:t>以降低该任务对总梯度的贡献。</w:t>
      </w:r>
    </w:p>
    <w:p w14:paraId="4E13DDCB">
      <w:pPr>
        <w:bidi w:val="0"/>
        <w:rPr>
          <w:rFonts w:hint="eastAsia"/>
          <w:lang w:val="en-US" w:eastAsia="zh-CN"/>
        </w:rPr>
      </w:pPr>
      <w:r>
        <w:rPr>
          <w:rFonts w:hint="eastAsia"/>
          <w:lang w:val="en-US" w:eastAsia="zh-CN"/>
        </w:rPr>
        <w:t>正则化约束：</w:t>
      </w:r>
      <m:oMathPara>
        <m:oMath>
          <m:func>
            <m:funcPr>
              <m:ctrlPr>
                <w:rPr>
                  <w:rFonts w:hint="default" w:ascii="Cambria Math" w:hAnsi="Cambria Math"/>
                </w:rPr>
              </m:ctrlPr>
            </m:funcPr>
            <m:fName>
              <m:r>
                <m:rPr>
                  <m:sty m:val="p"/>
                </m:rPr>
                <w:rPr>
                  <w:rFonts w:hint="default" w:ascii="Times New Roman" w:hAnsi="Times New Roman"/>
                </w:rPr>
                <m:t>log</m:t>
              </m:r>
            </m:fName>
            <m:e>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ctrlPr>
                <w:rPr>
                  <w:rFonts w:hint="default" w:ascii="Cambria Math" w:hAnsi="Cambria Math"/>
                </w:rPr>
              </m:ctrlPr>
            </m:e>
          </m:func>
        </m:oMath>
      </m:oMathPara>
      <w:r>
        <w:rPr>
          <w:rFonts w:hint="eastAsia"/>
          <w:lang w:val="en-US" w:eastAsia="zh-CN"/>
        </w:rPr>
        <w:t>项作为正则化因子，防止</w:t>
      </w:r>
      <m:oMathPara>
        <m:oMath>
          <m:sSub>
            <m:sSubPr>
              <m:ctrlPr>
                <w:rPr>
                  <w:rFonts w:hint="default" w:ascii="Cambria Math" w:hAnsi="Cambria Math"/>
                </w:rPr>
              </m:ctrlPr>
            </m:sSubPr>
            <m:e>
              <m:r>
                <m:rPr>
                  <m:sty m:val="p"/>
                </m:rPr>
                <w:rPr>
                  <w:rFonts w:hint="default" w:ascii="Times New Roman" w:hAnsi="Times New Roman"/>
                </w:rPr>
                <m:t>σ</m:t>
              </m:r>
            </m:e>
            <m:sub>
              <m:r>
                <m:rPr>
                  <m:sty m:val="p"/>
                </m:rPr>
                <w:rPr>
                  <w:rFonts w:hint="default" w:ascii="Times New Roman" w:hAnsi="Times New Roman"/>
                </w:rPr>
                <m:t>m</m:t>
              </m:r>
            </m:sub>
          </m:sSub>
        </m:oMath>
      </m:oMathPara>
      <w:r>
        <w:rPr>
          <w:rFonts w:hint="eastAsia"/>
          <w:lang w:val="en-US" w:eastAsia="zh-CN"/>
        </w:rPr>
        <w:t>无限增大导致权重坍塌，迫使模型在“降低噪声影响”与“维持任务增益”之间寻求平衡。</w:t>
      </w:r>
    </w:p>
    <w:p w14:paraId="7692B78E">
      <w:pPr>
        <w:bidi w:val="0"/>
        <w:rPr>
          <w:rFonts w:hint="eastAsia"/>
          <w:lang w:val="en-US" w:eastAsia="zh-CN"/>
        </w:rPr>
      </w:pPr>
      <w:r>
        <w:rPr>
          <w:rFonts w:hint="eastAsia"/>
          <w:lang w:val="en-US" w:eastAsia="zh-CN"/>
        </w:rPr>
        <w:t>通过这种方式，模型能够在预训练过程中自主识别各模态的可靠性，优先学习确定性较强的结构关联，例如图模态和SMILES模态，并平滑处理复杂语义对齐，例如图模态和文本模态，从而显著提升了多模态表征的稳健性与收敛效率。</w:t>
      </w:r>
    </w:p>
    <w:p w14:paraId="4F115F04">
      <w:pPr>
        <w:pStyle w:val="4"/>
        <w:bidi w:val="0"/>
        <w:rPr>
          <w:rFonts w:hint="default"/>
          <w:lang w:val="en-US" w:eastAsia="zh-CN"/>
        </w:rPr>
      </w:pPr>
      <w:r>
        <w:rPr>
          <w:rFonts w:hint="eastAsia"/>
          <w:lang w:val="en-US" w:eastAsia="zh-CN"/>
        </w:rPr>
        <w:t>对比模型</w:t>
      </w:r>
    </w:p>
    <w:p w14:paraId="2CFA57F0">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AttentiveFP 是一种引入注意力机制的图神经网络模型。该方法通过注意力权重动态调整邻居节点在信息聚合过程中的重要性，使模型能够自动关注对分子性质预测更为关键的原子和化学键，从而提升模型的表达能力和预测性能。</w:t>
      </w:r>
    </w:p>
    <w:p w14:paraId="422EC42E">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GraphConv 是早期提出的一类图卷积网络模型，将分子表示为图结构，其中节点表示原子、边表示化学键。通过在分子图上执行卷积操作，模型能够捕捉分子内部的局部结构和全局拓扑特征，被广泛应用于分子性质预测任务中。</w:t>
      </w:r>
    </w:p>
    <w:p w14:paraId="0E291D7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Mol2Vec 是一种借鉴自然语言处理思想的分子表示方法，将分子结构拆分为若干子结构并视为“词语”，采用 Skip-gram 算法进行无监督训练，从而学习分子子结构的向量表示，最终获得分子的整体表示。</w:t>
      </w:r>
    </w:p>
    <w:p w14:paraId="7733EA5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N-Gram 方法通过将分子表示为由连续 N 个化学键组成的路径集合，从结构角度刻画分子的局部拓扑特征。该方法无需预先定义分子表示形式，具有良好的通用性和灵活性，适用于不同类型的分子建模任务。</w:t>
      </w:r>
    </w:p>
    <w:p w14:paraId="04EFD87A">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color w:val="E54C5E" w:themeColor="accent6"/>
          <w:lang w:val="en-US" w:eastAsia="zh-CN"/>
          <w14:textFill>
            <w14:solidFill>
              <w14:schemeClr w14:val="accent6"/>
            </w14:solidFill>
          </w14:textFill>
        </w:rPr>
      </w:pPr>
      <w:r>
        <w:rPr>
          <w:rFonts w:hint="default"/>
          <w:color w:val="E54C5E" w:themeColor="accent6"/>
          <w:lang w:val="en-US" w:eastAsia="zh-CN"/>
          <w14:textFill>
            <w14:solidFill>
              <w14:schemeClr w14:val="accent6"/>
            </w14:solidFill>
          </w14:textFill>
        </w:rPr>
        <w:t>SMILES-BERT 是一种基于 Transformer 架构的分子表示学习方法，将 SMILES 字符串视为文本序列输入，通过自监督预训练任务（如掩码语言模型）学习分子的上下文语义表示，进而用于分子性质预测等下游任务。</w:t>
      </w:r>
    </w:p>
    <w:p w14:paraId="2F3AFC2F">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MolCLR 是一种基于图神经网络的分子对比学习方法，通过构造不同的分子视图并进行对比学习，在无监督条件下学习具有判别性的分子表示。该方法在多个分子性质预测任务中表现出较强的泛化能力。</w:t>
      </w:r>
    </w:p>
    <w:p w14:paraId="7948BAC5">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t>SchNet 是一种面向量子化学建模的深度学习方法，通过连续滤波卷积直接作用于原子间的三维空间距离，从而有效建模分子的三维结构信息。该方法无需人工设计特征，能够自动学习与分子电子结构和量子相互作用相关的重要特征。</w:t>
      </w:r>
    </w:p>
    <w:p w14:paraId="75AAD397">
      <w:pPr>
        <w:pStyle w:val="3"/>
        <w:pageBreakBefore w:val="0"/>
        <w:kinsoku/>
        <w:wordWrap/>
        <w:overflowPunct/>
        <w:topLinePunct w:val="0"/>
        <w:autoSpaceDE/>
        <w:autoSpaceDN/>
        <w:bidi w:val="0"/>
        <w:adjustRightInd/>
        <w:spacing w:beforeAutospacing="0" w:afterAutospacing="0" w:line="360" w:lineRule="auto"/>
        <w:ind w:left="567" w:leftChars="0" w:hanging="567" w:firstLineChars="0"/>
        <w:textAlignment w:val="auto"/>
        <w:rPr>
          <w:rFonts w:hint="eastAsia"/>
          <w:lang w:val="en-US" w:eastAsia="zh-CN"/>
        </w:rPr>
      </w:pPr>
      <w:r>
        <w:rPr>
          <w:rFonts w:hint="eastAsia"/>
          <w:lang w:val="en-US" w:eastAsia="zh-CN"/>
        </w:rPr>
        <w:t>实验及结果分析</w:t>
      </w:r>
    </w:p>
    <w:p w14:paraId="79FCBCC0">
      <w:pPr>
        <w:pStyle w:val="4"/>
        <w:bidi w:val="0"/>
        <w:rPr>
          <w:rFonts w:hint="eastAsia"/>
          <w:lang w:val="en-US" w:eastAsia="zh-CN"/>
        </w:rPr>
      </w:pPr>
      <w:r>
        <w:rPr>
          <w:rFonts w:hint="eastAsia"/>
          <w:lang w:val="en-US" w:eastAsia="zh-CN"/>
        </w:rPr>
        <w:t>对比实验</w:t>
      </w:r>
    </w:p>
    <w:p w14:paraId="3E8A1B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在 MoleculeNet 上的9个分子性质预测数据集，进行了多维度的实验和评估。</w:t>
      </w:r>
      <w:r>
        <w:rPr>
          <w:rFonts w:hint="eastAsia" w:ascii="Times New Roman" w:hAnsi="Times New Roman" w:eastAsia="宋体" w:cs="Times New Roman"/>
          <w:kern w:val="2"/>
          <w:sz w:val="21"/>
          <w:szCs w:val="24"/>
          <w:lang w:val="en-US" w:eastAsia="zh-CN" w:bidi="ar-SA"/>
        </w:rPr>
        <w:t>对于所有数据集，我们都遵循 MoleculeNet 推荐的标准数据划分协议</w:t>
      </w:r>
      <w:r>
        <w:rPr>
          <w:rFonts w:hint="eastAsia" w:cs="Times New Roman"/>
          <w:kern w:val="2"/>
          <w:sz w:val="21"/>
          <w:szCs w:val="24"/>
          <w:lang w:val="en-US" w:eastAsia="zh-CN" w:bidi="ar-SA"/>
        </w:rPr>
        <w:t>，即</w:t>
      </w:r>
      <w:r>
        <w:rPr>
          <w:rFonts w:hint="eastAsia"/>
          <w:lang w:val="en-US" w:eastAsia="zh-CN"/>
        </w:rPr>
        <w:t>采用骨架分割的方法，按照8:1:1的比例划分出实验的训练集、验证集和测试集。并且我们使用不同的随机种子做了多组实验，并记录每次实验的</w:t>
      </w:r>
      <w:bookmarkStart w:id="0" w:name="_GoBack"/>
      <w:bookmarkEnd w:id="0"/>
      <w:r>
        <w:rPr>
          <w:rFonts w:hint="eastAsia"/>
          <w:lang w:val="en-US" w:eastAsia="zh-CN"/>
        </w:rPr>
        <w:t>结果，最终各个模型的性能我们取均值以及标准差来作为结果。</w:t>
      </w:r>
    </w:p>
    <w:tbl>
      <w:tblPr>
        <w:tblStyle w:val="17"/>
        <w:tblpPr w:leftFromText="180" w:rightFromText="180" w:vertAnchor="text" w:horzAnchor="page" w:tblpX="2200" w:tblpY="459"/>
        <w:tblOverlap w:val="never"/>
        <w:tblW w:w="7738" w:type="dxa"/>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autofit"/>
        <w:tblCellMar>
          <w:top w:w="0" w:type="dxa"/>
          <w:left w:w="108" w:type="dxa"/>
          <w:bottom w:w="0" w:type="dxa"/>
          <w:right w:w="108" w:type="dxa"/>
        </w:tblCellMar>
      </w:tblPr>
      <w:tblGrid>
        <w:gridCol w:w="1844"/>
        <w:gridCol w:w="1021"/>
        <w:gridCol w:w="886"/>
        <w:gridCol w:w="1062"/>
        <w:gridCol w:w="883"/>
        <w:gridCol w:w="1073"/>
        <w:gridCol w:w="969"/>
      </w:tblGrid>
      <w:tr w14:paraId="1334F70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single" w:color="000000" w:sz="12" w:space="0"/>
              <w:left w:val="nil"/>
              <w:bottom w:val="nil"/>
              <w:right w:val="nil"/>
            </w:tcBorders>
            <w:vAlign w:val="bottom"/>
          </w:tcPr>
          <w:p w14:paraId="093D8A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Datasets</w:t>
            </w:r>
          </w:p>
        </w:tc>
        <w:tc>
          <w:tcPr>
            <w:tcW w:w="1021" w:type="dxa"/>
            <w:tcBorders>
              <w:top w:val="single" w:color="000000" w:sz="12" w:space="0"/>
              <w:left w:val="nil"/>
              <w:bottom w:val="nil"/>
              <w:right w:val="nil"/>
            </w:tcBorders>
            <w:shd w:val="clear" w:color="auto" w:fill="auto"/>
            <w:vAlign w:val="bottom"/>
          </w:tcPr>
          <w:p w14:paraId="11C4F73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BACE</w:t>
            </w:r>
          </w:p>
        </w:tc>
        <w:tc>
          <w:tcPr>
            <w:tcW w:w="886" w:type="dxa"/>
            <w:tcBorders>
              <w:top w:val="single" w:color="000000" w:sz="12" w:space="0"/>
              <w:left w:val="nil"/>
              <w:bottom w:val="nil"/>
              <w:right w:val="nil"/>
            </w:tcBorders>
            <w:vAlign w:val="bottom"/>
          </w:tcPr>
          <w:p w14:paraId="6E87624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BBBP</w:t>
            </w:r>
          </w:p>
        </w:tc>
        <w:tc>
          <w:tcPr>
            <w:tcW w:w="1062" w:type="dxa"/>
            <w:tcBorders>
              <w:top w:val="single" w:color="000000" w:sz="12" w:space="0"/>
              <w:left w:val="nil"/>
              <w:bottom w:val="nil"/>
              <w:right w:val="nil"/>
            </w:tcBorders>
            <w:vAlign w:val="bottom"/>
          </w:tcPr>
          <w:p w14:paraId="63E56A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ClinTox</w:t>
            </w:r>
          </w:p>
        </w:tc>
        <w:tc>
          <w:tcPr>
            <w:tcW w:w="883" w:type="dxa"/>
            <w:tcBorders>
              <w:top w:val="single" w:color="000000" w:sz="12" w:space="0"/>
              <w:left w:val="nil"/>
              <w:bottom w:val="nil"/>
              <w:right w:val="nil"/>
            </w:tcBorders>
            <w:vAlign w:val="bottom"/>
          </w:tcPr>
          <w:p w14:paraId="7D25EE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Tox21</w:t>
            </w:r>
          </w:p>
        </w:tc>
        <w:tc>
          <w:tcPr>
            <w:tcW w:w="1073" w:type="dxa"/>
            <w:tcBorders>
              <w:top w:val="single" w:color="000000" w:sz="12" w:space="0"/>
              <w:left w:val="nil"/>
              <w:bottom w:val="nil"/>
              <w:right w:val="nil"/>
            </w:tcBorders>
            <w:vAlign w:val="bottom"/>
          </w:tcPr>
          <w:p w14:paraId="78E3F0C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ToxCast</w:t>
            </w:r>
          </w:p>
        </w:tc>
        <w:tc>
          <w:tcPr>
            <w:tcW w:w="969" w:type="dxa"/>
            <w:tcBorders>
              <w:top w:val="single" w:color="000000" w:sz="12" w:space="0"/>
              <w:left w:val="nil"/>
              <w:bottom w:val="nil"/>
              <w:right w:val="nil"/>
            </w:tcBorders>
            <w:vAlign w:val="bottom"/>
          </w:tcPr>
          <w:p w14:paraId="6A64100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SIDER</w:t>
            </w:r>
          </w:p>
        </w:tc>
      </w:tr>
      <w:tr w14:paraId="7D2FB51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6F669EA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1021" w:type="dxa"/>
            <w:tcBorders>
              <w:top w:val="nil"/>
              <w:left w:val="nil"/>
              <w:bottom w:val="nil"/>
              <w:right w:val="nil"/>
            </w:tcBorders>
            <w:shd w:val="clear" w:color="auto" w:fill="auto"/>
            <w:vAlign w:val="bottom"/>
          </w:tcPr>
          <w:p w14:paraId="554E187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1513</w:t>
            </w:r>
          </w:p>
        </w:tc>
        <w:tc>
          <w:tcPr>
            <w:tcW w:w="886" w:type="dxa"/>
            <w:tcBorders>
              <w:top w:val="nil"/>
              <w:left w:val="nil"/>
              <w:bottom w:val="nil"/>
              <w:right w:val="nil"/>
            </w:tcBorders>
            <w:vAlign w:val="bottom"/>
          </w:tcPr>
          <w:p w14:paraId="0EBA8FF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2039</w:t>
            </w:r>
          </w:p>
        </w:tc>
        <w:tc>
          <w:tcPr>
            <w:tcW w:w="1062" w:type="dxa"/>
            <w:tcBorders>
              <w:top w:val="nil"/>
              <w:left w:val="nil"/>
              <w:bottom w:val="nil"/>
              <w:right w:val="nil"/>
            </w:tcBorders>
            <w:vAlign w:val="bottom"/>
          </w:tcPr>
          <w:p w14:paraId="70CFAF8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1478</w:t>
            </w:r>
          </w:p>
        </w:tc>
        <w:tc>
          <w:tcPr>
            <w:tcW w:w="883" w:type="dxa"/>
            <w:tcBorders>
              <w:top w:val="nil"/>
              <w:left w:val="nil"/>
              <w:bottom w:val="nil"/>
              <w:right w:val="nil"/>
            </w:tcBorders>
            <w:vAlign w:val="bottom"/>
          </w:tcPr>
          <w:p w14:paraId="797BF98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7831</w:t>
            </w:r>
          </w:p>
        </w:tc>
        <w:tc>
          <w:tcPr>
            <w:tcW w:w="1073" w:type="dxa"/>
            <w:tcBorders>
              <w:top w:val="nil"/>
              <w:left w:val="nil"/>
              <w:bottom w:val="nil"/>
              <w:right w:val="nil"/>
            </w:tcBorders>
            <w:vAlign w:val="bottom"/>
          </w:tcPr>
          <w:p w14:paraId="75DB7F7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8575</w:t>
            </w:r>
          </w:p>
        </w:tc>
        <w:tc>
          <w:tcPr>
            <w:tcW w:w="969" w:type="dxa"/>
            <w:tcBorders>
              <w:top w:val="nil"/>
              <w:left w:val="nil"/>
              <w:bottom w:val="nil"/>
              <w:right w:val="nil"/>
            </w:tcBorders>
            <w:vAlign w:val="bottom"/>
          </w:tcPr>
          <w:p w14:paraId="06375AE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1472</w:t>
            </w:r>
          </w:p>
        </w:tc>
      </w:tr>
      <w:tr w14:paraId="58B2B3C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444660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1021" w:type="dxa"/>
            <w:tcBorders>
              <w:top w:val="nil"/>
              <w:left w:val="nil"/>
              <w:right w:val="nil"/>
            </w:tcBorders>
            <w:shd w:val="clear" w:color="auto" w:fill="auto"/>
            <w:vAlign w:val="bottom"/>
          </w:tcPr>
          <w:p w14:paraId="0DC4BCA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w:t>
            </w:r>
          </w:p>
        </w:tc>
        <w:tc>
          <w:tcPr>
            <w:tcW w:w="886" w:type="dxa"/>
            <w:tcBorders>
              <w:top w:val="nil"/>
              <w:left w:val="nil"/>
              <w:right w:val="nil"/>
            </w:tcBorders>
            <w:vAlign w:val="bottom"/>
          </w:tcPr>
          <w:p w14:paraId="69E5F65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w:t>
            </w:r>
          </w:p>
        </w:tc>
        <w:tc>
          <w:tcPr>
            <w:tcW w:w="1062" w:type="dxa"/>
            <w:tcBorders>
              <w:top w:val="nil"/>
              <w:left w:val="nil"/>
              <w:right w:val="nil"/>
            </w:tcBorders>
            <w:vAlign w:val="bottom"/>
          </w:tcPr>
          <w:p w14:paraId="4E15BE6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w:t>
            </w:r>
          </w:p>
        </w:tc>
        <w:tc>
          <w:tcPr>
            <w:tcW w:w="883" w:type="dxa"/>
            <w:tcBorders>
              <w:top w:val="nil"/>
              <w:left w:val="nil"/>
              <w:right w:val="nil"/>
            </w:tcBorders>
            <w:vAlign w:val="bottom"/>
          </w:tcPr>
          <w:p w14:paraId="1B916F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12</w:t>
            </w:r>
          </w:p>
        </w:tc>
        <w:tc>
          <w:tcPr>
            <w:tcW w:w="1073" w:type="dxa"/>
            <w:tcBorders>
              <w:top w:val="nil"/>
              <w:left w:val="nil"/>
              <w:right w:val="nil"/>
            </w:tcBorders>
            <w:vAlign w:val="bottom"/>
          </w:tcPr>
          <w:p w14:paraId="38724CA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617</w:t>
            </w:r>
          </w:p>
        </w:tc>
        <w:tc>
          <w:tcPr>
            <w:tcW w:w="969" w:type="dxa"/>
            <w:tcBorders>
              <w:top w:val="nil"/>
              <w:left w:val="nil"/>
              <w:right w:val="nil"/>
            </w:tcBorders>
            <w:vAlign w:val="bottom"/>
          </w:tcPr>
          <w:p w14:paraId="5D20B3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27</w:t>
            </w:r>
          </w:p>
        </w:tc>
      </w:tr>
      <w:tr w14:paraId="00A1AF5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nil"/>
              <w:right w:val="nil"/>
            </w:tcBorders>
            <w:vAlign w:val="bottom"/>
          </w:tcPr>
          <w:p w14:paraId="4EC781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color w:val="auto"/>
                <w:vertAlign w:val="baseline"/>
                <w:lang w:val="en-US" w:eastAsia="zh-CN"/>
              </w:rPr>
              <w:t>AttentiveFP</w:t>
            </w:r>
          </w:p>
        </w:tc>
        <w:tc>
          <w:tcPr>
            <w:tcW w:w="1021" w:type="dxa"/>
            <w:tcBorders>
              <w:left w:val="nil"/>
              <w:bottom w:val="nil"/>
              <w:right w:val="nil"/>
            </w:tcBorders>
            <w:shd w:val="clear" w:color="auto" w:fill="auto"/>
            <w:vAlign w:val="bottom"/>
          </w:tcPr>
          <w:p w14:paraId="6761C2D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0.863</w:t>
            </w:r>
          </w:p>
        </w:tc>
        <w:tc>
          <w:tcPr>
            <w:tcW w:w="886" w:type="dxa"/>
            <w:tcBorders>
              <w:left w:val="nil"/>
              <w:bottom w:val="nil"/>
              <w:right w:val="nil"/>
            </w:tcBorders>
            <w:vAlign w:val="bottom"/>
          </w:tcPr>
          <w:p w14:paraId="4683DF2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0.908</w:t>
            </w:r>
          </w:p>
        </w:tc>
        <w:tc>
          <w:tcPr>
            <w:tcW w:w="1062" w:type="dxa"/>
            <w:tcBorders>
              <w:left w:val="nil"/>
              <w:bottom w:val="nil"/>
              <w:right w:val="nil"/>
            </w:tcBorders>
            <w:vAlign w:val="bottom"/>
          </w:tcPr>
          <w:p w14:paraId="25288D9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0.933</w:t>
            </w:r>
          </w:p>
        </w:tc>
        <w:tc>
          <w:tcPr>
            <w:tcW w:w="883" w:type="dxa"/>
            <w:tcBorders>
              <w:left w:val="nil"/>
              <w:bottom w:val="nil"/>
              <w:right w:val="nil"/>
            </w:tcBorders>
            <w:vAlign w:val="bottom"/>
          </w:tcPr>
          <w:p w14:paraId="3A187F6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0.807</w:t>
            </w:r>
          </w:p>
        </w:tc>
        <w:tc>
          <w:tcPr>
            <w:tcW w:w="1073" w:type="dxa"/>
            <w:tcBorders>
              <w:left w:val="nil"/>
              <w:bottom w:val="nil"/>
              <w:right w:val="nil"/>
            </w:tcBorders>
            <w:vAlign w:val="bottom"/>
          </w:tcPr>
          <w:p w14:paraId="1DBC1A0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0.637</w:t>
            </w:r>
          </w:p>
        </w:tc>
        <w:tc>
          <w:tcPr>
            <w:tcW w:w="969" w:type="dxa"/>
            <w:tcBorders>
              <w:left w:val="nil"/>
              <w:bottom w:val="nil"/>
              <w:right w:val="nil"/>
            </w:tcBorders>
            <w:vAlign w:val="bottom"/>
          </w:tcPr>
          <w:p w14:paraId="308741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29BA61C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95D9BF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Mol2Vec</w:t>
            </w:r>
          </w:p>
        </w:tc>
        <w:tc>
          <w:tcPr>
            <w:tcW w:w="1021" w:type="dxa"/>
            <w:tcBorders>
              <w:top w:val="nil"/>
              <w:left w:val="nil"/>
              <w:bottom w:val="nil"/>
              <w:right w:val="nil"/>
            </w:tcBorders>
            <w:shd w:val="clear" w:color="auto" w:fill="auto"/>
            <w:vAlign w:val="bottom"/>
          </w:tcPr>
          <w:p w14:paraId="6B30F4A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0.802</w:t>
            </w:r>
          </w:p>
        </w:tc>
        <w:tc>
          <w:tcPr>
            <w:tcW w:w="886" w:type="dxa"/>
            <w:tcBorders>
              <w:top w:val="nil"/>
              <w:left w:val="nil"/>
              <w:bottom w:val="nil"/>
              <w:right w:val="nil"/>
            </w:tcBorders>
            <w:vAlign w:val="bottom"/>
          </w:tcPr>
          <w:p w14:paraId="47E76C5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0.826</w:t>
            </w:r>
          </w:p>
        </w:tc>
        <w:tc>
          <w:tcPr>
            <w:tcW w:w="1062" w:type="dxa"/>
            <w:tcBorders>
              <w:top w:val="nil"/>
              <w:left w:val="nil"/>
              <w:bottom w:val="nil"/>
              <w:right w:val="nil"/>
            </w:tcBorders>
            <w:vAlign w:val="bottom"/>
          </w:tcPr>
          <w:p w14:paraId="51C16E2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0.750</w:t>
            </w:r>
          </w:p>
        </w:tc>
        <w:tc>
          <w:tcPr>
            <w:tcW w:w="883" w:type="dxa"/>
            <w:tcBorders>
              <w:top w:val="nil"/>
              <w:left w:val="nil"/>
              <w:bottom w:val="nil"/>
              <w:right w:val="nil"/>
            </w:tcBorders>
            <w:vAlign w:val="bottom"/>
          </w:tcPr>
          <w:p w14:paraId="1024D2D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0.754</w:t>
            </w:r>
          </w:p>
        </w:tc>
        <w:tc>
          <w:tcPr>
            <w:tcW w:w="1073" w:type="dxa"/>
            <w:tcBorders>
              <w:top w:val="nil"/>
              <w:left w:val="nil"/>
              <w:bottom w:val="nil"/>
              <w:right w:val="nil"/>
            </w:tcBorders>
            <w:vAlign w:val="bottom"/>
          </w:tcPr>
          <w:p w14:paraId="4333F04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c>
          <w:tcPr>
            <w:tcW w:w="969" w:type="dxa"/>
            <w:tcBorders>
              <w:top w:val="nil"/>
              <w:left w:val="nil"/>
              <w:bottom w:val="nil"/>
              <w:right w:val="nil"/>
            </w:tcBorders>
            <w:vAlign w:val="bottom"/>
          </w:tcPr>
          <w:p w14:paraId="4B3BD5B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0.592</w:t>
            </w:r>
          </w:p>
        </w:tc>
      </w:tr>
      <w:tr w14:paraId="25E386C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06CE1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GROVER-base</w:t>
            </w:r>
          </w:p>
        </w:tc>
        <w:tc>
          <w:tcPr>
            <w:tcW w:w="1021" w:type="dxa"/>
            <w:tcBorders>
              <w:top w:val="nil"/>
              <w:left w:val="nil"/>
              <w:bottom w:val="nil"/>
              <w:right w:val="nil"/>
            </w:tcBorders>
            <w:shd w:val="clear" w:color="auto" w:fill="auto"/>
            <w:vAlign w:val="bottom"/>
          </w:tcPr>
          <w:p w14:paraId="6BCD3FC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0.810</w:t>
            </w:r>
          </w:p>
        </w:tc>
        <w:tc>
          <w:tcPr>
            <w:tcW w:w="886" w:type="dxa"/>
            <w:tcBorders>
              <w:top w:val="nil"/>
              <w:left w:val="nil"/>
              <w:bottom w:val="nil"/>
              <w:right w:val="nil"/>
            </w:tcBorders>
            <w:vAlign w:val="bottom"/>
          </w:tcPr>
          <w:p w14:paraId="05CF94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0.695</w:t>
            </w:r>
          </w:p>
        </w:tc>
        <w:tc>
          <w:tcPr>
            <w:tcW w:w="1062" w:type="dxa"/>
            <w:tcBorders>
              <w:top w:val="nil"/>
              <w:left w:val="nil"/>
              <w:bottom w:val="nil"/>
              <w:right w:val="nil"/>
            </w:tcBorders>
            <w:vAlign w:val="bottom"/>
          </w:tcPr>
          <w:p w14:paraId="22D0DE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0.762</w:t>
            </w:r>
          </w:p>
        </w:tc>
        <w:tc>
          <w:tcPr>
            <w:tcW w:w="883" w:type="dxa"/>
            <w:tcBorders>
              <w:top w:val="nil"/>
              <w:left w:val="nil"/>
              <w:bottom w:val="nil"/>
              <w:right w:val="nil"/>
            </w:tcBorders>
            <w:vAlign w:val="bottom"/>
          </w:tcPr>
          <w:p w14:paraId="4AB6CC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0.735</w:t>
            </w:r>
          </w:p>
        </w:tc>
        <w:tc>
          <w:tcPr>
            <w:tcW w:w="1073" w:type="dxa"/>
            <w:tcBorders>
              <w:top w:val="nil"/>
              <w:left w:val="nil"/>
              <w:bottom w:val="nil"/>
              <w:right w:val="nil"/>
            </w:tcBorders>
            <w:vAlign w:val="bottom"/>
          </w:tcPr>
          <w:p w14:paraId="231AB97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0.653</w:t>
            </w:r>
          </w:p>
        </w:tc>
        <w:tc>
          <w:tcPr>
            <w:tcW w:w="969" w:type="dxa"/>
            <w:tcBorders>
              <w:top w:val="nil"/>
              <w:left w:val="nil"/>
              <w:bottom w:val="nil"/>
              <w:right w:val="nil"/>
            </w:tcBorders>
            <w:vAlign w:val="bottom"/>
          </w:tcPr>
          <w:p w14:paraId="5F8977C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0.614</w:t>
            </w:r>
          </w:p>
        </w:tc>
      </w:tr>
      <w:tr w14:paraId="12ABB70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122C6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GraphMVP</w:t>
            </w:r>
          </w:p>
        </w:tc>
        <w:tc>
          <w:tcPr>
            <w:tcW w:w="1021" w:type="dxa"/>
            <w:tcBorders>
              <w:top w:val="nil"/>
              <w:left w:val="nil"/>
              <w:bottom w:val="nil"/>
              <w:right w:val="nil"/>
            </w:tcBorders>
            <w:shd w:val="clear" w:color="auto" w:fill="auto"/>
            <w:vAlign w:val="bottom"/>
          </w:tcPr>
          <w:p w14:paraId="3BF24EDC">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0.812</w:t>
            </w:r>
          </w:p>
        </w:tc>
        <w:tc>
          <w:tcPr>
            <w:tcW w:w="886" w:type="dxa"/>
            <w:tcBorders>
              <w:top w:val="nil"/>
              <w:left w:val="nil"/>
              <w:bottom w:val="nil"/>
              <w:right w:val="nil"/>
            </w:tcBorders>
            <w:vAlign w:val="bottom"/>
          </w:tcPr>
          <w:p w14:paraId="616262F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0.724</w:t>
            </w:r>
          </w:p>
        </w:tc>
        <w:tc>
          <w:tcPr>
            <w:tcW w:w="1062" w:type="dxa"/>
            <w:tcBorders>
              <w:top w:val="nil"/>
              <w:left w:val="nil"/>
              <w:bottom w:val="nil"/>
              <w:right w:val="nil"/>
            </w:tcBorders>
            <w:vAlign w:val="bottom"/>
          </w:tcPr>
          <w:p w14:paraId="26441BD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0.791</w:t>
            </w:r>
          </w:p>
        </w:tc>
        <w:tc>
          <w:tcPr>
            <w:tcW w:w="883" w:type="dxa"/>
            <w:tcBorders>
              <w:top w:val="nil"/>
              <w:left w:val="nil"/>
              <w:bottom w:val="nil"/>
              <w:right w:val="nil"/>
            </w:tcBorders>
            <w:vAlign w:val="bottom"/>
          </w:tcPr>
          <w:p w14:paraId="003832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76390A4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0.631</w:t>
            </w:r>
          </w:p>
        </w:tc>
        <w:tc>
          <w:tcPr>
            <w:tcW w:w="969" w:type="dxa"/>
            <w:tcBorders>
              <w:top w:val="nil"/>
              <w:left w:val="nil"/>
              <w:bottom w:val="nil"/>
              <w:right w:val="nil"/>
            </w:tcBorders>
            <w:vAlign w:val="bottom"/>
          </w:tcPr>
          <w:p w14:paraId="503CAAE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0.639</w:t>
            </w:r>
          </w:p>
        </w:tc>
      </w:tr>
      <w:tr w14:paraId="7C80F1F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939B7D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MPNN</w:t>
            </w:r>
          </w:p>
        </w:tc>
        <w:tc>
          <w:tcPr>
            <w:tcW w:w="1021" w:type="dxa"/>
            <w:tcBorders>
              <w:top w:val="nil"/>
              <w:left w:val="nil"/>
              <w:bottom w:val="nil"/>
              <w:right w:val="nil"/>
            </w:tcBorders>
            <w:shd w:val="clear" w:color="auto" w:fill="auto"/>
            <w:vAlign w:val="bottom"/>
          </w:tcPr>
          <w:p w14:paraId="7C4EB5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0.815</w:t>
            </w:r>
          </w:p>
        </w:tc>
        <w:tc>
          <w:tcPr>
            <w:tcW w:w="886" w:type="dxa"/>
            <w:tcBorders>
              <w:top w:val="nil"/>
              <w:left w:val="nil"/>
              <w:bottom w:val="nil"/>
              <w:right w:val="nil"/>
            </w:tcBorders>
            <w:vAlign w:val="bottom"/>
          </w:tcPr>
          <w:p w14:paraId="2A9209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0.913</w:t>
            </w:r>
          </w:p>
        </w:tc>
        <w:tc>
          <w:tcPr>
            <w:tcW w:w="1062" w:type="dxa"/>
            <w:tcBorders>
              <w:top w:val="nil"/>
              <w:left w:val="nil"/>
              <w:bottom w:val="nil"/>
              <w:right w:val="nil"/>
            </w:tcBorders>
            <w:vAlign w:val="bottom"/>
          </w:tcPr>
          <w:p w14:paraId="1FE916F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0.879</w:t>
            </w:r>
          </w:p>
        </w:tc>
        <w:tc>
          <w:tcPr>
            <w:tcW w:w="883" w:type="dxa"/>
            <w:tcBorders>
              <w:top w:val="nil"/>
              <w:left w:val="nil"/>
              <w:bottom w:val="nil"/>
              <w:right w:val="nil"/>
            </w:tcBorders>
            <w:vAlign w:val="bottom"/>
          </w:tcPr>
          <w:p w14:paraId="23BCF28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0.808</w:t>
            </w:r>
          </w:p>
        </w:tc>
        <w:tc>
          <w:tcPr>
            <w:tcW w:w="1073" w:type="dxa"/>
            <w:tcBorders>
              <w:top w:val="nil"/>
              <w:left w:val="nil"/>
              <w:bottom w:val="nil"/>
              <w:right w:val="nil"/>
            </w:tcBorders>
            <w:vAlign w:val="bottom"/>
          </w:tcPr>
          <w:p w14:paraId="74896B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0.691</w:t>
            </w:r>
          </w:p>
        </w:tc>
        <w:tc>
          <w:tcPr>
            <w:tcW w:w="969" w:type="dxa"/>
            <w:tcBorders>
              <w:top w:val="nil"/>
              <w:left w:val="nil"/>
              <w:bottom w:val="nil"/>
              <w:right w:val="nil"/>
            </w:tcBorders>
            <w:vAlign w:val="bottom"/>
          </w:tcPr>
          <w:p w14:paraId="29E5A47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0.595</w:t>
            </w:r>
          </w:p>
        </w:tc>
      </w:tr>
      <w:tr w14:paraId="5725F02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8732E2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DMPNN</w:t>
            </w:r>
          </w:p>
        </w:tc>
        <w:tc>
          <w:tcPr>
            <w:tcW w:w="1021" w:type="dxa"/>
            <w:tcBorders>
              <w:top w:val="nil"/>
              <w:left w:val="nil"/>
              <w:bottom w:val="nil"/>
              <w:right w:val="nil"/>
            </w:tcBorders>
            <w:shd w:val="clear" w:color="auto" w:fill="auto"/>
            <w:vAlign w:val="bottom"/>
          </w:tcPr>
          <w:p w14:paraId="724562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0.809</w:t>
            </w:r>
          </w:p>
        </w:tc>
        <w:tc>
          <w:tcPr>
            <w:tcW w:w="886" w:type="dxa"/>
            <w:tcBorders>
              <w:top w:val="nil"/>
              <w:left w:val="nil"/>
              <w:bottom w:val="nil"/>
              <w:right w:val="nil"/>
            </w:tcBorders>
            <w:vAlign w:val="bottom"/>
          </w:tcPr>
          <w:p w14:paraId="6EA8679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473A7CD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0.906</w:t>
            </w:r>
          </w:p>
        </w:tc>
        <w:tc>
          <w:tcPr>
            <w:tcW w:w="883" w:type="dxa"/>
            <w:tcBorders>
              <w:top w:val="nil"/>
              <w:left w:val="nil"/>
              <w:bottom w:val="nil"/>
              <w:right w:val="nil"/>
            </w:tcBorders>
            <w:vAlign w:val="bottom"/>
          </w:tcPr>
          <w:p w14:paraId="7426E53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0.759</w:t>
            </w:r>
          </w:p>
        </w:tc>
        <w:tc>
          <w:tcPr>
            <w:tcW w:w="1073" w:type="dxa"/>
            <w:tcBorders>
              <w:top w:val="nil"/>
              <w:left w:val="nil"/>
              <w:bottom w:val="nil"/>
              <w:right w:val="nil"/>
            </w:tcBorders>
            <w:vAlign w:val="bottom"/>
          </w:tcPr>
          <w:p w14:paraId="0B8EC79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0.655</w:t>
            </w:r>
          </w:p>
        </w:tc>
        <w:tc>
          <w:tcPr>
            <w:tcW w:w="969" w:type="dxa"/>
            <w:tcBorders>
              <w:top w:val="nil"/>
              <w:left w:val="nil"/>
              <w:bottom w:val="nil"/>
              <w:right w:val="nil"/>
            </w:tcBorders>
            <w:vAlign w:val="bottom"/>
          </w:tcPr>
          <w:p w14:paraId="1896C1A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0.570</w:t>
            </w:r>
          </w:p>
        </w:tc>
      </w:tr>
      <w:tr w14:paraId="158C890D">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44EDA6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CMPNN</w:t>
            </w:r>
          </w:p>
        </w:tc>
        <w:tc>
          <w:tcPr>
            <w:tcW w:w="1021" w:type="dxa"/>
            <w:tcBorders>
              <w:top w:val="nil"/>
              <w:left w:val="nil"/>
              <w:bottom w:val="nil"/>
              <w:right w:val="nil"/>
            </w:tcBorders>
            <w:shd w:val="clear" w:color="auto" w:fill="auto"/>
            <w:vAlign w:val="bottom"/>
          </w:tcPr>
          <w:p w14:paraId="7445BE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0.869</w:t>
            </w:r>
          </w:p>
        </w:tc>
        <w:tc>
          <w:tcPr>
            <w:tcW w:w="886" w:type="dxa"/>
            <w:tcBorders>
              <w:top w:val="nil"/>
              <w:left w:val="nil"/>
              <w:bottom w:val="nil"/>
              <w:right w:val="nil"/>
            </w:tcBorders>
            <w:vAlign w:val="bottom"/>
          </w:tcPr>
          <w:p w14:paraId="3CD4184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0.927</w:t>
            </w:r>
          </w:p>
        </w:tc>
        <w:tc>
          <w:tcPr>
            <w:tcW w:w="1062" w:type="dxa"/>
            <w:tcBorders>
              <w:top w:val="nil"/>
              <w:left w:val="nil"/>
              <w:bottom w:val="nil"/>
              <w:right w:val="nil"/>
            </w:tcBorders>
            <w:vAlign w:val="bottom"/>
          </w:tcPr>
          <w:p w14:paraId="6C5A930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0.901</w:t>
            </w:r>
          </w:p>
        </w:tc>
        <w:tc>
          <w:tcPr>
            <w:tcW w:w="883" w:type="dxa"/>
            <w:tcBorders>
              <w:top w:val="nil"/>
              <w:left w:val="nil"/>
              <w:bottom w:val="nil"/>
              <w:right w:val="nil"/>
            </w:tcBorders>
            <w:vAlign w:val="bottom"/>
          </w:tcPr>
          <w:p w14:paraId="596C7D1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0.837</w:t>
            </w:r>
          </w:p>
        </w:tc>
        <w:tc>
          <w:tcPr>
            <w:tcW w:w="1073" w:type="dxa"/>
            <w:tcBorders>
              <w:top w:val="nil"/>
              <w:left w:val="nil"/>
              <w:bottom w:val="nil"/>
              <w:right w:val="nil"/>
            </w:tcBorders>
            <w:vAlign w:val="bottom"/>
          </w:tcPr>
          <w:p w14:paraId="2E8DF9F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0.709</w:t>
            </w:r>
          </w:p>
        </w:tc>
        <w:tc>
          <w:tcPr>
            <w:tcW w:w="969" w:type="dxa"/>
            <w:tcBorders>
              <w:top w:val="nil"/>
              <w:left w:val="nil"/>
              <w:bottom w:val="nil"/>
              <w:right w:val="nil"/>
            </w:tcBorders>
            <w:vAlign w:val="bottom"/>
          </w:tcPr>
          <w:p w14:paraId="569F124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0.617</w:t>
            </w:r>
          </w:p>
        </w:tc>
      </w:tr>
      <w:tr w14:paraId="2C98A09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0B05B0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auto"/>
                <w:vertAlign w:val="baseline"/>
                <w:lang w:val="en-US" w:eastAsia="zh-CN"/>
              </w:rPr>
            </w:pPr>
            <w:r>
              <w:rPr>
                <w:rFonts w:hint="eastAsia"/>
                <w:color w:val="auto"/>
                <w:vertAlign w:val="baseline"/>
                <w:lang w:val="en-US" w:eastAsia="zh-CN"/>
              </w:rPr>
              <w:t>GIN</w:t>
            </w:r>
          </w:p>
        </w:tc>
        <w:tc>
          <w:tcPr>
            <w:tcW w:w="1021" w:type="dxa"/>
            <w:tcBorders>
              <w:top w:val="nil"/>
              <w:left w:val="nil"/>
              <w:bottom w:val="nil"/>
              <w:right w:val="nil"/>
            </w:tcBorders>
            <w:shd w:val="clear" w:color="auto" w:fill="auto"/>
            <w:vAlign w:val="bottom"/>
          </w:tcPr>
          <w:p w14:paraId="369A477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color w:val="auto"/>
                <w:kern w:val="2"/>
                <w:sz w:val="21"/>
                <w:szCs w:val="24"/>
                <w:vertAlign w:val="baseline"/>
                <w:lang w:val="en-US" w:eastAsia="zh-CN" w:bidi="ar-SA"/>
              </w:rPr>
            </w:pPr>
            <w:r>
              <w:rPr>
                <w:rFonts w:hint="eastAsia"/>
                <w:color w:val="auto"/>
                <w:vertAlign w:val="baseline"/>
                <w:lang w:val="en-US" w:eastAsia="zh-CN"/>
              </w:rPr>
              <w:t>0.845</w:t>
            </w:r>
          </w:p>
        </w:tc>
        <w:tc>
          <w:tcPr>
            <w:tcW w:w="886" w:type="dxa"/>
            <w:tcBorders>
              <w:top w:val="nil"/>
              <w:left w:val="nil"/>
              <w:bottom w:val="nil"/>
              <w:right w:val="nil"/>
            </w:tcBorders>
            <w:vAlign w:val="bottom"/>
          </w:tcPr>
          <w:p w14:paraId="5F48C1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0.894</w:t>
            </w:r>
          </w:p>
        </w:tc>
        <w:tc>
          <w:tcPr>
            <w:tcW w:w="1062" w:type="dxa"/>
            <w:tcBorders>
              <w:top w:val="nil"/>
              <w:left w:val="nil"/>
              <w:bottom w:val="nil"/>
              <w:right w:val="nil"/>
            </w:tcBorders>
            <w:vAlign w:val="bottom"/>
          </w:tcPr>
          <w:p w14:paraId="23403E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0.869</w:t>
            </w:r>
          </w:p>
        </w:tc>
        <w:tc>
          <w:tcPr>
            <w:tcW w:w="883" w:type="dxa"/>
            <w:tcBorders>
              <w:top w:val="nil"/>
              <w:left w:val="nil"/>
              <w:bottom w:val="nil"/>
              <w:right w:val="nil"/>
            </w:tcBorders>
            <w:vAlign w:val="bottom"/>
          </w:tcPr>
          <w:p w14:paraId="58809D6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0.811</w:t>
            </w:r>
          </w:p>
        </w:tc>
        <w:tc>
          <w:tcPr>
            <w:tcW w:w="1073" w:type="dxa"/>
            <w:tcBorders>
              <w:top w:val="nil"/>
              <w:left w:val="nil"/>
              <w:bottom w:val="nil"/>
              <w:right w:val="nil"/>
            </w:tcBorders>
            <w:vAlign w:val="bottom"/>
          </w:tcPr>
          <w:p w14:paraId="543DFA8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0.703</w:t>
            </w:r>
          </w:p>
        </w:tc>
        <w:tc>
          <w:tcPr>
            <w:tcW w:w="969" w:type="dxa"/>
            <w:tcBorders>
              <w:top w:val="nil"/>
              <w:left w:val="nil"/>
              <w:bottom w:val="nil"/>
              <w:right w:val="nil"/>
            </w:tcBorders>
            <w:vAlign w:val="bottom"/>
          </w:tcPr>
          <w:p w14:paraId="063521A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color w:val="auto"/>
                <w:vertAlign w:val="baseline"/>
                <w:lang w:val="en-US" w:eastAsia="zh-CN"/>
              </w:rPr>
            </w:pPr>
            <w:r>
              <w:rPr>
                <w:rFonts w:hint="eastAsia"/>
                <w:color w:val="auto"/>
                <w:vertAlign w:val="baseline"/>
                <w:lang w:val="en-US" w:eastAsia="zh-CN"/>
              </w:rPr>
              <w:t>0.591</w:t>
            </w:r>
          </w:p>
        </w:tc>
      </w:tr>
      <w:tr w14:paraId="5174E04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015943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color w:val="4874CB" w:themeColor="accent1"/>
                <w:vertAlign w:val="baseline"/>
                <w:lang w:val="en-US" w:eastAsia="zh-CN"/>
                <w14:textFill>
                  <w14:solidFill>
                    <w14:schemeClr w14:val="accent1"/>
                  </w14:solidFill>
                </w14:textFill>
              </w:rPr>
            </w:pPr>
            <w:r>
              <w:rPr>
                <w:rFonts w:hint="eastAsia"/>
                <w:color w:val="auto"/>
                <w:vertAlign w:val="baseline"/>
                <w:lang w:val="en-US" w:eastAsia="zh-CN"/>
              </w:rPr>
              <w:t>SchNet</w:t>
            </w:r>
          </w:p>
        </w:tc>
        <w:tc>
          <w:tcPr>
            <w:tcW w:w="1021" w:type="dxa"/>
            <w:tcBorders>
              <w:top w:val="nil"/>
              <w:left w:val="nil"/>
              <w:bottom w:val="nil"/>
              <w:right w:val="nil"/>
            </w:tcBorders>
            <w:shd w:val="clear" w:color="auto" w:fill="auto"/>
            <w:vAlign w:val="bottom"/>
          </w:tcPr>
          <w:p w14:paraId="274D301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0.751</w:t>
            </w:r>
          </w:p>
        </w:tc>
        <w:tc>
          <w:tcPr>
            <w:tcW w:w="886" w:type="dxa"/>
            <w:tcBorders>
              <w:top w:val="nil"/>
              <w:left w:val="nil"/>
              <w:bottom w:val="nil"/>
              <w:right w:val="nil"/>
            </w:tcBorders>
            <w:vAlign w:val="bottom"/>
          </w:tcPr>
          <w:p w14:paraId="611A0D7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0.847</w:t>
            </w:r>
          </w:p>
        </w:tc>
        <w:tc>
          <w:tcPr>
            <w:tcW w:w="1062" w:type="dxa"/>
            <w:tcBorders>
              <w:top w:val="nil"/>
              <w:left w:val="nil"/>
              <w:bottom w:val="nil"/>
              <w:right w:val="nil"/>
            </w:tcBorders>
            <w:vAlign w:val="bottom"/>
          </w:tcPr>
          <w:p w14:paraId="66AD860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0.717</w:t>
            </w:r>
          </w:p>
        </w:tc>
        <w:tc>
          <w:tcPr>
            <w:tcW w:w="883" w:type="dxa"/>
            <w:tcBorders>
              <w:top w:val="nil"/>
              <w:left w:val="nil"/>
              <w:bottom w:val="nil"/>
              <w:right w:val="nil"/>
            </w:tcBorders>
            <w:vAlign w:val="bottom"/>
          </w:tcPr>
          <w:p w14:paraId="6E348E4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0.767</w:t>
            </w:r>
          </w:p>
        </w:tc>
        <w:tc>
          <w:tcPr>
            <w:tcW w:w="1073" w:type="dxa"/>
            <w:tcBorders>
              <w:top w:val="nil"/>
              <w:left w:val="nil"/>
              <w:bottom w:val="nil"/>
              <w:right w:val="nil"/>
            </w:tcBorders>
            <w:vAlign w:val="bottom"/>
          </w:tcPr>
          <w:p w14:paraId="5CC6C4A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0.679</w:t>
            </w:r>
          </w:p>
        </w:tc>
        <w:tc>
          <w:tcPr>
            <w:tcW w:w="969" w:type="dxa"/>
            <w:tcBorders>
              <w:top w:val="nil"/>
              <w:left w:val="nil"/>
              <w:bottom w:val="nil"/>
              <w:right w:val="nil"/>
            </w:tcBorders>
            <w:vAlign w:val="bottom"/>
          </w:tcPr>
          <w:p w14:paraId="62DBA8E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0.545</w:t>
            </w:r>
          </w:p>
        </w:tc>
      </w:tr>
      <w:tr w14:paraId="37E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58963F4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1021" w:type="dxa"/>
            <w:tcBorders>
              <w:top w:val="nil"/>
              <w:left w:val="nil"/>
              <w:bottom w:val="nil"/>
              <w:right w:val="nil"/>
            </w:tcBorders>
            <w:shd w:val="clear" w:color="auto" w:fill="auto"/>
            <w:vAlign w:val="bottom"/>
          </w:tcPr>
          <w:p w14:paraId="059069FA">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0.779</w:t>
            </w:r>
          </w:p>
        </w:tc>
        <w:tc>
          <w:tcPr>
            <w:tcW w:w="886" w:type="dxa"/>
            <w:tcBorders>
              <w:top w:val="nil"/>
              <w:left w:val="nil"/>
              <w:bottom w:val="nil"/>
              <w:right w:val="nil"/>
            </w:tcBorders>
            <w:vAlign w:val="bottom"/>
          </w:tcPr>
          <w:p w14:paraId="57BCC06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0.912</w:t>
            </w:r>
          </w:p>
        </w:tc>
        <w:tc>
          <w:tcPr>
            <w:tcW w:w="1062" w:type="dxa"/>
            <w:tcBorders>
              <w:top w:val="nil"/>
              <w:left w:val="nil"/>
              <w:bottom w:val="nil"/>
              <w:right w:val="nil"/>
            </w:tcBorders>
            <w:vAlign w:val="bottom"/>
          </w:tcPr>
          <w:p w14:paraId="1EBBE15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0.855</w:t>
            </w:r>
          </w:p>
        </w:tc>
        <w:tc>
          <w:tcPr>
            <w:tcW w:w="883" w:type="dxa"/>
            <w:tcBorders>
              <w:top w:val="nil"/>
              <w:left w:val="nil"/>
              <w:bottom w:val="nil"/>
              <w:right w:val="nil"/>
            </w:tcBorders>
            <w:vAlign w:val="bottom"/>
          </w:tcPr>
          <w:p w14:paraId="588B33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0.761</w:t>
            </w:r>
          </w:p>
        </w:tc>
        <w:tc>
          <w:tcPr>
            <w:tcW w:w="1073" w:type="dxa"/>
            <w:tcBorders>
              <w:top w:val="nil"/>
              <w:left w:val="nil"/>
              <w:bottom w:val="nil"/>
              <w:right w:val="nil"/>
            </w:tcBorders>
            <w:vAlign w:val="bottom"/>
          </w:tcPr>
          <w:p w14:paraId="4F9AFA8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w:t>
            </w:r>
          </w:p>
        </w:tc>
        <w:tc>
          <w:tcPr>
            <w:tcW w:w="969" w:type="dxa"/>
            <w:tcBorders>
              <w:top w:val="nil"/>
              <w:left w:val="nil"/>
              <w:bottom w:val="nil"/>
              <w:right w:val="nil"/>
            </w:tcBorders>
            <w:vAlign w:val="bottom"/>
          </w:tcPr>
          <w:p w14:paraId="05D8C84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0.662</w:t>
            </w:r>
          </w:p>
        </w:tc>
      </w:tr>
      <w:tr w14:paraId="729E7994">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1D21A0C5">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1021" w:type="dxa"/>
            <w:tcBorders>
              <w:top w:val="nil"/>
              <w:left w:val="nil"/>
              <w:bottom w:val="nil"/>
              <w:right w:val="nil"/>
            </w:tcBorders>
            <w:shd w:val="clear" w:color="auto" w:fill="auto"/>
            <w:vAlign w:val="bottom"/>
          </w:tcPr>
          <w:p w14:paraId="52002A96">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0.808</w:t>
            </w:r>
          </w:p>
        </w:tc>
        <w:tc>
          <w:tcPr>
            <w:tcW w:w="886" w:type="dxa"/>
            <w:tcBorders>
              <w:top w:val="nil"/>
              <w:left w:val="nil"/>
              <w:bottom w:val="nil"/>
              <w:right w:val="nil"/>
            </w:tcBorders>
            <w:vAlign w:val="bottom"/>
          </w:tcPr>
          <w:p w14:paraId="079327C4">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1062" w:type="dxa"/>
            <w:tcBorders>
              <w:top w:val="nil"/>
              <w:left w:val="nil"/>
              <w:bottom w:val="nil"/>
              <w:right w:val="nil"/>
            </w:tcBorders>
            <w:vAlign w:val="bottom"/>
          </w:tcPr>
          <w:p w14:paraId="0E8FD26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0.925</w:t>
            </w:r>
          </w:p>
        </w:tc>
        <w:tc>
          <w:tcPr>
            <w:tcW w:w="883" w:type="dxa"/>
            <w:tcBorders>
              <w:top w:val="nil"/>
              <w:left w:val="nil"/>
              <w:bottom w:val="nil"/>
              <w:right w:val="nil"/>
            </w:tcBorders>
            <w:vAlign w:val="bottom"/>
          </w:tcPr>
          <w:p w14:paraId="5C036A21">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0.769</w:t>
            </w:r>
          </w:p>
        </w:tc>
        <w:tc>
          <w:tcPr>
            <w:tcW w:w="1073" w:type="dxa"/>
            <w:tcBorders>
              <w:top w:val="nil"/>
              <w:left w:val="nil"/>
              <w:bottom w:val="nil"/>
              <w:right w:val="nil"/>
            </w:tcBorders>
            <w:vAlign w:val="bottom"/>
          </w:tcPr>
          <w:p w14:paraId="488B27D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0.651</w:t>
            </w:r>
          </w:p>
        </w:tc>
        <w:tc>
          <w:tcPr>
            <w:tcW w:w="969" w:type="dxa"/>
            <w:tcBorders>
              <w:top w:val="nil"/>
              <w:left w:val="nil"/>
              <w:bottom w:val="nil"/>
              <w:right w:val="nil"/>
            </w:tcBorders>
            <w:vAlign w:val="bottom"/>
          </w:tcPr>
          <w:p w14:paraId="62513E5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0.610</w:t>
            </w:r>
          </w:p>
        </w:tc>
      </w:tr>
      <w:tr w14:paraId="3FB36F8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bottom w:val="nil"/>
              <w:right w:val="nil"/>
            </w:tcBorders>
            <w:vAlign w:val="bottom"/>
          </w:tcPr>
          <w:p w14:paraId="715ACBE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1021" w:type="dxa"/>
            <w:tcBorders>
              <w:top w:val="nil"/>
              <w:left w:val="nil"/>
              <w:bottom w:val="nil"/>
              <w:right w:val="nil"/>
            </w:tcBorders>
            <w:shd w:val="clear" w:color="auto" w:fill="auto"/>
            <w:vAlign w:val="bottom"/>
          </w:tcPr>
          <w:p w14:paraId="3AE3443D">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0.767</w:t>
            </w:r>
          </w:p>
        </w:tc>
        <w:tc>
          <w:tcPr>
            <w:tcW w:w="886" w:type="dxa"/>
            <w:tcBorders>
              <w:top w:val="nil"/>
              <w:left w:val="nil"/>
              <w:bottom w:val="nil"/>
              <w:right w:val="nil"/>
            </w:tcBorders>
            <w:vAlign w:val="bottom"/>
          </w:tcPr>
          <w:p w14:paraId="36DC57C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0.705</w:t>
            </w:r>
          </w:p>
        </w:tc>
        <w:tc>
          <w:tcPr>
            <w:tcW w:w="1062" w:type="dxa"/>
            <w:tcBorders>
              <w:top w:val="nil"/>
              <w:left w:val="nil"/>
              <w:bottom w:val="nil"/>
              <w:right w:val="nil"/>
            </w:tcBorders>
            <w:vAlign w:val="bottom"/>
          </w:tcPr>
          <w:p w14:paraId="4539C2F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0.799</w:t>
            </w:r>
          </w:p>
        </w:tc>
        <w:tc>
          <w:tcPr>
            <w:tcW w:w="883" w:type="dxa"/>
            <w:tcBorders>
              <w:top w:val="nil"/>
              <w:left w:val="nil"/>
              <w:bottom w:val="nil"/>
              <w:right w:val="nil"/>
            </w:tcBorders>
            <w:vAlign w:val="bottom"/>
          </w:tcPr>
          <w:p w14:paraId="4E3F89F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0.756</w:t>
            </w:r>
          </w:p>
        </w:tc>
        <w:tc>
          <w:tcPr>
            <w:tcW w:w="1073" w:type="dxa"/>
            <w:tcBorders>
              <w:top w:val="nil"/>
              <w:left w:val="nil"/>
              <w:bottom w:val="nil"/>
              <w:right w:val="nil"/>
            </w:tcBorders>
            <w:vAlign w:val="bottom"/>
          </w:tcPr>
          <w:p w14:paraId="6BE7425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0.634</w:t>
            </w:r>
          </w:p>
        </w:tc>
        <w:tc>
          <w:tcPr>
            <w:tcW w:w="969" w:type="dxa"/>
            <w:tcBorders>
              <w:top w:val="nil"/>
              <w:left w:val="nil"/>
              <w:bottom w:val="nil"/>
              <w:right w:val="nil"/>
            </w:tcBorders>
            <w:vAlign w:val="bottom"/>
          </w:tcPr>
          <w:p w14:paraId="5624B3B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0.605</w:t>
            </w:r>
          </w:p>
        </w:tc>
      </w:tr>
      <w:tr w14:paraId="1159A9A6">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top w:val="nil"/>
              <w:left w:val="nil"/>
              <w:right w:val="nil"/>
            </w:tcBorders>
            <w:vAlign w:val="bottom"/>
          </w:tcPr>
          <w:p w14:paraId="07BE4187">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1021" w:type="dxa"/>
            <w:tcBorders>
              <w:top w:val="nil"/>
              <w:left w:val="nil"/>
              <w:right w:val="nil"/>
            </w:tcBorders>
            <w:shd w:val="clear" w:color="auto" w:fill="auto"/>
            <w:vAlign w:val="bottom"/>
          </w:tcPr>
          <w:p w14:paraId="1FF23B8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0.785</w:t>
            </w:r>
          </w:p>
        </w:tc>
        <w:tc>
          <w:tcPr>
            <w:tcW w:w="886" w:type="dxa"/>
            <w:tcBorders>
              <w:top w:val="nil"/>
              <w:left w:val="nil"/>
              <w:right w:val="nil"/>
            </w:tcBorders>
            <w:vAlign w:val="bottom"/>
          </w:tcPr>
          <w:p w14:paraId="7F2DC50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0.731</w:t>
            </w:r>
          </w:p>
        </w:tc>
        <w:tc>
          <w:tcPr>
            <w:tcW w:w="1062" w:type="dxa"/>
            <w:tcBorders>
              <w:top w:val="nil"/>
              <w:left w:val="nil"/>
              <w:right w:val="nil"/>
            </w:tcBorders>
            <w:vAlign w:val="bottom"/>
          </w:tcPr>
          <w:p w14:paraId="445270E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0.892</w:t>
            </w:r>
          </w:p>
        </w:tc>
        <w:tc>
          <w:tcPr>
            <w:tcW w:w="883" w:type="dxa"/>
            <w:tcBorders>
              <w:top w:val="nil"/>
              <w:left w:val="nil"/>
              <w:right w:val="nil"/>
            </w:tcBorders>
            <w:vAlign w:val="bottom"/>
          </w:tcPr>
          <w:p w14:paraId="2B541AD9">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0.725</w:t>
            </w:r>
          </w:p>
        </w:tc>
        <w:tc>
          <w:tcPr>
            <w:tcW w:w="1073" w:type="dxa"/>
            <w:tcBorders>
              <w:top w:val="nil"/>
              <w:left w:val="nil"/>
              <w:right w:val="nil"/>
            </w:tcBorders>
            <w:vAlign w:val="bottom"/>
          </w:tcPr>
          <w:p w14:paraId="672453B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0.550</w:t>
            </w:r>
          </w:p>
        </w:tc>
        <w:tc>
          <w:tcPr>
            <w:tcW w:w="969" w:type="dxa"/>
            <w:tcBorders>
              <w:top w:val="nil"/>
              <w:left w:val="nil"/>
              <w:right w:val="nil"/>
            </w:tcBorders>
            <w:vAlign w:val="bottom"/>
          </w:tcPr>
          <w:p w14:paraId="45612E7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0.598</w:t>
            </w:r>
          </w:p>
        </w:tc>
      </w:tr>
      <w:tr w14:paraId="7CF36031">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0" w:hRule="atLeast"/>
          <w:tblHeader/>
        </w:trPr>
        <w:tc>
          <w:tcPr>
            <w:tcW w:w="1844" w:type="dxa"/>
            <w:tcBorders>
              <w:left w:val="nil"/>
              <w:bottom w:val="single" w:color="000000" w:sz="12" w:space="0"/>
              <w:right w:val="nil"/>
            </w:tcBorders>
            <w:vAlign w:val="bottom"/>
          </w:tcPr>
          <w:p w14:paraId="158D471E">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MyMoel</w:t>
            </w:r>
          </w:p>
        </w:tc>
        <w:tc>
          <w:tcPr>
            <w:tcW w:w="1021" w:type="dxa"/>
            <w:tcBorders>
              <w:left w:val="nil"/>
              <w:bottom w:val="single" w:color="000000" w:sz="12" w:space="0"/>
              <w:right w:val="nil"/>
            </w:tcBorders>
            <w:shd w:val="clear" w:color="auto" w:fill="auto"/>
            <w:vAlign w:val="bottom"/>
          </w:tcPr>
          <w:p w14:paraId="0256E953">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ascii="Times New Roman" w:hAnsi="Times New Roman" w:eastAsia="宋体" w:cs="Times New Roman"/>
                <w:kern w:val="2"/>
                <w:sz w:val="21"/>
                <w:szCs w:val="24"/>
                <w:vertAlign w:val="baseline"/>
                <w:lang w:val="en-US" w:eastAsia="zh-CN" w:bidi="ar-SA"/>
              </w:rPr>
            </w:pPr>
            <w:r>
              <w:rPr>
                <w:rFonts w:hint="eastAsia" w:cs="Times New Roman"/>
                <w:kern w:val="2"/>
                <w:sz w:val="21"/>
                <w:szCs w:val="24"/>
                <w:vertAlign w:val="baseline"/>
                <w:lang w:val="en-US" w:eastAsia="zh-CN" w:bidi="ar-SA"/>
              </w:rPr>
              <w:t>0.870</w:t>
            </w:r>
          </w:p>
        </w:tc>
        <w:tc>
          <w:tcPr>
            <w:tcW w:w="886" w:type="dxa"/>
            <w:tcBorders>
              <w:left w:val="nil"/>
              <w:bottom w:val="single" w:color="000000" w:sz="12" w:space="0"/>
              <w:right w:val="nil"/>
            </w:tcBorders>
            <w:vAlign w:val="bottom"/>
          </w:tcPr>
          <w:p w14:paraId="481131CB">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0.930</w:t>
            </w:r>
          </w:p>
        </w:tc>
        <w:tc>
          <w:tcPr>
            <w:tcW w:w="1062" w:type="dxa"/>
            <w:tcBorders>
              <w:left w:val="nil"/>
              <w:bottom w:val="single" w:color="000000" w:sz="12" w:space="0"/>
              <w:right w:val="nil"/>
            </w:tcBorders>
            <w:vAlign w:val="bottom"/>
          </w:tcPr>
          <w:p w14:paraId="1E53C5B2">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0.941</w:t>
            </w:r>
          </w:p>
        </w:tc>
        <w:tc>
          <w:tcPr>
            <w:tcW w:w="883" w:type="dxa"/>
            <w:tcBorders>
              <w:left w:val="nil"/>
              <w:bottom w:val="single" w:color="000000" w:sz="12" w:space="0"/>
              <w:right w:val="nil"/>
            </w:tcBorders>
            <w:vAlign w:val="bottom"/>
          </w:tcPr>
          <w:p w14:paraId="6A8C4EAF">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0.852</w:t>
            </w:r>
          </w:p>
        </w:tc>
        <w:tc>
          <w:tcPr>
            <w:tcW w:w="1073" w:type="dxa"/>
            <w:tcBorders>
              <w:left w:val="nil"/>
              <w:bottom w:val="single" w:color="000000" w:sz="12" w:space="0"/>
              <w:right w:val="nil"/>
            </w:tcBorders>
            <w:vAlign w:val="bottom"/>
          </w:tcPr>
          <w:p w14:paraId="1B09E020">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0.712</w:t>
            </w:r>
          </w:p>
        </w:tc>
        <w:tc>
          <w:tcPr>
            <w:tcW w:w="969" w:type="dxa"/>
            <w:tcBorders>
              <w:left w:val="nil"/>
              <w:bottom w:val="single" w:color="000000" w:sz="12" w:space="0"/>
              <w:right w:val="nil"/>
            </w:tcBorders>
            <w:vAlign w:val="bottom"/>
          </w:tcPr>
          <w:p w14:paraId="5A2DF008">
            <w:pPr>
              <w:keepNext w:val="0"/>
              <w:keepLines w:val="0"/>
              <w:pageBreakBefore w:val="0"/>
              <w:widowControl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default"/>
                <w:vertAlign w:val="baseline"/>
                <w:lang w:val="en-US" w:eastAsia="zh-CN"/>
              </w:rPr>
            </w:pPr>
            <w:r>
              <w:rPr>
                <w:rFonts w:hint="eastAsia"/>
                <w:vertAlign w:val="baseline"/>
                <w:lang w:val="en-US" w:eastAsia="zh-CN"/>
              </w:rPr>
              <w:t>0.673</w:t>
            </w:r>
          </w:p>
        </w:tc>
      </w:tr>
    </w:tbl>
    <w:p w14:paraId="0D6D23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0DC2C21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eastAsia"/>
          <w:lang w:val="en-US" w:eastAsia="zh-CN"/>
        </w:rPr>
        <w:t>上图和下图分别展示了我们的模型在分类任务和回归任务上的性能表现。实验结果表明</w:t>
      </w:r>
    </w:p>
    <w:p w14:paraId="0D43E1E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2130"/>
        <w:gridCol w:w="2131"/>
        <w:gridCol w:w="2131"/>
      </w:tblGrid>
      <w:tr w14:paraId="1D30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12" w:space="0"/>
              <w:left w:val="nil"/>
              <w:bottom w:val="nil"/>
              <w:right w:val="nil"/>
            </w:tcBorders>
            <w:vAlign w:val="bottom"/>
          </w:tcPr>
          <w:p w14:paraId="6F86685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Datasets</w:t>
            </w:r>
          </w:p>
        </w:tc>
        <w:tc>
          <w:tcPr>
            <w:tcW w:w="2130" w:type="dxa"/>
            <w:tcBorders>
              <w:top w:val="single" w:color="auto" w:sz="12" w:space="0"/>
              <w:left w:val="nil"/>
              <w:bottom w:val="nil"/>
              <w:right w:val="nil"/>
            </w:tcBorders>
          </w:tcPr>
          <w:p w14:paraId="53D179B2">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ESOL</w:t>
            </w:r>
          </w:p>
        </w:tc>
        <w:tc>
          <w:tcPr>
            <w:tcW w:w="2131" w:type="dxa"/>
            <w:tcBorders>
              <w:top w:val="single" w:color="auto" w:sz="12" w:space="0"/>
              <w:left w:val="nil"/>
              <w:bottom w:val="nil"/>
              <w:right w:val="nil"/>
            </w:tcBorders>
          </w:tcPr>
          <w:p w14:paraId="0F9AEDE1">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FreeSolv</w:t>
            </w:r>
          </w:p>
        </w:tc>
        <w:tc>
          <w:tcPr>
            <w:tcW w:w="2131" w:type="dxa"/>
            <w:tcBorders>
              <w:top w:val="single" w:color="auto" w:sz="12" w:space="0"/>
              <w:left w:val="nil"/>
              <w:bottom w:val="nil"/>
              <w:right w:val="nil"/>
            </w:tcBorders>
          </w:tcPr>
          <w:p w14:paraId="449509B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Lipo</w:t>
            </w:r>
          </w:p>
        </w:tc>
      </w:tr>
      <w:tr w14:paraId="3E63D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8D657AE">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Molecules</w:t>
            </w:r>
          </w:p>
        </w:tc>
        <w:tc>
          <w:tcPr>
            <w:tcW w:w="2130" w:type="dxa"/>
            <w:tcBorders>
              <w:top w:val="nil"/>
              <w:left w:val="nil"/>
              <w:bottom w:val="nil"/>
              <w:right w:val="nil"/>
            </w:tcBorders>
          </w:tcPr>
          <w:p w14:paraId="12ABE940">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1128</w:t>
            </w:r>
          </w:p>
        </w:tc>
        <w:tc>
          <w:tcPr>
            <w:tcW w:w="2131" w:type="dxa"/>
            <w:tcBorders>
              <w:top w:val="nil"/>
              <w:left w:val="nil"/>
              <w:bottom w:val="nil"/>
              <w:right w:val="nil"/>
            </w:tcBorders>
          </w:tcPr>
          <w:p w14:paraId="0C101CD5">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642</w:t>
            </w:r>
          </w:p>
        </w:tc>
        <w:tc>
          <w:tcPr>
            <w:tcW w:w="2131" w:type="dxa"/>
            <w:tcBorders>
              <w:top w:val="nil"/>
              <w:left w:val="nil"/>
              <w:bottom w:val="nil"/>
              <w:right w:val="nil"/>
            </w:tcBorders>
          </w:tcPr>
          <w:p w14:paraId="0FF3CE4E">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4200</w:t>
            </w:r>
          </w:p>
        </w:tc>
      </w:tr>
      <w:tr w14:paraId="4E3F4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8" w:space="0"/>
              <w:right w:val="nil"/>
            </w:tcBorders>
            <w:vAlign w:val="bottom"/>
          </w:tcPr>
          <w:p w14:paraId="4F4CD5C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 Tasks</w:t>
            </w:r>
          </w:p>
        </w:tc>
        <w:tc>
          <w:tcPr>
            <w:tcW w:w="2130" w:type="dxa"/>
            <w:tcBorders>
              <w:top w:val="nil"/>
              <w:left w:val="nil"/>
              <w:bottom w:val="single" w:color="auto" w:sz="8" w:space="0"/>
              <w:right w:val="nil"/>
            </w:tcBorders>
          </w:tcPr>
          <w:p w14:paraId="56ED6B6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5F2C0923">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c>
          <w:tcPr>
            <w:tcW w:w="2131" w:type="dxa"/>
            <w:tcBorders>
              <w:top w:val="nil"/>
              <w:left w:val="nil"/>
              <w:bottom w:val="single" w:color="auto" w:sz="8" w:space="0"/>
              <w:right w:val="nil"/>
            </w:tcBorders>
          </w:tcPr>
          <w:p w14:paraId="1B3B1C2F">
            <w:pPr>
              <w:pageBreakBefore w:val="0"/>
              <w:kinsoku/>
              <w:wordWrap/>
              <w:overflowPunct/>
              <w:topLinePunct w:val="0"/>
              <w:autoSpaceDE/>
              <w:autoSpaceDN/>
              <w:bidi w:val="0"/>
              <w:adjustRightInd/>
              <w:spacing w:beforeAutospacing="0" w:afterAutospacing="0" w:line="360" w:lineRule="auto"/>
              <w:textAlignment w:val="auto"/>
              <w:rPr>
                <w:rFonts w:hint="default"/>
                <w:vertAlign w:val="baseline"/>
                <w:lang w:val="en-US" w:eastAsia="zh-CN"/>
              </w:rPr>
            </w:pPr>
            <w:r>
              <w:rPr>
                <w:rFonts w:hint="eastAsia"/>
                <w:vertAlign w:val="baseline"/>
                <w:lang w:val="en-US" w:eastAsia="zh-CN"/>
              </w:rPr>
              <w:t>1</w:t>
            </w:r>
          </w:p>
        </w:tc>
      </w:tr>
      <w:tr w14:paraId="54D14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single" w:color="auto" w:sz="8" w:space="0"/>
              <w:left w:val="nil"/>
              <w:bottom w:val="nil"/>
              <w:right w:val="nil"/>
            </w:tcBorders>
            <w:vAlign w:val="bottom"/>
          </w:tcPr>
          <w:p w14:paraId="0D462D5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AttentiveFP</w:t>
            </w:r>
          </w:p>
        </w:tc>
        <w:tc>
          <w:tcPr>
            <w:tcW w:w="2130" w:type="dxa"/>
            <w:tcBorders>
              <w:top w:val="single" w:color="auto" w:sz="8" w:space="0"/>
              <w:left w:val="nil"/>
              <w:bottom w:val="nil"/>
              <w:right w:val="nil"/>
            </w:tcBorders>
            <w:vAlign w:val="center"/>
          </w:tcPr>
          <w:p w14:paraId="757C3EFE">
            <w:pPr>
              <w:pageBreakBefore w:val="0"/>
              <w:kinsoku/>
              <w:wordWrap/>
              <w:overflowPunct/>
              <w:topLinePunct w:val="0"/>
              <w:autoSpaceDE/>
              <w:autoSpaceDN/>
              <w:bidi w:val="0"/>
              <w:adjustRightInd/>
              <w:spacing w:beforeAutospacing="0" w:afterAutospacing="0" w:line="360" w:lineRule="auto"/>
              <w:jc w:val="both"/>
              <w:textAlignment w:val="auto"/>
              <w:rPr>
                <w:rFonts w:hint="default"/>
                <w:vertAlign w:val="baseline"/>
                <w:lang w:val="en-US" w:eastAsia="zh-CN"/>
              </w:rPr>
            </w:pPr>
            <w:r>
              <w:rPr>
                <w:rFonts w:hint="eastAsia"/>
                <w:vertAlign w:val="baseline"/>
                <w:lang w:val="en-US" w:eastAsia="zh-CN"/>
              </w:rPr>
              <w:t>1.02</w:t>
            </w:r>
          </w:p>
        </w:tc>
        <w:tc>
          <w:tcPr>
            <w:tcW w:w="2131" w:type="dxa"/>
            <w:tcBorders>
              <w:top w:val="single" w:color="auto" w:sz="8" w:space="0"/>
              <w:left w:val="nil"/>
              <w:bottom w:val="nil"/>
              <w:right w:val="nil"/>
            </w:tcBorders>
            <w:shd w:val="clear" w:color="auto" w:fill="auto"/>
            <w:vAlign w:val="center"/>
          </w:tcPr>
          <w:p w14:paraId="35C9A10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single" w:color="auto" w:sz="8" w:space="0"/>
              <w:left w:val="nil"/>
              <w:bottom w:val="nil"/>
              <w:right w:val="nil"/>
            </w:tcBorders>
            <w:shd w:val="clear" w:color="auto" w:fill="auto"/>
            <w:vAlign w:val="center"/>
          </w:tcPr>
          <w:p w14:paraId="478CBDE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14966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C73AB4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default"/>
                <w:color w:val="E54C5E" w:themeColor="accent6"/>
                <w:lang w:val="en-US" w:eastAsia="zh-CN"/>
                <w14:textFill>
                  <w14:solidFill>
                    <w14:schemeClr w14:val="accent6"/>
                  </w14:solidFill>
                </w14:textFill>
              </w:rPr>
              <w:t>SMILES-BERT</w:t>
            </w:r>
          </w:p>
        </w:tc>
        <w:tc>
          <w:tcPr>
            <w:tcW w:w="2130" w:type="dxa"/>
            <w:tcBorders>
              <w:top w:val="nil"/>
              <w:left w:val="nil"/>
              <w:bottom w:val="nil"/>
              <w:right w:val="nil"/>
            </w:tcBorders>
            <w:shd w:val="clear" w:color="auto" w:fill="auto"/>
            <w:vAlign w:val="center"/>
          </w:tcPr>
          <w:p w14:paraId="5886C4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5D75DB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AD3D3E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C358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E7286A4">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Mol2Vec</w:t>
            </w:r>
          </w:p>
        </w:tc>
        <w:tc>
          <w:tcPr>
            <w:tcW w:w="2130" w:type="dxa"/>
            <w:tcBorders>
              <w:top w:val="nil"/>
              <w:left w:val="nil"/>
              <w:bottom w:val="nil"/>
              <w:right w:val="nil"/>
            </w:tcBorders>
            <w:shd w:val="clear" w:color="auto" w:fill="auto"/>
            <w:vAlign w:val="center"/>
          </w:tcPr>
          <w:p w14:paraId="3BAF2F49">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6C42E6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7FD7AC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2DA4F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195BD77">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GROVER-base</w:t>
            </w:r>
          </w:p>
        </w:tc>
        <w:tc>
          <w:tcPr>
            <w:tcW w:w="2130" w:type="dxa"/>
            <w:tcBorders>
              <w:top w:val="nil"/>
              <w:left w:val="nil"/>
              <w:bottom w:val="nil"/>
              <w:right w:val="nil"/>
            </w:tcBorders>
            <w:shd w:val="clear" w:color="auto" w:fill="auto"/>
            <w:vAlign w:val="center"/>
          </w:tcPr>
          <w:p w14:paraId="5A1527E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261688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5FD0F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57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5596969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GROVER-large</w:t>
            </w:r>
          </w:p>
        </w:tc>
        <w:tc>
          <w:tcPr>
            <w:tcW w:w="2130" w:type="dxa"/>
            <w:tcBorders>
              <w:top w:val="nil"/>
              <w:left w:val="nil"/>
              <w:bottom w:val="nil"/>
              <w:right w:val="nil"/>
            </w:tcBorders>
            <w:shd w:val="clear" w:color="auto" w:fill="auto"/>
            <w:vAlign w:val="center"/>
          </w:tcPr>
          <w:p w14:paraId="58A03CB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A21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2A4AF4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57712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ADB63F">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GraphMVP</w:t>
            </w:r>
          </w:p>
        </w:tc>
        <w:tc>
          <w:tcPr>
            <w:tcW w:w="2130" w:type="dxa"/>
            <w:tcBorders>
              <w:top w:val="nil"/>
              <w:left w:val="nil"/>
              <w:bottom w:val="nil"/>
              <w:right w:val="nil"/>
            </w:tcBorders>
            <w:shd w:val="clear" w:color="auto" w:fill="auto"/>
            <w:vAlign w:val="center"/>
          </w:tcPr>
          <w:p w14:paraId="17C41AFF">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6B0F08B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4847607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49072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0DD842F8">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MPNN</w:t>
            </w:r>
          </w:p>
        </w:tc>
        <w:tc>
          <w:tcPr>
            <w:tcW w:w="2130" w:type="dxa"/>
            <w:tcBorders>
              <w:top w:val="nil"/>
              <w:left w:val="nil"/>
              <w:bottom w:val="nil"/>
              <w:right w:val="nil"/>
            </w:tcBorders>
            <w:shd w:val="clear" w:color="auto" w:fill="auto"/>
            <w:vAlign w:val="center"/>
          </w:tcPr>
          <w:p w14:paraId="2C2EAE2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334F07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EB2896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2B3DD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1D00D82">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DMPNN</w:t>
            </w:r>
          </w:p>
        </w:tc>
        <w:tc>
          <w:tcPr>
            <w:tcW w:w="2130" w:type="dxa"/>
            <w:tcBorders>
              <w:top w:val="nil"/>
              <w:left w:val="nil"/>
              <w:bottom w:val="nil"/>
              <w:right w:val="nil"/>
            </w:tcBorders>
            <w:shd w:val="clear" w:color="auto" w:fill="auto"/>
            <w:vAlign w:val="center"/>
          </w:tcPr>
          <w:p w14:paraId="49DA08B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17E162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6A322F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E9BB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12F8C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CMPNN</w:t>
            </w:r>
          </w:p>
        </w:tc>
        <w:tc>
          <w:tcPr>
            <w:tcW w:w="2130" w:type="dxa"/>
            <w:tcBorders>
              <w:top w:val="nil"/>
              <w:left w:val="nil"/>
              <w:bottom w:val="nil"/>
              <w:right w:val="nil"/>
            </w:tcBorders>
            <w:shd w:val="clear" w:color="auto" w:fill="auto"/>
            <w:vAlign w:val="center"/>
          </w:tcPr>
          <w:p w14:paraId="2F56875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AB8AF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E90181B">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CDE6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30EEEF9D">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GIN</w:t>
            </w:r>
          </w:p>
        </w:tc>
        <w:tc>
          <w:tcPr>
            <w:tcW w:w="2130" w:type="dxa"/>
            <w:tcBorders>
              <w:top w:val="nil"/>
              <w:left w:val="nil"/>
              <w:bottom w:val="nil"/>
              <w:right w:val="nil"/>
            </w:tcBorders>
            <w:shd w:val="clear" w:color="auto" w:fill="auto"/>
            <w:vAlign w:val="center"/>
          </w:tcPr>
          <w:p w14:paraId="61096097">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D2B4F91">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F9EB2A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786124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1F933091">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SchNet</w:t>
            </w:r>
          </w:p>
        </w:tc>
        <w:tc>
          <w:tcPr>
            <w:tcW w:w="2130" w:type="dxa"/>
            <w:tcBorders>
              <w:top w:val="nil"/>
              <w:left w:val="nil"/>
              <w:bottom w:val="nil"/>
              <w:right w:val="nil"/>
            </w:tcBorders>
            <w:shd w:val="clear" w:color="auto" w:fill="auto"/>
            <w:vAlign w:val="center"/>
          </w:tcPr>
          <w:p w14:paraId="46CD9C84">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03E669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5BD630F5">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6A70F9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7B263B35">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N-Gram</w:t>
            </w:r>
          </w:p>
        </w:tc>
        <w:tc>
          <w:tcPr>
            <w:tcW w:w="2130" w:type="dxa"/>
            <w:tcBorders>
              <w:top w:val="nil"/>
              <w:left w:val="nil"/>
              <w:bottom w:val="nil"/>
              <w:right w:val="nil"/>
            </w:tcBorders>
            <w:shd w:val="clear" w:color="auto" w:fill="auto"/>
            <w:vAlign w:val="center"/>
          </w:tcPr>
          <w:p w14:paraId="3F809FA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C68AD1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D739A30">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36687D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65541569">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MoleculeSTM</w:t>
            </w:r>
          </w:p>
        </w:tc>
        <w:tc>
          <w:tcPr>
            <w:tcW w:w="2130" w:type="dxa"/>
            <w:tcBorders>
              <w:top w:val="nil"/>
              <w:left w:val="nil"/>
              <w:bottom w:val="nil"/>
              <w:right w:val="nil"/>
            </w:tcBorders>
            <w:shd w:val="clear" w:color="auto" w:fill="auto"/>
            <w:vAlign w:val="center"/>
          </w:tcPr>
          <w:p w14:paraId="07024846">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79D3BD3A">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2080AC7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4B644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nil"/>
              <w:right w:val="nil"/>
            </w:tcBorders>
            <w:vAlign w:val="bottom"/>
          </w:tcPr>
          <w:p w14:paraId="431D6703">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MoMu</w:t>
            </w:r>
          </w:p>
        </w:tc>
        <w:tc>
          <w:tcPr>
            <w:tcW w:w="2130" w:type="dxa"/>
            <w:tcBorders>
              <w:top w:val="nil"/>
              <w:left w:val="nil"/>
              <w:bottom w:val="nil"/>
              <w:right w:val="nil"/>
            </w:tcBorders>
            <w:shd w:val="clear" w:color="auto" w:fill="auto"/>
            <w:vAlign w:val="center"/>
          </w:tcPr>
          <w:p w14:paraId="36DBFF7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13879478">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nil"/>
              <w:right w:val="nil"/>
            </w:tcBorders>
            <w:shd w:val="clear" w:color="auto" w:fill="auto"/>
            <w:vAlign w:val="center"/>
          </w:tcPr>
          <w:p w14:paraId="0C4117ED">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r w14:paraId="0FA9E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Borders>
              <w:top w:val="nil"/>
              <w:left w:val="nil"/>
              <w:bottom w:val="single" w:color="auto" w:sz="12" w:space="0"/>
              <w:right w:val="nil"/>
            </w:tcBorders>
            <w:vAlign w:val="bottom"/>
          </w:tcPr>
          <w:p w14:paraId="10B9DA5C">
            <w:pPr>
              <w:pageBreakBefore w:val="0"/>
              <w:kinsoku/>
              <w:wordWrap/>
              <w:overflowPunct/>
              <w:topLinePunct w:val="0"/>
              <w:autoSpaceDE/>
              <w:autoSpaceDN/>
              <w:bidi w:val="0"/>
              <w:adjustRightInd/>
              <w:snapToGrid w:val="0"/>
              <w:spacing w:beforeAutospacing="0" w:afterAutospacing="0" w:line="360" w:lineRule="auto"/>
              <w:ind w:left="0" w:leftChars="0" w:firstLine="0" w:firstLineChars="0"/>
              <w:jc w:val="center"/>
              <w:textAlignment w:val="auto"/>
              <w:rPr>
                <w:rFonts w:hint="eastAsia"/>
                <w:vertAlign w:val="baseline"/>
                <w:lang w:val="en-US" w:eastAsia="zh-CN"/>
              </w:rPr>
            </w:pPr>
            <w:r>
              <w:rPr>
                <w:rFonts w:hint="eastAsia"/>
                <w:vertAlign w:val="baseline"/>
                <w:lang w:val="en-US" w:eastAsia="zh-CN"/>
              </w:rPr>
              <w:t>KV-PLM</w:t>
            </w:r>
          </w:p>
        </w:tc>
        <w:tc>
          <w:tcPr>
            <w:tcW w:w="2130" w:type="dxa"/>
            <w:tcBorders>
              <w:top w:val="nil"/>
              <w:left w:val="nil"/>
              <w:bottom w:val="single" w:color="auto" w:sz="12" w:space="0"/>
              <w:right w:val="nil"/>
            </w:tcBorders>
            <w:shd w:val="clear" w:color="auto" w:fill="auto"/>
            <w:vAlign w:val="center"/>
          </w:tcPr>
          <w:p w14:paraId="1E81080E">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7AAEDD8C">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c>
          <w:tcPr>
            <w:tcW w:w="2131" w:type="dxa"/>
            <w:tcBorders>
              <w:top w:val="nil"/>
              <w:left w:val="nil"/>
              <w:bottom w:val="single" w:color="auto" w:sz="12" w:space="0"/>
              <w:right w:val="nil"/>
            </w:tcBorders>
            <w:shd w:val="clear" w:color="auto" w:fill="auto"/>
            <w:vAlign w:val="center"/>
          </w:tcPr>
          <w:p w14:paraId="65A17A62">
            <w:pPr>
              <w:pageBreakBefore w:val="0"/>
              <w:kinsoku/>
              <w:wordWrap/>
              <w:overflowPunct/>
              <w:topLinePunct w:val="0"/>
              <w:autoSpaceDE/>
              <w:autoSpaceDN/>
              <w:bidi w:val="0"/>
              <w:adjustRightInd/>
              <w:spacing w:beforeAutospacing="0" w:afterAutospacing="0" w:line="360" w:lineRule="auto"/>
              <w:ind w:left="0" w:leftChars="0" w:firstLine="420" w:firstLineChars="200"/>
              <w:jc w:val="both"/>
              <w:textAlignment w:val="auto"/>
              <w:rPr>
                <w:rFonts w:hint="eastAsia" w:ascii="Times New Roman" w:hAnsi="Times New Roman" w:eastAsia="宋体" w:cs="Times New Roman"/>
                <w:kern w:val="2"/>
                <w:sz w:val="21"/>
                <w:szCs w:val="24"/>
                <w:vertAlign w:val="baseline"/>
                <w:lang w:val="en-US" w:eastAsia="zh-CN" w:bidi="ar-SA"/>
              </w:rPr>
            </w:pPr>
            <w:r>
              <w:rPr>
                <w:rFonts w:hint="eastAsia"/>
                <w:vertAlign w:val="baseline"/>
                <w:lang w:val="en-US" w:eastAsia="zh-CN"/>
              </w:rPr>
              <w:t>1.02</w:t>
            </w:r>
          </w:p>
        </w:tc>
      </w:tr>
    </w:tbl>
    <w:p w14:paraId="1EC06DB2">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p>
    <w:p w14:paraId="61B45477">
      <w:pPr>
        <w:pStyle w:val="4"/>
        <w:bidi w:val="0"/>
        <w:rPr>
          <w:rFonts w:hint="eastAsia"/>
          <w:lang w:val="en-US" w:eastAsia="zh-CN"/>
        </w:rPr>
      </w:pPr>
      <w:r>
        <w:rPr>
          <w:rFonts w:hint="eastAsia"/>
          <w:lang w:val="en-US" w:eastAsia="zh-CN"/>
        </w:rPr>
        <w:t>消融实验</w:t>
      </w:r>
    </w:p>
    <w:p w14:paraId="45A0D2D6">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ascii="宋体" w:hAnsi="宋体" w:eastAsia="宋体" w:cs="宋体"/>
          <w:sz w:val="21"/>
          <w:szCs w:val="21"/>
        </w:rPr>
      </w:pPr>
      <w:r>
        <w:rPr>
          <w:rFonts w:ascii="宋体" w:hAnsi="宋体" w:eastAsia="宋体" w:cs="宋体"/>
          <w:sz w:val="21"/>
          <w:szCs w:val="21"/>
        </w:rPr>
        <w:t>为系统分析不同模态输入及模型结构设计对下游分子性质预测性能的影响，本文基于所提出的多模态对比预训练框架，构建了多种消融变体。所有变体均在相同的训练与评测配置下进行比较，仅在输入模态组合或模态融合方式上存在差异。</w:t>
      </w:r>
    </w:p>
    <w:p w14:paraId="322D71C8">
      <w:pPr>
        <w:pageBreakBefore w:val="0"/>
        <w:kinsoku/>
        <w:wordWrap/>
        <w:overflowPunct/>
        <w:topLinePunct w:val="0"/>
        <w:autoSpaceDE/>
        <w:autoSpaceDN/>
        <w:bidi w:val="0"/>
        <w:adjustRightInd/>
        <w:spacing w:beforeAutospacing="0" w:afterAutospacing="0" w:line="360" w:lineRule="auto"/>
        <w:textAlignment w:val="auto"/>
      </w:pPr>
      <w:r>
        <w:t>本文选取分子图作为基础模态，并在此基础上逐步引入其他模态，以分析不同模态信息的边际贡献。具体设置如下：</w:t>
      </w:r>
    </w:p>
    <w:p w14:paraId="17F002C4">
      <w:pPr>
        <w:pageBreakBefore w:val="0"/>
        <w:kinsoku/>
        <w:wordWrap/>
        <w:overflowPunct/>
        <w:topLinePunct w:val="0"/>
        <w:autoSpaceDE/>
        <w:autoSpaceDN/>
        <w:bidi w:val="0"/>
        <w:adjustRightInd/>
        <w:spacing w:beforeAutospacing="0" w:afterAutospacing="0" w:line="360" w:lineRule="auto"/>
        <w:textAlignment w:val="auto"/>
      </w:pPr>
      <w:r>
        <w:t>G：仅使用分子图模态作为输入，采用图神经网络提取分子结构表示，并作为下游任务的唯一特征输入；</w:t>
      </w:r>
    </w:p>
    <w:p w14:paraId="66C35D55">
      <w:pPr>
        <w:pageBreakBefore w:val="0"/>
        <w:kinsoku/>
        <w:wordWrap/>
        <w:overflowPunct/>
        <w:topLinePunct w:val="0"/>
        <w:autoSpaceDE/>
        <w:autoSpaceDN/>
        <w:bidi w:val="0"/>
        <w:adjustRightInd/>
        <w:spacing w:beforeAutospacing="0" w:afterAutospacing="0" w:line="360" w:lineRule="auto"/>
        <w:textAlignment w:val="auto"/>
      </w:pPr>
      <w:r>
        <w:t>G + F：在</w:t>
      </w:r>
      <w:r>
        <w:rPr>
          <w:rFonts w:hint="eastAsia"/>
          <w:lang w:val="en-US" w:eastAsia="zh-CN"/>
        </w:rPr>
        <w:t>分子图</w:t>
      </w:r>
      <w:r>
        <w:t>的基础上引入分子指纹模态，用于补充全局结构与子结构统计信息；</w:t>
      </w:r>
    </w:p>
    <w:p w14:paraId="3F6EF11A">
      <w:pPr>
        <w:pageBreakBefore w:val="0"/>
        <w:kinsoku/>
        <w:wordWrap/>
        <w:overflowPunct/>
        <w:topLinePunct w:val="0"/>
        <w:autoSpaceDE/>
        <w:autoSpaceDN/>
        <w:bidi w:val="0"/>
        <w:adjustRightInd/>
        <w:spacing w:beforeAutospacing="0" w:afterAutospacing="0" w:line="360" w:lineRule="auto"/>
        <w:textAlignment w:val="auto"/>
      </w:pPr>
      <w:r>
        <w:t>G + F + S：进一步加入 SMILES 模态，使模型同时利用分子的序列表示与结构表示；</w:t>
      </w:r>
    </w:p>
    <w:p w14:paraId="58AABD04">
      <w:pPr>
        <w:pageBreakBefore w:val="0"/>
        <w:kinsoku/>
        <w:wordWrap/>
        <w:overflowPunct/>
        <w:topLinePunct w:val="0"/>
        <w:autoSpaceDE/>
        <w:autoSpaceDN/>
        <w:bidi w:val="0"/>
        <w:adjustRightInd/>
        <w:spacing w:beforeAutospacing="0" w:afterAutospacing="0" w:line="360" w:lineRule="auto"/>
        <w:textAlignment w:val="auto"/>
      </w:pPr>
      <w:r>
        <w:t>G + F + S + T：使用完整的四模态输入，以评估多模态信息的最大融合潜力。</w:t>
      </w:r>
    </w:p>
    <w:p w14:paraId="36536E37">
      <w:pPr>
        <w:pageBreakBefore w:val="0"/>
        <w:kinsoku/>
        <w:wordWrap/>
        <w:overflowPunct/>
        <w:topLinePunct w:val="0"/>
        <w:autoSpaceDE/>
        <w:autoSpaceDN/>
        <w:bidi w:val="0"/>
        <w:adjustRightInd/>
        <w:spacing w:beforeAutospacing="0" w:afterAutospacing="0" w:line="360" w:lineRule="auto"/>
        <w:textAlignment w:val="auto"/>
        <w:rPr>
          <w:rFonts w:ascii="Times New Roman" w:hAnsi="Times New Roman" w:eastAsia="宋体" w:cs="Times New Roman"/>
          <w:kern w:val="2"/>
          <w:sz w:val="21"/>
          <w:szCs w:val="24"/>
          <w:lang w:val="en-US" w:eastAsia="zh-CN" w:bidi="ar-SA"/>
        </w:rPr>
      </w:pPr>
      <w:r>
        <w:t>上述模态组合体现了从单模态到多模态逐步增强的信息利用过程，有助于分析各模态在不同下游任务中的贡献程度及其协同效果。</w:t>
      </w:r>
      <w:r>
        <w:rPr>
          <w:rFonts w:ascii="Times New Roman" w:hAnsi="Times New Roman" w:eastAsia="宋体" w:cs="Times New Roman"/>
          <w:kern w:val="2"/>
          <w:sz w:val="21"/>
          <w:szCs w:val="24"/>
          <w:lang w:val="en-US" w:eastAsia="zh-CN" w:bidi="ar-SA"/>
        </w:rPr>
        <w:t>除输入模态数量外，本文进一步分析模态融合方式对模型性能的影响。具体而言，在完整四模态设置（G + F + S + T）下，本文构建了一种结构消融变体，用以验证所提出的交叉注意力（Cross-Attention）融合模块的必要性。</w:t>
      </w:r>
    </w:p>
    <w:p w14:paraId="352A6D67">
      <w:pPr>
        <w:pageBreakBefore w:val="0"/>
        <w:kinsoku/>
        <w:wordWrap/>
        <w:overflowPunct/>
        <w:topLinePunct w:val="0"/>
        <w:autoSpaceDE/>
        <w:autoSpaceDN/>
        <w:bidi w:val="0"/>
        <w:adjustRightInd/>
        <w:spacing w:beforeAutospacing="0" w:afterAutospacing="0" w:line="360" w:lineRule="auto"/>
        <w:textAlignment w:val="auto"/>
        <w:rPr>
          <w:rFonts w:hint="eastAsia" w:cs="Times New Roman"/>
          <w:kern w:val="2"/>
          <w:sz w:val="21"/>
          <w:szCs w:val="24"/>
          <w:lang w:val="en-US" w:eastAsia="zh-CN" w:bidi="ar-SA"/>
        </w:rPr>
      </w:pPr>
      <w:r>
        <w:rPr>
          <w:rFonts w:hint="eastAsia" w:cs="Times New Roman"/>
          <w:kern w:val="2"/>
          <w:sz w:val="21"/>
          <w:szCs w:val="24"/>
          <w:lang w:val="en-US" w:eastAsia="zh-CN" w:bidi="ar-SA"/>
        </w:rPr>
        <w:t>图x-x展示了xxx模型在各类任务上的消融实验的结果。实验结果表明：</w:t>
      </w:r>
    </w:p>
    <w:p w14:paraId="693A809A">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pPr>
      <w:r>
        <w:drawing>
          <wp:inline distT="0" distB="0" distL="114300" distR="114300">
            <wp:extent cx="5230495" cy="2108835"/>
            <wp:effectExtent l="0" t="0" r="12065" b="9525"/>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7"/>
                    <a:stretch>
                      <a:fillRect/>
                    </a:stretch>
                  </pic:blipFill>
                  <pic:spPr>
                    <a:xfrm>
                      <a:off x="0" y="0"/>
                      <a:ext cx="5230495" cy="2108835"/>
                    </a:xfrm>
                    <a:prstGeom prst="rect">
                      <a:avLst/>
                    </a:prstGeom>
                    <a:noFill/>
                    <a:ln>
                      <a:noFill/>
                    </a:ln>
                  </pic:spPr>
                </pic:pic>
              </a:graphicData>
            </a:graphic>
          </wp:inline>
        </w:drawing>
      </w:r>
    </w:p>
    <w:p w14:paraId="177B602C">
      <w:pPr>
        <w:pageBreakBefore w:val="0"/>
        <w:kinsoku/>
        <w:wordWrap/>
        <w:overflowPunct/>
        <w:topLinePunct w:val="0"/>
        <w:autoSpaceDE/>
        <w:autoSpaceDN/>
        <w:bidi w:val="0"/>
        <w:adjustRightInd/>
        <w:spacing w:beforeAutospacing="0" w:afterAutospacing="0" w:line="360" w:lineRule="auto"/>
        <w:ind w:left="0" w:leftChars="0" w:firstLine="0" w:firstLineChars="0"/>
        <w:jc w:val="left"/>
        <w:textAlignment w:val="auto"/>
        <w:rPr>
          <w:rFonts w:hint="eastAsia"/>
          <w:lang w:val="en-US" w:eastAsia="zh-CN"/>
        </w:rPr>
      </w:pPr>
      <w:r>
        <w:drawing>
          <wp:inline distT="0" distB="0" distL="114300" distR="114300">
            <wp:extent cx="5240655" cy="3114675"/>
            <wp:effectExtent l="0" t="0" r="1905" b="952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8"/>
                    <a:stretch>
                      <a:fillRect/>
                    </a:stretch>
                  </pic:blipFill>
                  <pic:spPr>
                    <a:xfrm>
                      <a:off x="0" y="0"/>
                      <a:ext cx="5240655" cy="3114675"/>
                    </a:xfrm>
                    <a:prstGeom prst="rect">
                      <a:avLst/>
                    </a:prstGeom>
                    <a:noFill/>
                    <a:ln>
                      <a:noFill/>
                    </a:ln>
                  </pic:spPr>
                </pic:pic>
              </a:graphicData>
            </a:graphic>
          </wp:inline>
        </w:drawing>
      </w:r>
    </w:p>
    <w:p w14:paraId="2EB402DF">
      <w:pPr>
        <w:pStyle w:val="4"/>
        <w:bidi w:val="0"/>
        <w:rPr>
          <w:rFonts w:hint="default"/>
          <w:lang w:val="en-US" w:eastAsia="zh-CN"/>
        </w:rPr>
      </w:pPr>
      <w:r>
        <w:rPr>
          <w:rFonts w:hint="eastAsia"/>
          <w:lang w:val="en-US" w:eastAsia="zh-CN"/>
        </w:rPr>
        <w:t>可视化分析</w:t>
      </w:r>
    </w:p>
    <w:p w14:paraId="448FBC5D">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eastAsia"/>
          <w:lang w:val="en-US" w:eastAsia="zh-CN"/>
        </w:rPr>
      </w:pPr>
      <w:r>
        <w:rPr>
          <w:rFonts w:hint="eastAsia"/>
          <w:lang w:val="en-US" w:eastAsia="zh-CN"/>
        </w:rPr>
        <w:t>各个任务中各个模态的权重可视化如图所示（数据问题）</w:t>
      </w:r>
    </w:p>
    <w:p w14:paraId="2E799103">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r>
        <w:rPr>
          <w:rFonts w:hint="default"/>
          <w:lang w:val="en-US" w:eastAsia="zh-CN"/>
        </w:rPr>
        <w:drawing>
          <wp:inline distT="0" distB="0" distL="114300" distR="114300">
            <wp:extent cx="5654040" cy="2684780"/>
            <wp:effectExtent l="0" t="0" r="0" b="12700"/>
            <wp:docPr id="3" name="图片 3" descr="heatmap_Blu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heatmap_Blues-1"/>
                    <pic:cNvPicPr>
                      <a:picLocks noChangeAspect="1"/>
                    </pic:cNvPicPr>
                  </pic:nvPicPr>
                  <pic:blipFill>
                    <a:blip r:embed="rId9"/>
                    <a:stretch>
                      <a:fillRect/>
                    </a:stretch>
                  </pic:blipFill>
                  <pic:spPr>
                    <a:xfrm>
                      <a:off x="0" y="0"/>
                      <a:ext cx="5654040" cy="2684780"/>
                    </a:xfrm>
                    <a:prstGeom prst="rect">
                      <a:avLst/>
                    </a:prstGeom>
                  </pic:spPr>
                </pic:pic>
              </a:graphicData>
            </a:graphic>
          </wp:inline>
        </w:drawing>
      </w:r>
    </w:p>
    <w:p w14:paraId="2C8E9145">
      <w:pPr>
        <w:pStyle w:val="4"/>
        <w:bidi w:val="0"/>
        <w:rPr>
          <w:rFonts w:hint="default"/>
          <w:lang w:val="en-US" w:eastAsia="zh-CN"/>
        </w:rPr>
      </w:pPr>
      <w:r>
        <w:rPr>
          <w:rFonts w:hint="eastAsia"/>
          <w:lang w:val="en-US" w:eastAsia="zh-CN"/>
        </w:rPr>
        <w:t>参数敏感实验</w:t>
      </w:r>
    </w:p>
    <w:p w14:paraId="6CE8FE9F">
      <w:pPr>
        <w:pStyle w:val="3"/>
        <w:bidi w:val="0"/>
        <w:rPr>
          <w:rFonts w:hint="default"/>
          <w:lang w:val="en-US" w:eastAsia="zh-CN"/>
        </w:rPr>
      </w:pPr>
      <w:r>
        <w:rPr>
          <w:rFonts w:hint="eastAsia"/>
          <w:lang w:val="en-US" w:eastAsia="zh-CN"/>
        </w:rPr>
        <w:t>本章小结</w:t>
      </w:r>
    </w:p>
    <w:p w14:paraId="0F8234FB">
      <w:pPr>
        <w:pStyle w:val="2"/>
        <w:bidi w:val="0"/>
        <w:rPr>
          <w:rFonts w:hint="default"/>
          <w:lang w:val="en-US" w:eastAsia="zh-CN"/>
        </w:rPr>
      </w:pPr>
      <w:r>
        <w:rPr>
          <w:rFonts w:hint="eastAsia"/>
          <w:lang w:val="en-US" w:eastAsia="zh-CN"/>
        </w:rPr>
        <w:t>基于思维树的药物分子性质预测</w:t>
      </w:r>
    </w:p>
    <w:p w14:paraId="04A733B9">
      <w:pPr>
        <w:pageBreakBefore w:val="0"/>
        <w:kinsoku/>
        <w:wordWrap/>
        <w:overflowPunct/>
        <w:topLinePunct w:val="0"/>
        <w:autoSpaceDE/>
        <w:autoSpaceDN/>
        <w:bidi w:val="0"/>
        <w:adjustRightInd/>
        <w:spacing w:beforeAutospacing="0" w:afterAutospacing="0" w:line="360" w:lineRule="auto"/>
        <w:ind w:left="0" w:leftChars="0" w:firstLine="0" w:firstLineChars="0"/>
        <w:textAlignment w:val="auto"/>
        <w:rPr>
          <w:rFonts w:hint="default"/>
          <w:lang w:val="en-US" w:eastAsia="zh-CN"/>
        </w:rPr>
      </w:pPr>
    </w:p>
    <w:p w14:paraId="651EDBC0">
      <w:pPr>
        <w:pageBreakBefore w:val="0"/>
        <w:kinsoku/>
        <w:wordWrap/>
        <w:overflowPunct/>
        <w:topLinePunct w:val="0"/>
        <w:autoSpaceDE/>
        <w:autoSpaceDN/>
        <w:bidi w:val="0"/>
        <w:adjustRightInd/>
        <w:spacing w:beforeAutospacing="0" w:afterAutospacing="0" w:line="360" w:lineRule="auto"/>
        <w:textAlignment w:val="auto"/>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ns-serif">
    <w:altName w:val="Euphorigenic"/>
    <w:panose1 w:val="00000000000000000000"/>
    <w:charset w:val="00"/>
    <w:family w:val="auto"/>
    <w:pitch w:val="default"/>
    <w:sig w:usb0="00000000" w:usb1="00000000" w:usb2="00000000" w:usb3="00000000" w:csb0="00000000" w:csb1="00000000"/>
  </w:font>
  <w:font w:name="Euphorigenic">
    <w:panose1 w:val="02000400000000000000"/>
    <w:charset w:val="00"/>
    <w:family w:val="auto"/>
    <w:pitch w:val="default"/>
    <w:sig w:usb0="80000027" w:usb1="0000000A" w:usb2="00000000" w:usb3="00000000" w:csb0="00000001" w:csb1="00000000"/>
  </w:font>
  <w:font w:name="Cambria Math">
    <w:panose1 w:val="02040503050406030204"/>
    <w:charset w:val="00"/>
    <w:family w:val="auto"/>
    <w:pitch w:val="default"/>
    <w:sig w:usb0="E00006FF" w:usb1="420024FF" w:usb2="02000000" w:usb3="00000000" w:csb0="2000019F" w:csb1="00000000"/>
  </w:font>
  <w:font w:name="MS Mincho">
    <w:altName w:val="Euphorigenic"/>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1A76219"/>
    <w:multiLevelType w:val="multilevel"/>
    <w:tmpl w:val="B1A76219"/>
    <w:lvl w:ilvl="0" w:tentative="0">
      <w:start w:val="1"/>
      <w:numFmt w:val="decimal"/>
      <w:pStyle w:val="2"/>
      <w:isLgl/>
      <w:suff w:val="space"/>
      <w:lvlText w:val="%1"/>
      <w:lvlJc w:val="left"/>
      <w:pPr>
        <w:tabs>
          <w:tab w:val="left" w:pos="420"/>
        </w:tabs>
        <w:ind w:left="425" w:hanging="425"/>
      </w:pPr>
      <w:rPr>
        <w:rFonts w:hint="default"/>
      </w:rPr>
    </w:lvl>
    <w:lvl w:ilvl="1" w:tentative="0">
      <w:start w:val="1"/>
      <w:numFmt w:val="decimal"/>
      <w:pStyle w:val="3"/>
      <w:isLgl/>
      <w:suff w:val="space"/>
      <w:lvlText w:val="%1.%2"/>
      <w:lvlJc w:val="left"/>
      <w:pPr>
        <w:tabs>
          <w:tab w:val="left" w:pos="420"/>
        </w:tabs>
        <w:ind w:left="567" w:hanging="567"/>
      </w:pPr>
      <w:rPr>
        <w:rFonts w:hint="default"/>
      </w:rPr>
    </w:lvl>
    <w:lvl w:ilvl="2" w:tentative="0">
      <w:start w:val="1"/>
      <w:numFmt w:val="decimal"/>
      <w:pStyle w:val="4"/>
      <w:isLgl/>
      <w:suff w:val="space"/>
      <w:lvlText w:val="%1.%2.%3"/>
      <w:lvlJc w:val="left"/>
      <w:pPr>
        <w:tabs>
          <w:tab w:val="left" w:pos="0"/>
        </w:tabs>
        <w:ind w:left="709" w:hanging="709"/>
      </w:pPr>
      <w:rPr>
        <w:rFonts w:hint="default"/>
      </w:rPr>
    </w:lvl>
    <w:lvl w:ilvl="3" w:tentative="0">
      <w:start w:val="1"/>
      <w:numFmt w:val="decimal"/>
      <w:pStyle w:val="5"/>
      <w:isLg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1">
    <w:nsid w:val="CF82725A"/>
    <w:multiLevelType w:val="multilevel"/>
    <w:tmpl w:val="CF82725A"/>
    <w:lvl w:ilvl="0" w:tentative="0">
      <w:start w:val="1"/>
      <w:numFmt w:val="decimal"/>
      <w:suff w:val="nothing"/>
      <w:lvlText w:val="%1、"/>
      <w:lvlJc w:val="right"/>
      <w:pPr>
        <w:tabs>
          <w:tab w:val="left" w:pos="0"/>
        </w:tabs>
        <w:ind w:left="432" w:hanging="432"/>
      </w:pPr>
      <w:rPr>
        <w:rFonts w:hint="default" w:ascii="黑体" w:hAnsi="黑体" w:eastAsia="黑体" w:cs="黑体"/>
        <w:sz w:val="28"/>
        <w:szCs w:val="28"/>
      </w:rPr>
    </w:lvl>
    <w:lvl w:ilvl="1" w:tentative="0">
      <w:start w:val="1"/>
      <w:numFmt w:val="decimal"/>
      <w:isLgl/>
      <w:suff w:val="nothing"/>
      <w:lvlText w:val="%1.%2、"/>
      <w:lvlJc w:val="left"/>
      <w:pPr>
        <w:tabs>
          <w:tab w:val="left" w:pos="0"/>
        </w:tabs>
        <w:ind w:left="420" w:leftChars="0" w:hanging="420" w:firstLineChars="0"/>
      </w:pPr>
      <w:rPr>
        <w:rFonts w:hint="default" w:ascii="黑体" w:hAnsi="黑体" w:eastAsia="黑体" w:cs="黑体"/>
        <w:sz w:val="24"/>
        <w:szCs w:val="24"/>
      </w:rPr>
    </w:lvl>
    <w:lvl w:ilvl="2" w:tentative="0">
      <w:start w:val="1"/>
      <w:numFmt w:val="decimal"/>
      <w:isLgl/>
      <w:lvlText w:val="%1.%2.%3 "/>
      <w:lvlJc w:val="left"/>
      <w:pPr>
        <w:tabs>
          <w:tab w:val="left" w:pos="0"/>
        </w:tabs>
        <w:ind w:left="720" w:hanging="720"/>
      </w:pPr>
      <w:rPr>
        <w:rFonts w:hint="eastAsia" w:ascii="宋体" w:hAnsi="宋体" w:eastAsia="宋体" w:cs="宋体"/>
      </w:rPr>
    </w:lvl>
    <w:lvl w:ilvl="3" w:tentative="0">
      <w:start w:val="1"/>
      <w:numFmt w:val="decimal"/>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abstractNum w:abstractNumId="2">
    <w:nsid w:val="3139FD21"/>
    <w:multiLevelType w:val="multilevel"/>
    <w:tmpl w:val="3139FD21"/>
    <w:lvl w:ilvl="0" w:tentative="0">
      <w:start w:val="1"/>
      <w:numFmt w:val="decimal"/>
      <w:pStyle w:val="25"/>
      <w:suff w:val="space"/>
      <w:lvlText w:val="%1、"/>
      <w:lvlJc w:val="left"/>
      <w:pPr>
        <w:tabs>
          <w:tab w:val="left" w:pos="420"/>
        </w:tabs>
        <w:ind w:left="0" w:firstLine="0"/>
      </w:pPr>
      <w:rPr>
        <w:rFonts w:hint="default"/>
      </w:rPr>
    </w:lvl>
    <w:lvl w:ilvl="1" w:tentative="0">
      <w:start w:val="1"/>
      <w:numFmt w:val="decimal"/>
      <w:pStyle w:val="23"/>
      <w:isLgl/>
      <w:suff w:val="space"/>
      <w:lvlText w:val="%2.1"/>
      <w:lvlJc w:val="left"/>
      <w:pPr>
        <w:tabs>
          <w:tab w:val="left" w:pos="0"/>
        </w:tabs>
        <w:ind w:left="851" w:firstLine="0"/>
      </w:pPr>
      <w:rPr>
        <w:rFonts w:hint="default"/>
      </w:rPr>
    </w:lvl>
    <w:lvl w:ilvl="2" w:tentative="0">
      <w:start w:val="1"/>
      <w:numFmt w:val="decimal"/>
      <w:pStyle w:val="26"/>
      <w:isLgl/>
      <w:lvlText w:val="%2.%3.1"/>
      <w:lvlJc w:val="left"/>
      <w:pPr>
        <w:tabs>
          <w:tab w:val="left" w:pos="420"/>
        </w:tabs>
        <w:ind w:left="0" w:firstLine="0"/>
      </w:pPr>
      <w:rPr>
        <w:rFonts w:hint="eastAsia"/>
      </w:rPr>
    </w:lvl>
    <w:lvl w:ilvl="3" w:tentative="0">
      <w:start w:val="1"/>
      <w:numFmt w:val="decimal"/>
      <w:pStyle w:val="27"/>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50B21"/>
    <w:rsid w:val="018502B5"/>
    <w:rsid w:val="05A849B2"/>
    <w:rsid w:val="064F49ED"/>
    <w:rsid w:val="06510766"/>
    <w:rsid w:val="06E11AE9"/>
    <w:rsid w:val="071E0F8F"/>
    <w:rsid w:val="08155C5D"/>
    <w:rsid w:val="08CE2541"/>
    <w:rsid w:val="0BD64449"/>
    <w:rsid w:val="0BFF569C"/>
    <w:rsid w:val="0C965756"/>
    <w:rsid w:val="0ED168E7"/>
    <w:rsid w:val="0F503503"/>
    <w:rsid w:val="0F7C2CF7"/>
    <w:rsid w:val="10D475A4"/>
    <w:rsid w:val="118A0FD0"/>
    <w:rsid w:val="120548F1"/>
    <w:rsid w:val="1212349F"/>
    <w:rsid w:val="13741F37"/>
    <w:rsid w:val="13BE388E"/>
    <w:rsid w:val="14E37374"/>
    <w:rsid w:val="15CF1017"/>
    <w:rsid w:val="1666772B"/>
    <w:rsid w:val="16721235"/>
    <w:rsid w:val="16EE3830"/>
    <w:rsid w:val="1B593EEC"/>
    <w:rsid w:val="1C884062"/>
    <w:rsid w:val="1D37025D"/>
    <w:rsid w:val="1F5E18DF"/>
    <w:rsid w:val="1FCF02AE"/>
    <w:rsid w:val="20F01385"/>
    <w:rsid w:val="21423675"/>
    <w:rsid w:val="214E0CB3"/>
    <w:rsid w:val="220A5F40"/>
    <w:rsid w:val="222A07C5"/>
    <w:rsid w:val="22F9340A"/>
    <w:rsid w:val="23E876FD"/>
    <w:rsid w:val="25853B30"/>
    <w:rsid w:val="27866B9F"/>
    <w:rsid w:val="27E71EA9"/>
    <w:rsid w:val="289E73E3"/>
    <w:rsid w:val="29FA6504"/>
    <w:rsid w:val="2C536B29"/>
    <w:rsid w:val="2C5F332D"/>
    <w:rsid w:val="2C906D58"/>
    <w:rsid w:val="2CCD473A"/>
    <w:rsid w:val="2CFE5A0D"/>
    <w:rsid w:val="2DF45CF7"/>
    <w:rsid w:val="2E0F77BA"/>
    <w:rsid w:val="2F917CA1"/>
    <w:rsid w:val="2FBA3380"/>
    <w:rsid w:val="2FBC06DB"/>
    <w:rsid w:val="2FFE2E5D"/>
    <w:rsid w:val="30586A11"/>
    <w:rsid w:val="32220E91"/>
    <w:rsid w:val="34B61F58"/>
    <w:rsid w:val="34CE2DFE"/>
    <w:rsid w:val="3575596F"/>
    <w:rsid w:val="35EA1EB9"/>
    <w:rsid w:val="361433DA"/>
    <w:rsid w:val="36794FEB"/>
    <w:rsid w:val="36A75037"/>
    <w:rsid w:val="38F17A02"/>
    <w:rsid w:val="39025256"/>
    <w:rsid w:val="3963760F"/>
    <w:rsid w:val="39B30BBC"/>
    <w:rsid w:val="3B7566C9"/>
    <w:rsid w:val="3BA7755B"/>
    <w:rsid w:val="3BDD426E"/>
    <w:rsid w:val="3D143CBF"/>
    <w:rsid w:val="3D2B25F8"/>
    <w:rsid w:val="3D6119C4"/>
    <w:rsid w:val="3DA94408"/>
    <w:rsid w:val="3E047E0A"/>
    <w:rsid w:val="3E4800C5"/>
    <w:rsid w:val="3F0F0BE2"/>
    <w:rsid w:val="40BB2DD0"/>
    <w:rsid w:val="40E90FBF"/>
    <w:rsid w:val="41F12821"/>
    <w:rsid w:val="42694565"/>
    <w:rsid w:val="431F0E8B"/>
    <w:rsid w:val="436D237B"/>
    <w:rsid w:val="44444E8A"/>
    <w:rsid w:val="44E80FE1"/>
    <w:rsid w:val="45B352DC"/>
    <w:rsid w:val="45CB21F7"/>
    <w:rsid w:val="45CF4C28"/>
    <w:rsid w:val="482F17FF"/>
    <w:rsid w:val="48A77906"/>
    <w:rsid w:val="490E6F34"/>
    <w:rsid w:val="49217DF9"/>
    <w:rsid w:val="4941408E"/>
    <w:rsid w:val="494D47E1"/>
    <w:rsid w:val="4C4507B6"/>
    <w:rsid w:val="4D8B14D9"/>
    <w:rsid w:val="4DB33B09"/>
    <w:rsid w:val="4F1813ED"/>
    <w:rsid w:val="4FA30A16"/>
    <w:rsid w:val="525C3CE7"/>
    <w:rsid w:val="528E3D51"/>
    <w:rsid w:val="53D55AFF"/>
    <w:rsid w:val="55B44A7B"/>
    <w:rsid w:val="5B305D11"/>
    <w:rsid w:val="5B4F0B23"/>
    <w:rsid w:val="5B4F731A"/>
    <w:rsid w:val="5EA7453C"/>
    <w:rsid w:val="5F573763"/>
    <w:rsid w:val="5FC01AAC"/>
    <w:rsid w:val="61D513C0"/>
    <w:rsid w:val="621C33F7"/>
    <w:rsid w:val="621E4B15"/>
    <w:rsid w:val="637C5F97"/>
    <w:rsid w:val="68464DC5"/>
    <w:rsid w:val="69D81A4D"/>
    <w:rsid w:val="69F97043"/>
    <w:rsid w:val="6A2373A8"/>
    <w:rsid w:val="6A627569"/>
    <w:rsid w:val="6CCA3A1C"/>
    <w:rsid w:val="6E577D47"/>
    <w:rsid w:val="6F170AB2"/>
    <w:rsid w:val="6F9562E9"/>
    <w:rsid w:val="70756248"/>
    <w:rsid w:val="709B2013"/>
    <w:rsid w:val="70AF4C91"/>
    <w:rsid w:val="71267542"/>
    <w:rsid w:val="723D2D95"/>
    <w:rsid w:val="7248226E"/>
    <w:rsid w:val="72783DCD"/>
    <w:rsid w:val="75A803EA"/>
    <w:rsid w:val="771B020D"/>
    <w:rsid w:val="77435AB2"/>
    <w:rsid w:val="78407BB7"/>
    <w:rsid w:val="79A47B9E"/>
    <w:rsid w:val="7A220727"/>
    <w:rsid w:val="7AFD1314"/>
    <w:rsid w:val="7B1F572E"/>
    <w:rsid w:val="7B95154C"/>
    <w:rsid w:val="7BAE5340"/>
    <w:rsid w:val="7CEF576A"/>
    <w:rsid w:val="7FD616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spacing w:line="360" w:lineRule="auto"/>
      <w:ind w:left="0" w:leftChars="0" w:firstLine="602" w:firstLineChars="200"/>
      <w:jc w:val="both"/>
    </w:pPr>
    <w:rPr>
      <w:rFonts w:ascii="Times New Roman" w:hAnsi="Times New Roman" w:eastAsia="宋体" w:cs="Times New Roman"/>
      <w:kern w:val="2"/>
      <w:sz w:val="21"/>
      <w:szCs w:val="24"/>
      <w:lang w:val="en-US" w:eastAsia="zh-CN" w:bidi="ar-SA"/>
    </w:rPr>
  </w:style>
  <w:style w:type="paragraph" w:styleId="2">
    <w:name w:val="heading 1"/>
    <w:next w:val="1"/>
    <w:link w:val="20"/>
    <w:autoRedefine/>
    <w:qFormat/>
    <w:uiPriority w:val="0"/>
    <w:pPr>
      <w:keepNext/>
      <w:keepLines/>
      <w:numPr>
        <w:ilvl w:val="0"/>
        <w:numId w:val="1"/>
      </w:numPr>
      <w:spacing w:line="360" w:lineRule="auto"/>
      <w:ind w:left="425" w:hanging="425" w:firstLineChars="0"/>
      <w:jc w:val="center"/>
      <w:outlineLvl w:val="0"/>
    </w:pPr>
    <w:rPr>
      <w:rFonts w:ascii="Times New Roman" w:hAnsi="Times New Roman" w:eastAsia="宋体" w:cs="Times New Roman"/>
      <w:b/>
      <w:color w:val="1C1F23"/>
      <w:kern w:val="44"/>
      <w:sz w:val="32"/>
      <w:szCs w:val="27"/>
      <w:shd w:val="clear" w:color="auto" w:fill="FFFFFF"/>
    </w:rPr>
  </w:style>
  <w:style w:type="paragraph" w:styleId="3">
    <w:name w:val="heading 2"/>
    <w:next w:val="1"/>
    <w:link w:val="21"/>
    <w:autoRedefine/>
    <w:unhideWhenUsed/>
    <w:qFormat/>
    <w:uiPriority w:val="0"/>
    <w:pPr>
      <w:numPr>
        <w:ilvl w:val="1"/>
        <w:numId w:val="1"/>
      </w:numPr>
      <w:spacing w:beforeAutospacing="1" w:afterAutospacing="1" w:line="360" w:lineRule="auto"/>
      <w:ind w:left="567" w:hanging="567" w:firstLineChars="0"/>
      <w:jc w:val="left"/>
      <w:outlineLvl w:val="1"/>
    </w:pPr>
    <w:rPr>
      <w:rFonts w:ascii="宋体" w:hAnsi="宋体" w:eastAsia="宋体" w:cs="宋体"/>
      <w:b/>
      <w:bCs/>
      <w:kern w:val="0"/>
      <w:sz w:val="28"/>
      <w:szCs w:val="36"/>
      <w:lang w:bidi="ar"/>
    </w:rPr>
  </w:style>
  <w:style w:type="paragraph" w:styleId="4">
    <w:name w:val="heading 3"/>
    <w:next w:val="1"/>
    <w:unhideWhenUsed/>
    <w:qFormat/>
    <w:uiPriority w:val="0"/>
    <w:pPr>
      <w:numPr>
        <w:ilvl w:val="2"/>
        <w:numId w:val="1"/>
      </w:numPr>
      <w:spacing w:beforeAutospacing="0" w:afterAutospacing="0" w:line="360" w:lineRule="auto"/>
      <w:ind w:left="0" w:firstLine="0"/>
      <w:jc w:val="left"/>
      <w:outlineLvl w:val="2"/>
    </w:pPr>
    <w:rPr>
      <w:rFonts w:hint="eastAsia" w:ascii="宋体" w:hAnsi="宋体" w:eastAsia="宋体" w:cs="宋体"/>
      <w:b/>
      <w:bCs/>
      <w:kern w:val="0"/>
      <w:sz w:val="24"/>
      <w:szCs w:val="27"/>
      <w:lang w:bidi="ar"/>
    </w:rPr>
  </w:style>
  <w:style w:type="paragraph" w:styleId="5">
    <w:name w:val="heading 4"/>
    <w:basedOn w:val="1"/>
    <w:next w:val="1"/>
    <w:autoRedefine/>
    <w:semiHidden/>
    <w:unhideWhenUsed/>
    <w:qFormat/>
    <w:uiPriority w:val="0"/>
    <w:pPr>
      <w:keepNext/>
      <w:keepLines/>
      <w:numPr>
        <w:ilvl w:val="3"/>
        <w:numId w:val="1"/>
      </w:numPr>
      <w:spacing w:before="280" w:beforeLines="0" w:beforeAutospacing="0" w:after="290" w:afterLines="0" w:afterAutospacing="0" w:line="372" w:lineRule="auto"/>
      <w:ind w:left="850" w:hanging="850" w:firstLineChars="0"/>
      <w:outlineLvl w:val="3"/>
    </w:pPr>
    <w:rPr>
      <w:rFonts w:ascii="Arial" w:hAnsi="Arial" w:eastAsia="黑体"/>
      <w:b/>
      <w:sz w:val="28"/>
    </w:rPr>
  </w:style>
  <w:style w:type="paragraph" w:styleId="6">
    <w:name w:val="heading 5"/>
    <w:basedOn w:val="1"/>
    <w:next w:val="1"/>
    <w:autoRedefine/>
    <w:semiHidden/>
    <w:unhideWhenUsed/>
    <w:qFormat/>
    <w:uiPriority w:val="0"/>
    <w:pPr>
      <w:keepNext/>
      <w:keepLines/>
      <w:numPr>
        <w:ilvl w:val="4"/>
        <w:numId w:val="2"/>
      </w:numPr>
      <w:spacing w:before="280" w:beforeLines="0" w:beforeAutospacing="0" w:after="290" w:afterLines="0" w:afterAutospacing="0" w:line="372" w:lineRule="auto"/>
      <w:ind w:left="1008" w:hanging="1008" w:firstLineChars="0"/>
      <w:outlineLvl w:val="4"/>
    </w:pPr>
    <w:rPr>
      <w:b/>
      <w:sz w:val="28"/>
    </w:rPr>
  </w:style>
  <w:style w:type="paragraph" w:styleId="7">
    <w:name w:val="heading 6"/>
    <w:basedOn w:val="1"/>
    <w:next w:val="1"/>
    <w:semiHidden/>
    <w:unhideWhenUsed/>
    <w:qFormat/>
    <w:uiPriority w:val="0"/>
    <w:pPr>
      <w:keepNext/>
      <w:keepLines/>
      <w:numPr>
        <w:ilvl w:val="5"/>
        <w:numId w:val="2"/>
      </w:numPr>
      <w:spacing w:before="240" w:beforeLines="0" w:beforeAutospacing="0" w:after="64" w:afterLines="0" w:afterAutospacing="0" w:line="317" w:lineRule="auto"/>
      <w:ind w:left="1151" w:hanging="1151" w:firstLineChars="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2"/>
      </w:numPr>
      <w:spacing w:before="240" w:beforeLines="0" w:beforeAutospacing="0" w:after="64" w:afterLines="0" w:afterAutospacing="0" w:line="317" w:lineRule="auto"/>
      <w:ind w:left="1296" w:hanging="1296" w:firstLineChars="0"/>
      <w:outlineLvl w:val="6"/>
    </w:pPr>
    <w:rPr>
      <w:b/>
      <w:sz w:val="24"/>
    </w:rPr>
  </w:style>
  <w:style w:type="paragraph" w:styleId="9">
    <w:name w:val="heading 8"/>
    <w:basedOn w:val="1"/>
    <w:next w:val="1"/>
    <w:autoRedefine/>
    <w:semiHidden/>
    <w:unhideWhenUsed/>
    <w:qFormat/>
    <w:uiPriority w:val="0"/>
    <w:pPr>
      <w:keepNext/>
      <w:keepLines/>
      <w:numPr>
        <w:ilvl w:val="7"/>
        <w:numId w:val="2"/>
      </w:numPr>
      <w:spacing w:before="240" w:beforeLines="0" w:beforeAutospacing="0" w:after="64" w:afterLines="0" w:afterAutospacing="0" w:line="317" w:lineRule="auto"/>
      <w:ind w:left="1440" w:hanging="1440"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2"/>
      </w:numPr>
      <w:spacing w:before="240" w:beforeLines="0" w:beforeAutospacing="0" w:after="64" w:afterLines="0" w:afterAutospacing="0" w:line="317" w:lineRule="auto"/>
      <w:ind w:left="1583" w:hanging="1583" w:firstLineChars="0"/>
      <w:outlineLvl w:val="8"/>
    </w:pPr>
    <w:rPr>
      <w:rFonts w:ascii="Arial" w:hAnsi="Arial" w:eastAsia="黑体"/>
      <w:sz w:val="21"/>
    </w:rPr>
  </w:style>
  <w:style w:type="character" w:default="1" w:styleId="18">
    <w:name w:val="Default Paragraph Font"/>
    <w:autoRedefine/>
    <w:semiHidden/>
    <w:qFormat/>
    <w:uiPriority w:val="0"/>
  </w:style>
  <w:style w:type="table" w:default="1" w:styleId="16">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autoRedefine/>
    <w:semiHidden/>
    <w:unhideWhenUsed/>
    <w:qFormat/>
    <w:uiPriority w:val="0"/>
    <w:rPr>
      <w:rFonts w:ascii="Times New Roman" w:hAnsi="Times New Roman" w:eastAsia="宋体" w:cstheme="majorBidi"/>
      <w:sz w:val="21"/>
      <w:szCs w:val="20"/>
    </w:rPr>
  </w:style>
  <w:style w:type="paragraph" w:styleId="12">
    <w:name w:val="toc 3"/>
    <w:basedOn w:val="1"/>
    <w:next w:val="1"/>
    <w:autoRedefine/>
    <w:qFormat/>
    <w:uiPriority w:val="0"/>
    <w:pPr>
      <w:ind w:left="420"/>
      <w:jc w:val="left"/>
    </w:pPr>
    <w:rPr>
      <w:rFonts w:ascii="Times New Roman" w:hAnsi="Times New Roman" w:eastAsia="宋体" w:cstheme="minorHAnsi"/>
      <w:iCs/>
      <w:sz w:val="24"/>
      <w:szCs w:val="20"/>
    </w:rPr>
  </w:style>
  <w:style w:type="paragraph" w:styleId="13">
    <w:name w:val="toc 1"/>
    <w:basedOn w:val="1"/>
    <w:next w:val="1"/>
    <w:qFormat/>
    <w:uiPriority w:val="0"/>
    <w:pPr>
      <w:spacing w:before="120" w:after="120"/>
      <w:jc w:val="left"/>
    </w:pPr>
    <w:rPr>
      <w:rFonts w:eastAsia="黑体" w:asciiTheme="minorAscii" w:hAnsiTheme="minorAscii" w:cstheme="minorHAnsi"/>
      <w:bCs/>
      <w:caps/>
      <w:szCs w:val="20"/>
    </w:rPr>
  </w:style>
  <w:style w:type="paragraph" w:styleId="14">
    <w:name w:val="toc 2"/>
    <w:basedOn w:val="1"/>
    <w:next w:val="1"/>
    <w:autoRedefine/>
    <w:qFormat/>
    <w:uiPriority w:val="0"/>
    <w:pPr>
      <w:ind w:left="0" w:firstLine="0" w:firstLineChars="0"/>
      <w:jc w:val="left"/>
    </w:pPr>
    <w:rPr>
      <w:rFonts w:ascii="Times New Roman" w:hAnsi="Times New Roman" w:eastAsia="宋体" w:cs="Times New Roman"/>
      <w:smallCaps/>
      <w:szCs w:val="20"/>
    </w:rPr>
  </w:style>
  <w:style w:type="paragraph" w:styleId="15">
    <w:name w:val="Normal (Web)"/>
    <w:basedOn w:val="1"/>
    <w:qFormat/>
    <w:uiPriority w:val="0"/>
    <w:pPr>
      <w:spacing w:before="0" w:beforeAutospacing="1" w:after="0" w:afterAutospacing="1"/>
      <w:ind w:left="0" w:right="0"/>
      <w:jc w:val="left"/>
    </w:pPr>
    <w:rPr>
      <w:kern w:val="0"/>
      <w:sz w:val="24"/>
      <w:lang w:val="en-US" w:eastAsia="zh-CN" w:bidi="ar"/>
    </w:rPr>
  </w:style>
  <w:style w:type="table" w:styleId="17">
    <w:name w:val="Table Grid"/>
    <w:basedOn w:val="1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customStyle="1" w:styleId="20">
    <w:name w:val="标题 1 字符"/>
    <w:link w:val="2"/>
    <w:qFormat/>
    <w:uiPriority w:val="9"/>
    <w:rPr>
      <w:rFonts w:ascii="Times New Roman" w:hAnsi="Times New Roman" w:eastAsia="宋体" w:cs="Times New Roman"/>
      <w:bCs/>
      <w:color w:val="1C1F23"/>
      <w:kern w:val="44"/>
      <w:sz w:val="36"/>
      <w:szCs w:val="24"/>
    </w:rPr>
  </w:style>
  <w:style w:type="character" w:customStyle="1" w:styleId="21">
    <w:name w:val="标题 2 字符"/>
    <w:link w:val="3"/>
    <w:autoRedefine/>
    <w:qFormat/>
    <w:uiPriority w:val="0"/>
    <w:rPr>
      <w:rFonts w:ascii="宋体" w:hAnsi="宋体" w:eastAsia="宋体" w:cs="宋体"/>
      <w:b/>
      <w:bCs/>
      <w:kern w:val="0"/>
      <w:sz w:val="28"/>
      <w:szCs w:val="36"/>
      <w:lang w:val="en-US" w:eastAsia="zh-CN" w:bidi="ar"/>
    </w:rPr>
  </w:style>
  <w:style w:type="paragraph" w:customStyle="1" w:styleId="22">
    <w:name w:val="表格内容"/>
    <w:basedOn w:val="1"/>
    <w:autoRedefine/>
    <w:qFormat/>
    <w:uiPriority w:val="0"/>
    <w:pPr>
      <w:spacing w:line="300" w:lineRule="auto"/>
      <w:jc w:val="center"/>
    </w:pPr>
    <w:rPr>
      <w:rFonts w:hint="default" w:asciiTheme="minorAscii" w:hAnsiTheme="minorAscii" w:eastAsiaTheme="minorEastAsia" w:cstheme="minorEastAsia"/>
      <w:sz w:val="21"/>
      <w:szCs w:val="21"/>
    </w:rPr>
  </w:style>
  <w:style w:type="paragraph" w:customStyle="1" w:styleId="23">
    <w:name w:val="中期二级标题"/>
    <w:basedOn w:val="1"/>
    <w:link w:val="24"/>
    <w:qFormat/>
    <w:uiPriority w:val="0"/>
    <w:pPr>
      <w:numPr>
        <w:ilvl w:val="1"/>
        <w:numId w:val="3"/>
      </w:numPr>
      <w:ind w:left="851"/>
    </w:pPr>
    <w:rPr>
      <w:rFonts w:ascii="黑体" w:hAnsi="黑体" w:eastAsia="黑体"/>
      <w:sz w:val="32"/>
      <w:szCs w:val="32"/>
    </w:rPr>
  </w:style>
  <w:style w:type="character" w:customStyle="1" w:styleId="24">
    <w:name w:val="中期二级标题 字符"/>
    <w:link w:val="23"/>
    <w:qFormat/>
    <w:uiPriority w:val="0"/>
    <w:rPr>
      <w:rFonts w:ascii="黑体" w:hAnsi="黑体" w:eastAsia="黑体"/>
      <w:kern w:val="2"/>
      <w:sz w:val="32"/>
      <w:szCs w:val="32"/>
      <w:lang w:val="en-US" w:eastAsia="zh-CN" w:bidi="ar-SA"/>
    </w:rPr>
  </w:style>
  <w:style w:type="paragraph" w:customStyle="1" w:styleId="25">
    <w:name w:val="中期一级标题"/>
    <w:basedOn w:val="1"/>
    <w:qFormat/>
    <w:uiPriority w:val="0"/>
    <w:pPr>
      <w:numPr>
        <w:ilvl w:val="0"/>
        <w:numId w:val="3"/>
      </w:numPr>
      <w:ind w:firstLine="0" w:firstLineChars="0"/>
    </w:pPr>
  </w:style>
  <w:style w:type="paragraph" w:customStyle="1" w:styleId="26">
    <w:name w:val="中期三级标题"/>
    <w:basedOn w:val="1"/>
    <w:qFormat/>
    <w:uiPriority w:val="0"/>
    <w:pPr>
      <w:numPr>
        <w:ilvl w:val="2"/>
        <w:numId w:val="3"/>
      </w:numPr>
      <w:ind w:firstLine="0" w:firstLineChars="0"/>
    </w:pPr>
  </w:style>
  <w:style w:type="paragraph" w:customStyle="1" w:styleId="27">
    <w:name w:val="中期四级标题"/>
    <w:basedOn w:val="1"/>
    <w:qFormat/>
    <w:uiPriority w:val="0"/>
    <w:pPr>
      <w:numPr>
        <w:ilvl w:val="3"/>
        <w:numId w:val="3"/>
      </w:numPr>
      <w:ind w:firstLine="0" w:firstLineChars="0"/>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2857</Words>
  <Characters>3283</Characters>
  <Lines>0</Lines>
  <Paragraphs>0</Paragraphs>
  <TotalTime>26</TotalTime>
  <ScaleCrop>false</ScaleCrop>
  <LinksUpToDate>false</LinksUpToDate>
  <CharactersWithSpaces>3299</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2023-05-03T02:03:00Z</dcterms:created>
  <dc:creator>DELL</dc:creator>
  <cp:lastModifiedBy>EliauK</cp:lastModifiedBy>
  <dcterms:modified xsi:type="dcterms:W3CDTF">2026-02-03T13:11:16Z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5A42619EACE746528190165281C55736_12</vt:lpwstr>
  </property>
  <property fmtid="{D5CDD505-2E9C-101B-9397-08002B2CF9AE}" pid="4" name="KSOTemplateDocerSaveRecord">
    <vt:lpwstr>eyJoZGlkIjoiZDg1NGE5MjEwMGYxMTgwMjZlNjM1NTZiYmYzOGIyNzkiLCJ1c2VySWQiOiIxMDAyNjk2MDIwIn0=</vt:lpwstr>
  </property>
</Properties>
</file>