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numId w:val="0"/>
        </w:numPr>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numId w:val="0"/>
        </w:numPr>
        <w:kinsoku/>
        <w:wordWrap/>
        <w:overflowPunct/>
        <w:topLinePunct w:val="0"/>
        <w:autoSpaceDE/>
        <w:autoSpaceDN/>
        <w:bidi w:val="0"/>
        <w:adjustRightInd/>
        <w:spacing w:beforeAutospacing="0" w:afterAutospacing="0" w:line="24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widowControl w:val="0"/>
        <w:kinsoku/>
        <w:wordWrap/>
        <w:overflowPunct/>
        <w:topLinePunct w:val="0"/>
        <w:autoSpaceDE/>
        <w:autoSpaceDN/>
        <w:bidi w:val="0"/>
        <w:adjustRightInd/>
        <w:snapToGrid/>
        <w:spacing w:beforeAutospacing="0" w:afterAutospacing="0" w:line="240" w:lineRule="auto"/>
        <w:jc w:val="center"/>
        <w:textAlignment w:val="auto"/>
        <w:rPr>
          <w:rFonts w:hint="default"/>
          <w:lang w:val="en-US" w:eastAsia="zh-CN"/>
        </w:rPr>
      </w:pPr>
      <w:r>
        <w:rPr>
          <w:rFonts w:hint="eastAsia"/>
          <w:lang w:val="en-US" w:eastAsia="zh-CN"/>
        </w:rPr>
        <w:t>引言</w:t>
      </w:r>
    </w:p>
    <w:p w14:paraId="10176C5D">
      <w:pPr>
        <w:pStyle w:val="3"/>
        <w:pageBreakBefore w:val="0"/>
        <w:widowControl w:val="0"/>
        <w:kinsoku/>
        <w:wordWrap/>
        <w:overflowPunct/>
        <w:topLinePunct w:val="0"/>
        <w:autoSpaceDE/>
        <w:autoSpaceDN/>
        <w:bidi w:val="0"/>
        <w:adjustRightInd/>
        <w:snapToGrid/>
        <w:spacing w:beforeAutospacing="0" w:afterAutospacing="0" w:line="24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24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24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24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24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24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24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24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24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numId w:val="0"/>
        </w:numPr>
        <w:kinsoku/>
        <w:wordWrap/>
        <w:overflowPunct/>
        <w:topLinePunct w:val="0"/>
        <w:autoSpaceDE/>
        <w:autoSpaceDN/>
        <w:bidi w:val="0"/>
        <w:adjustRightInd/>
        <w:spacing w:beforeAutospacing="0" w:afterAutospacing="0" w:line="24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240" w:lineRule="auto"/>
        <w:textAlignment w:val="auto"/>
        <w:rPr>
          <w:rFonts w:hint="default"/>
          <w:lang w:val="en-US" w:eastAsia="zh-CN"/>
        </w:rPr>
      </w:pPr>
      <w:r>
        <w:rPr>
          <w:rFonts w:hint="eastAsia"/>
          <w:lang w:val="en-US" w:eastAsia="zh-CN"/>
        </w:rPr>
        <w:t>相关理论基础</w:t>
      </w:r>
    </w:p>
    <w:p w14:paraId="69DBF46E">
      <w:pPr>
        <w:pStyle w:val="3"/>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49F8392A">
      <w:pPr>
        <w:pStyle w:val="3"/>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44B563A8">
      <w:pPr>
        <w:pStyle w:val="2"/>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基于知识增强以图为中心的分子性质预测方法</w:t>
      </w:r>
    </w:p>
    <w:p w14:paraId="5B3CDD47">
      <w:pPr>
        <w:pStyle w:val="3"/>
        <w:bidi w:val="0"/>
        <w:rPr>
          <w:rFonts w:hint="eastAsia"/>
          <w:lang w:val="en-US" w:eastAsia="zh-CN"/>
        </w:rPr>
      </w:pPr>
      <w:r>
        <w:rPr>
          <w:rFonts w:hint="eastAsia"/>
          <w:lang w:val="en-US" w:eastAsia="zh-CN"/>
        </w:rPr>
        <w:t>数据</w:t>
      </w:r>
      <w:bookmarkStart w:id="0" w:name="_GoBack"/>
      <w:bookmarkEnd w:id="0"/>
    </w:p>
    <w:p w14:paraId="5CA42B40">
      <w:pPr>
        <w:pageBreakBefore w:val="0"/>
        <w:widowControl w:val="0"/>
        <w:kinsoku/>
        <w:wordWrap/>
        <w:overflowPunct/>
        <w:topLinePunct w:val="0"/>
        <w:autoSpaceDE/>
        <w:autoSpaceDN/>
        <w:bidi w:val="0"/>
        <w:adjustRightInd/>
        <w:snapToGri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0D57CF84">
      <w:pPr>
        <w:pStyle w:val="3"/>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eastAsia"/>
          <w:lang w:val="en-US" w:eastAsia="zh-CN"/>
        </w:rPr>
        <w:t>模型设计与描述</w:t>
      </w:r>
    </w:p>
    <w:p w14:paraId="16D0604F">
      <w:pPr>
        <w:pageBreakBefore w:val="0"/>
        <w:kinsoku/>
        <w:wordWrap/>
        <w:overflowPunct/>
        <w:topLinePunct w:val="0"/>
        <w:autoSpaceDE/>
        <w:autoSpaceDN/>
        <w:bidi w:val="0"/>
        <w:adjustRightInd/>
        <w:spacing w:beforeAutospacing="0" w:afterAutospacing="0" w:line="24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3.2.1 多模态总体框架</w:t>
      </w:r>
    </w:p>
    <w:p w14:paraId="2047E933">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对于每一个预训练的分子，其在不同模态下的原始输入可表示为：</w:t>
      </w:r>
    </w:p>
    <w:p w14:paraId="43A12828">
      <w:pPr>
        <w:pageBreakBefore w:val="0"/>
        <w:widowControl w:val="0"/>
        <w:kinsoku/>
        <w:wordWrap/>
        <w:overflowPunct/>
        <w:topLinePunct w:val="0"/>
        <w:autoSpaceDE/>
        <w:autoSpaceDN/>
        <w:bidi w:val="0"/>
        <w:adjustRightInd/>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pageBreakBefore w:val="0"/>
        <w:widowControl w:val="0"/>
        <w:kinsoku/>
        <w:wordWrap/>
        <w:overflowPunct/>
        <w:topLinePunct w:val="0"/>
        <w:autoSpaceDE/>
        <w:autoSpaceDN/>
        <w:bidi w:val="0"/>
        <w:adjustRightInd/>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pageBreakBefore w:val="0"/>
        <w:widowControl/>
        <w:suppressLineNumbers w:val="0"/>
        <w:kinsoku/>
        <w:wordWrap/>
        <w:overflowPunct/>
        <w:topLinePunct w:val="0"/>
        <w:autoSpaceDE/>
        <w:autoSpaceDN/>
        <w:bidi w:val="0"/>
        <w:adjustRightInd/>
        <w:spacing w:beforeAutospacing="0" w:afterAutospacing="0" w:line="240" w:lineRule="auto"/>
        <w:jc w:val="left"/>
        <w:textAlignment w:val="auto"/>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pageBreakBefore w:val="0"/>
        <w:widowControl/>
        <w:suppressLineNumbers w:val="0"/>
        <w:kinsoku/>
        <w:wordWrap/>
        <w:overflowPunct/>
        <w:topLinePunct w:val="0"/>
        <w:autoSpaceDE/>
        <w:autoSpaceDN/>
        <w:bidi w:val="0"/>
        <w:adjustRightInd/>
        <w:spacing w:beforeAutospacing="0" w:afterAutospacing="0" w:line="240" w:lineRule="auto"/>
        <w:textAlignment w:val="auto"/>
      </w:pPr>
      <w:r>
        <w:t>由于不同模态的特征维度和表示空间存在显著差异，模型进一步通过投影层将各模态表示映射至统一的嵌入空间，为后续融合操作提供基础。</w:t>
      </w:r>
    </w:p>
    <w:p w14:paraId="430A1E6C">
      <w:pPr>
        <w:pageBreakBefore w:val="0"/>
        <w:widowControl w:val="0"/>
        <w:kinsoku/>
        <w:wordWrap/>
        <w:overflowPunct/>
        <w:topLinePunct w:val="0"/>
        <w:autoSpaceDE/>
        <w:autoSpaceDN/>
        <w:bidi w:val="0"/>
        <w:adjustRightInd/>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pageBreakBefore w:val="0"/>
        <w:kinsoku/>
        <w:wordWrap/>
        <w:overflowPunct/>
        <w:topLinePunct w:val="0"/>
        <w:autoSpaceDE/>
        <w:autoSpaceDN/>
        <w:bidi w:val="0"/>
        <w:adjustRightInd/>
        <w:spacing w:beforeAutospacing="0" w:afterAutospacing="0" w:line="240" w:lineRule="auto"/>
        <w:textAlignment w:val="auto"/>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3.2.3 同一空间映射</w:t>
      </w:r>
    </w:p>
    <w:p w14:paraId="5E7E9799">
      <w:pPr>
        <w:pageBreakBefore w:val="0"/>
        <w:kinsoku/>
        <w:wordWrap/>
        <w:overflowPunct/>
        <w:topLinePunct w:val="0"/>
        <w:autoSpaceDE/>
        <w:autoSpaceDN/>
        <w:bidi w:val="0"/>
        <w:adjustRightInd/>
        <w:spacing w:beforeAutospacing="0" w:afterAutospacing="0" w:line="240" w:lineRule="auto"/>
        <w:textAlignment w:val="auto"/>
      </w:pPr>
      <w:r>
        <w:t>为消除不同模态之间在表示维度和分布上的差异，模型在每个模态编码器之后引入投影层，将各模态输出映射到统一维度的嵌入空间：</w:t>
      </w:r>
    </w:p>
    <w:p w14:paraId="3528CF06">
      <w:pPr>
        <w:pageBreakBefore w:val="0"/>
        <w:kinsoku/>
        <w:wordWrap/>
        <w:overflowPunct/>
        <w:topLinePunct w:val="0"/>
        <w:autoSpaceDE/>
        <w:autoSpaceDN/>
        <w:bidi w:val="0"/>
        <w:adjustRightInd/>
        <w:spacing w:beforeAutospacing="0" w:afterAutospacing="0" w:line="240" w:lineRule="auto"/>
        <w:textAlignment w:val="auto"/>
      </w:pPr>
      <w:r>
        <w:rPr>
          <w:rFonts w:ascii="宋体" w:hAnsi="宋体" w:eastAsia="宋体" w:cs="宋体"/>
          <w:sz w:val="24"/>
          <w:szCs w:val="24"/>
        </w:rPr>
        <w:t>Zm=gm(Hm),Zm∈Rd</w:t>
      </w:r>
    </w:p>
    <w:p w14:paraId="146A5E80">
      <w:pPr>
        <w:pageBreakBefore w:val="0"/>
        <w:kinsoku/>
        <w:wordWrap/>
        <w:overflowPunct/>
        <w:topLinePunct w:val="0"/>
        <w:autoSpaceDE/>
        <w:autoSpaceDN/>
        <w:bidi w:val="0"/>
        <w:adjustRightInd/>
        <w:spacing w:beforeAutospacing="0" w:afterAutospacing="0" w:line="240" w:lineRule="auto"/>
        <w:textAlignment w:val="auto"/>
      </w:pPr>
      <w:r>
        <w:t>其中，ddd 表示统一的嵌入维度。</w:t>
      </w:r>
    </w:p>
    <w:p w14:paraId="1AC15636">
      <w:pPr>
        <w:pageBreakBefore w:val="0"/>
        <w:kinsoku/>
        <w:wordWrap/>
        <w:overflowPunct/>
        <w:topLinePunct w:val="0"/>
        <w:autoSpaceDE/>
        <w:autoSpaceDN/>
        <w:bidi w:val="0"/>
        <w:adjustRightInd/>
        <w:spacing w:beforeAutospacing="0" w:afterAutospacing="0" w:line="240" w:lineRule="auto"/>
        <w:textAlignment w:val="auto"/>
      </w:pPr>
      <w:r>
        <w:t>通过该映射操作，不同模态的分子表示能够在同一语义空间中进行比较与融合。</w:t>
      </w:r>
    </w:p>
    <w:p w14:paraId="3F0806EF">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pPr>
      <w:r>
        <w:t>3.2.4 多模态注意力融合机制</w:t>
      </w:r>
    </w:p>
    <w:p w14:paraId="0D67477D">
      <w:pPr>
        <w:pageBreakBefore w:val="0"/>
        <w:kinsoku/>
        <w:wordWrap/>
        <w:overflowPunct/>
        <w:topLinePunct w:val="0"/>
        <w:autoSpaceDE/>
        <w:autoSpaceDN/>
        <w:bidi w:val="0"/>
        <w:adjustRightInd/>
        <w:spacing w:beforeAutospacing="0" w:afterAutospacing="0" w:line="240" w:lineRule="auto"/>
        <w:textAlignment w:val="auto"/>
      </w:pPr>
      <w:r>
        <w:t>不同模态在描述分子性质时的重要性并非固定不变，而是会随分子类型和任务需求发生变化。为此，本研究引入注意力机制对多模态表示进行自适应融合。</w:t>
      </w:r>
    </w:p>
    <w:p w14:paraId="3E5FBF44">
      <w:pPr>
        <w:pageBreakBefore w:val="0"/>
        <w:kinsoku/>
        <w:wordWrap/>
        <w:overflowPunct/>
        <w:topLinePunct w:val="0"/>
        <w:autoSpaceDE/>
        <w:autoSpaceDN/>
        <w:bidi w:val="0"/>
        <w:adjustRightInd/>
        <w:spacing w:beforeAutospacing="0" w:afterAutospacing="0" w:line="240" w:lineRule="auto"/>
        <w:textAlignment w:val="auto"/>
      </w:pPr>
      <w:r>
        <w:t>具体而言，模型首先对各模态嵌入计算注意力权重：</w:t>
      </w:r>
    </w:p>
    <w:p w14:paraId="04B6C6B0">
      <w:pPr>
        <w:pageBreakBefore w:val="0"/>
        <w:kinsoku/>
        <w:wordWrap/>
        <w:overflowPunct/>
        <w:topLinePunct w:val="0"/>
        <w:autoSpaceDE/>
        <w:autoSpaceDN/>
        <w:bidi w:val="0"/>
        <w:adjustRightInd/>
        <w:spacing w:beforeAutospacing="0" w:afterAutospacing="0" w:line="240" w:lineRule="auto"/>
        <w:textAlignment w:val="auto"/>
        <w:rPr>
          <w:rFonts w:ascii="宋体" w:hAnsi="宋体" w:eastAsia="宋体" w:cs="宋体"/>
          <w:sz w:val="24"/>
          <w:szCs w:val="24"/>
        </w:rPr>
      </w:pPr>
      <w:r>
        <w:rPr>
          <w:rFonts w:ascii="宋体" w:hAnsi="宋体" w:eastAsia="宋体" w:cs="宋体"/>
          <w:sz w:val="24"/>
          <w:szCs w:val="24"/>
        </w:rPr>
        <w:t>αm=softmax(WZm)</w:t>
      </w:r>
    </w:p>
    <w:p w14:paraId="6861EE33">
      <w:pPr>
        <w:pageBreakBefore w:val="0"/>
        <w:kinsoku/>
        <w:wordWrap/>
        <w:overflowPunct/>
        <w:topLinePunct w:val="0"/>
        <w:autoSpaceDE/>
        <w:autoSpaceDN/>
        <w:bidi w:val="0"/>
        <w:adjustRightInd/>
        <w:spacing w:beforeAutospacing="0" w:afterAutospacing="0" w:line="240" w:lineRule="auto"/>
        <w:textAlignment w:val="auto"/>
      </w:pPr>
      <w:r>
        <w:t>其中，</w:t>
      </w:r>
      <w:r>
        <w:rPr>
          <w:rFonts w:ascii="宋体" w:hAnsi="宋体" w:eastAsia="宋体" w:cs="宋体"/>
          <w:sz w:val="24"/>
          <w:szCs w:val="24"/>
        </w:rPr>
        <w:t>αm\alpha^{m}αm 表示第 mmm 个模态的注意力权重。</w:t>
      </w:r>
    </w:p>
    <w:p w14:paraId="4589ED79">
      <w:pPr>
        <w:pageBreakBefore w:val="0"/>
        <w:kinsoku/>
        <w:wordWrap/>
        <w:overflowPunct/>
        <w:topLinePunct w:val="0"/>
        <w:autoSpaceDE/>
        <w:autoSpaceDN/>
        <w:bidi w:val="0"/>
        <w:adjustRightInd/>
        <w:spacing w:beforeAutospacing="0" w:afterAutospacing="0" w:line="240" w:lineRule="auto"/>
        <w:textAlignment w:val="auto"/>
      </w:pPr>
      <w:r>
        <w:t>最终的分子表示通过加权求和获得：</w:t>
      </w:r>
    </w:p>
    <w:p w14:paraId="0C7CC3D0">
      <w:pPr>
        <w:pageBreakBefore w:val="0"/>
        <w:kinsoku/>
        <w:wordWrap/>
        <w:overflowPunct/>
        <w:topLinePunct w:val="0"/>
        <w:autoSpaceDE/>
        <w:autoSpaceDN/>
        <w:bidi w:val="0"/>
        <w:adjustRightInd/>
        <w:spacing w:beforeAutospacing="0" w:afterAutospacing="0" w:line="240" w:lineRule="auto"/>
        <w:textAlignment w:val="auto"/>
        <w:rPr>
          <w:rFonts w:ascii="宋体" w:hAnsi="宋体" w:eastAsia="宋体" w:cs="宋体"/>
          <w:sz w:val="24"/>
          <w:szCs w:val="24"/>
        </w:rPr>
      </w:pPr>
      <w:r>
        <w:rPr>
          <w:rFonts w:ascii="宋体" w:hAnsi="宋体" w:eastAsia="宋体" w:cs="宋体"/>
          <w:sz w:val="24"/>
          <w:szCs w:val="24"/>
        </w:rPr>
        <w:t>Z=m∑​αmZm</w:t>
      </w:r>
    </w:p>
    <w:p w14:paraId="40F9121D">
      <w:pPr>
        <w:pageBreakBefore w:val="0"/>
        <w:kinsoku/>
        <w:wordWrap/>
        <w:overflowPunct/>
        <w:topLinePunct w:val="0"/>
        <w:autoSpaceDE/>
        <w:autoSpaceDN/>
        <w:bidi w:val="0"/>
        <w:adjustRightInd/>
        <w:spacing w:beforeAutospacing="0" w:afterAutospacing="0" w:line="240" w:lineRule="auto"/>
        <w:textAlignment w:val="auto"/>
      </w:pPr>
      <w:r>
        <w:t>该融合方式使模型能够根据具体分子样本，动态调整不同模态的贡献，从而提升表示的表达能力与灵活性。</w:t>
      </w:r>
    </w:p>
    <w:p w14:paraId="50A6A950">
      <w:pPr>
        <w:pStyle w:val="3"/>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实验设计</w:t>
      </w:r>
    </w:p>
    <w:p w14:paraId="34E658AF">
      <w:pPr>
        <w:pStyle w:val="4"/>
        <w:bidi w:val="0"/>
        <w:rPr>
          <w:rFonts w:hint="default"/>
          <w:lang w:val="en-US" w:eastAsia="zh-CN"/>
        </w:rPr>
      </w:pPr>
      <w:r>
        <w:rPr>
          <w:rFonts w:hint="eastAsia"/>
          <w:lang w:val="en-US" w:eastAsia="zh-CN"/>
        </w:rPr>
        <w:t>预训练数据</w:t>
      </w:r>
    </w:p>
    <w:p w14:paraId="1014AC8C">
      <w:pPr>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default"/>
          <w:lang w:val="en-US" w:eastAsia="zh-CN"/>
        </w:rPr>
      </w:pPr>
      <w:r>
        <w:rPr>
          <w:rFonts w:hint="eastAsia"/>
          <w:lang w:val="en-US" w:eastAsia="zh-CN"/>
        </w:rPr>
        <w:t>对比损失函数</w:t>
      </w:r>
    </w:p>
    <w:p w14:paraId="3802B219">
      <w:pPr>
        <w:keepNext w:val="0"/>
        <w:keepLines w:val="0"/>
        <w:pageBreakBefore w:val="0"/>
        <w:widowControl w:val="0"/>
        <w:kinsoku/>
        <w:wordWrap/>
        <w:overflowPunct/>
        <w:topLinePunct w:val="0"/>
        <w:autoSpaceDE/>
        <w:autoSpaceDN/>
        <w:bidi w:val="0"/>
        <w:adjustRightInd/>
        <w:snapToGrid/>
        <w:spacing w:beforeAutospacing="0" w:afterAutospacing="0" w:line="240" w:lineRule="auto"/>
        <w:textAlignment w:val="auto"/>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pageBreakBefore w:val="0"/>
        <w:kinsoku/>
        <w:wordWrap/>
        <w:overflowPunct/>
        <w:topLinePunct w:val="0"/>
        <w:autoSpaceDE/>
        <w:autoSpaceDN/>
        <w:bidi w:val="0"/>
        <w:adjustRightInd/>
        <w:spacing w:beforeAutospacing="0" w:afterAutospacing="0" w:line="240" w:lineRule="auto"/>
        <w:textAlignment w:val="auto"/>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pageBreakBefore w:val="0"/>
        <w:kinsoku/>
        <w:wordWrap/>
        <w:overflowPunct/>
        <w:topLinePunct w:val="0"/>
        <w:autoSpaceDE/>
        <w:autoSpaceDN/>
        <w:bidi w:val="0"/>
        <w:adjustRightInd/>
        <w:spacing w:beforeAutospacing="0" w:afterAutospacing="0" w:line="240" w:lineRule="auto"/>
        <w:textAlignment w:val="auto"/>
        <w:rPr>
          <w:rFonts w:hint="eastAsia"/>
          <w:lang w:val="en-US" w:eastAsia="zh-CN"/>
        </w:rPr>
      </w:pPr>
      <w:r>
        <w:rPr>
          <w:rFonts w:hint="eastAsia"/>
          <w:lang w:val="en-US" w:eastAsia="zh-CN"/>
        </w:rPr>
        <w:t>《交叉熵损失函数》</w:t>
      </w:r>
    </w:p>
    <w:p w14:paraId="5C339A68">
      <w:pPr>
        <w:pageBreakBefore w:val="0"/>
        <w:kinsoku/>
        <w:wordWrap/>
        <w:overflowPunct/>
        <w:topLinePunct w:val="0"/>
        <w:autoSpaceDE/>
        <w:autoSpaceDN/>
        <w:bidi w:val="0"/>
        <w:adjustRightInd/>
        <w:spacing w:beforeAutospacing="0" w:afterAutospacing="0" w:line="240" w:lineRule="auto"/>
        <w:textAlignment w:val="auto"/>
        <w:rPr>
          <w:rFonts w:hint="eastAsia"/>
          <w:lang w:val="en-US" w:eastAsia="zh-CN"/>
        </w:rPr>
      </w:pPr>
      <w:r>
        <w:rPr>
          <w:rFonts w:hint="eastAsia"/>
          <w:lang w:val="en-US" w:eastAsia="zh-CN"/>
        </w:rPr>
        <w:t>其中。。。。《介绍交叉熵损失函数的》</w:t>
      </w:r>
    </w:p>
    <w:p w14:paraId="041956B5">
      <w:pPr>
        <w:pageBreakBefore w:val="0"/>
        <w:kinsoku/>
        <w:wordWrap/>
        <w:overflowPunct/>
        <w:topLinePunct w:val="0"/>
        <w:autoSpaceDE/>
        <w:autoSpaceDN/>
        <w:bidi w:val="0"/>
        <w:adjustRightInd/>
        <w:spacing w:beforeAutospacing="0" w:afterAutospacing="0" w:line="240" w:lineRule="auto"/>
        <w:textAlignment w:val="auto"/>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pageBreakBefore w:val="0"/>
        <w:numPr>
          <w:ilvl w:val="0"/>
          <w:numId w:val="5"/>
        </w:numPr>
        <w:kinsoku/>
        <w:wordWrap/>
        <w:overflowPunct/>
        <w:topLinePunct w:val="0"/>
        <w:autoSpaceDE/>
        <w:autoSpaceDN/>
        <w:bidi w:val="0"/>
        <w:adjustRightInd/>
        <w:spacing w:beforeAutospacing="0" w:afterAutospacing="0" w:line="240" w:lineRule="auto"/>
        <w:textAlignment w:val="auto"/>
      </w:pPr>
      <w:r>
        <w:t>多正样本问题：在多模态条件下，同一分子样本在不同模态下均构成正样本对，一对一的 NT-Xent 形式无法自然建模这种多对齐关系。</w:t>
      </w:r>
    </w:p>
    <w:p w14:paraId="6600F358">
      <w:pPr>
        <w:pageBreakBefore w:val="0"/>
        <w:numPr>
          <w:ilvl w:val="0"/>
          <w:numId w:val="5"/>
        </w:numPr>
        <w:kinsoku/>
        <w:wordWrap/>
        <w:overflowPunct/>
        <w:topLinePunct w:val="0"/>
        <w:autoSpaceDE/>
        <w:autoSpaceDN/>
        <w:bidi w:val="0"/>
        <w:adjustRightInd/>
        <w:spacing w:beforeAutospacing="0" w:afterAutospacing="0" w:line="240" w:lineRule="auto"/>
        <w:ind w:left="0" w:leftChars="0" w:firstLine="420" w:firstLineChars="200"/>
        <w:textAlignment w:val="auto"/>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pageBreakBefore w:val="0"/>
        <w:numPr>
          <w:ilvl w:val="0"/>
          <w:numId w:val="0"/>
        </w:numPr>
        <w:kinsoku/>
        <w:wordWrap/>
        <w:overflowPunct/>
        <w:topLinePunct w:val="0"/>
        <w:autoSpaceDE/>
        <w:autoSpaceDN/>
        <w:bidi w:val="0"/>
        <w:adjustRightInd/>
        <w:spacing w:beforeAutospacing="0" w:afterAutospacing="0" w:line="240" w:lineRule="auto"/>
        <w:textAlignment w:val="auto"/>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t>在分子表征学习中，分子图能够直接刻画原子–键拓扑结构，被认为是最具结构真实性和稳定性的模态表示；而指纹与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p>
    <w:p w14:paraId="7D455D60">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25B0A06B">
      <w:pPr>
        <w:pStyle w:val="3"/>
        <w:bidi w:val="0"/>
        <w:rPr>
          <w:rFonts w:hint="eastAsia"/>
          <w:lang w:val="en-US" w:eastAsia="zh-CN"/>
        </w:rPr>
      </w:pPr>
      <w:r>
        <w:rPr>
          <w:rFonts w:hint="eastAsia"/>
          <w:lang w:val="en-US" w:eastAsia="zh-CN"/>
        </w:rPr>
        <w:t>实验及结果分析</w:t>
      </w:r>
    </w:p>
    <w:p w14:paraId="0780F10C">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预训练数据集</w:t>
      </w:r>
    </w:p>
    <w:p w14:paraId="386AEBA9">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10DB4DBB">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33A18711">
      <w:pPr>
        <w:pageBreakBefore w:val="0"/>
        <w:kinsoku/>
        <w:wordWrap/>
        <w:overflowPunct/>
        <w:topLinePunct w:val="0"/>
        <w:autoSpaceDE/>
        <w:autoSpaceDN/>
        <w:bidi w:val="0"/>
        <w:adjustRightInd/>
        <w:spacing w:beforeAutospacing="0" w:afterAutospacing="0" w:line="240" w:lineRule="auto"/>
        <w:textAlignment w:val="auto"/>
        <w:rPr>
          <w:rFonts w:hint="eastAsia"/>
          <w:lang w:val="en-US" w:eastAsia="zh-CN"/>
        </w:rPr>
      </w:pPr>
      <w:r>
        <w:rPr>
          <w:rFonts w:hint="eastAsia"/>
          <w:lang w:val="en-US" w:eastAsia="zh-CN"/>
        </w:rPr>
        <w:t>4.2 下游任务数据集</w:t>
      </w:r>
    </w:p>
    <w:p w14:paraId="6C56CECF">
      <w:pPr>
        <w:pageBreakBefore w:val="0"/>
        <w:kinsoku/>
        <w:wordWrap/>
        <w:overflowPunct/>
        <w:topLinePunct w:val="0"/>
        <w:autoSpaceDE/>
        <w:autoSpaceDN/>
        <w:bidi w:val="0"/>
        <w:adjustRightInd/>
        <w:spacing w:beforeAutospacing="0" w:afterAutospacing="0" w:line="240" w:lineRule="auto"/>
        <w:textAlignment w:val="auto"/>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563E9A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59969E7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2011B90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6DC9A91D">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557130DC">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11CCFAF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575FC5D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6E225A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01745392">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1BEABDB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4D788D91">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48CAC599">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9CB4FB5">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143CFC56">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7CF9FE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E2C826">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3583D63A">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17CFAD7">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6E8638FE">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09EA4F8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12BF615">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2A4FC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485CC7">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7CEC6EEA">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65002C3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5CFC2DC1">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BD932DB">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246D867">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F9785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873EC37">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5067083A">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521F6A72">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14E5F79E">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10C98DC">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0A66CCFC">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6CB12A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9B7621D">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6C9EE8BC">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883EB37">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7198CE6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03A23062">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FC31620">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36B645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tl2br w:val="nil"/>
              <w:tr2bl w:val="nil"/>
            </w:tcBorders>
          </w:tcPr>
          <w:p w14:paraId="576B94F9">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36D994F2">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DE46A01">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37D66A8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DD1953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04C560B">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7871BD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tl2br w:val="nil"/>
              <w:tr2bl w:val="nil"/>
            </w:tcBorders>
          </w:tcPr>
          <w:p w14:paraId="0B8EBB6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16D3B9B">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5188B8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3C97094A">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76115D2">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20A1E0EC">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DE615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E395D07">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4A3F391A">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8D3138B">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04103A34">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507659D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00EBF86">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4A51A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D3BAF0">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7D8499ED">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A7F72E7">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0C446B8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016E382F">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59E82F6">
            <w:pPr>
              <w:pageBreakBefore w:val="0"/>
              <w:kinsoku/>
              <w:wordWrap/>
              <w:overflowPunct/>
              <w:topLinePunct w:val="0"/>
              <w:autoSpaceDE/>
              <w:autoSpaceDN/>
              <w:bidi w:val="0"/>
              <w:adjustRightInd/>
              <w:spacing w:beforeAutospacing="0" w:afterAutospacing="0" w:line="24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24EDA9A1">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BACE：提供了一系列人类分泌酶 1（BACE-1）抑制剂的实验数据。该数据集的任务是根据分子结构预测其对 BACE-1 的抑制能力，主要用于阿尔茨海默症的药物研发。</w:t>
      </w:r>
    </w:p>
    <w:p w14:paraId="7FEE69A3">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63F89BB3">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737850D5">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61A2920">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6C92FED6">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68EB2344">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730F9238">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032A43A0">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535ECB6A">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4.3 实验环境</w:t>
      </w:r>
    </w:p>
    <w:p w14:paraId="58FFE487">
      <w:pPr>
        <w:pageBreakBefore w:val="0"/>
        <w:kinsoku/>
        <w:wordWrap/>
        <w:overflowPunct/>
        <w:topLinePunct w:val="0"/>
        <w:autoSpaceDE/>
        <w:autoSpaceDN/>
        <w:bidi w:val="0"/>
        <w:adjustRightInd/>
        <w:spacing w:beforeAutospacing="0" w:afterAutospacing="0" w:line="24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3FEB1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485BBFCF">
            <w:pPr>
              <w:pageBreakBefore w:val="0"/>
              <w:kinsoku/>
              <w:wordWrap/>
              <w:overflowPunct/>
              <w:topLinePunct w:val="0"/>
              <w:autoSpaceDE/>
              <w:autoSpaceDN/>
              <w:bidi w:val="0"/>
              <w:adjustRightInd/>
              <w:spacing w:beforeAutospacing="0" w:afterAutospacing="0" w:line="24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3668729D">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62455CDA">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版本/规格</w:t>
            </w:r>
          </w:p>
        </w:tc>
      </w:tr>
      <w:tr w14:paraId="6E276A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2BF95F3D">
            <w:pPr>
              <w:pageBreakBefore w:val="0"/>
              <w:kinsoku/>
              <w:wordWrap/>
              <w:overflowPunct/>
              <w:topLinePunct w:val="0"/>
              <w:autoSpaceDE/>
              <w:autoSpaceDN/>
              <w:bidi w:val="0"/>
              <w:adjustRightInd/>
              <w:spacing w:beforeAutospacing="0" w:afterAutospacing="0" w:line="24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B1B0CC8">
            <w:pPr>
              <w:pageBreakBefore w:val="0"/>
              <w:kinsoku/>
              <w:wordWrap/>
              <w:overflowPunct/>
              <w:topLinePunct w:val="0"/>
              <w:autoSpaceDE/>
              <w:autoSpaceDN/>
              <w:bidi w:val="0"/>
              <w:adjustRightInd/>
              <w:spacing w:beforeAutospacing="0" w:afterAutospacing="0" w:line="24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58BB00F3">
            <w:pPr>
              <w:pageBreakBefore w:val="0"/>
              <w:kinsoku/>
              <w:wordWrap/>
              <w:overflowPunct/>
              <w:topLinePunct w:val="0"/>
              <w:autoSpaceDE/>
              <w:autoSpaceDN/>
              <w:bidi w:val="0"/>
              <w:adjustRightInd/>
              <w:spacing w:beforeAutospacing="0" w:afterAutospacing="0" w:line="24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0E9443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76E8D380">
            <w:pPr>
              <w:pageBreakBefore w:val="0"/>
              <w:kinsoku/>
              <w:wordWrap/>
              <w:overflowPunct/>
              <w:topLinePunct w:val="0"/>
              <w:autoSpaceDE/>
              <w:autoSpaceDN/>
              <w:bidi w:val="0"/>
              <w:adjustRightInd/>
              <w:spacing w:beforeAutospacing="0" w:afterAutospacing="0" w:line="24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0DCB70EB">
            <w:pPr>
              <w:pageBreakBefore w:val="0"/>
              <w:kinsoku/>
              <w:wordWrap/>
              <w:overflowPunct/>
              <w:topLinePunct w:val="0"/>
              <w:autoSpaceDE/>
              <w:autoSpaceDN/>
              <w:bidi w:val="0"/>
              <w:adjustRightInd/>
              <w:spacing w:beforeAutospacing="0" w:afterAutospacing="0" w:line="24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64B97E13">
            <w:pPr>
              <w:pageBreakBefore w:val="0"/>
              <w:kinsoku/>
              <w:wordWrap/>
              <w:overflowPunct/>
              <w:topLinePunct w:val="0"/>
              <w:autoSpaceDE/>
              <w:autoSpaceDN/>
              <w:bidi w:val="0"/>
              <w:adjustRightInd/>
              <w:spacing w:beforeAutospacing="0" w:afterAutospacing="0" w:line="24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113F1F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F3E6777">
            <w:pPr>
              <w:pageBreakBefore w:val="0"/>
              <w:kinsoku/>
              <w:wordWrap/>
              <w:overflowPunct/>
              <w:topLinePunct w:val="0"/>
              <w:autoSpaceDE/>
              <w:autoSpaceDN/>
              <w:bidi w:val="0"/>
              <w:adjustRightInd/>
              <w:spacing w:beforeAutospacing="0" w:afterAutospacing="0" w:line="24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592F524A">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4126C9DC">
            <w:pPr>
              <w:pageBreakBefore w:val="0"/>
              <w:kinsoku/>
              <w:wordWrap/>
              <w:overflowPunct/>
              <w:topLinePunct w:val="0"/>
              <w:autoSpaceDE/>
              <w:autoSpaceDN/>
              <w:bidi w:val="0"/>
              <w:adjustRightInd/>
              <w:spacing w:beforeAutospacing="0" w:afterAutospacing="0" w:line="24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082B11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3F6D592">
            <w:pPr>
              <w:pageBreakBefore w:val="0"/>
              <w:kinsoku/>
              <w:wordWrap/>
              <w:overflowPunct/>
              <w:topLinePunct w:val="0"/>
              <w:autoSpaceDE/>
              <w:autoSpaceDN/>
              <w:bidi w:val="0"/>
              <w:adjustRightInd/>
              <w:spacing w:beforeAutospacing="0" w:afterAutospacing="0" w:line="240" w:lineRule="auto"/>
              <w:jc w:val="left"/>
              <w:textAlignment w:val="auto"/>
              <w:rPr>
                <w:rFonts w:hint="eastAsia"/>
                <w:vertAlign w:val="baseline"/>
                <w:lang w:val="en-US" w:eastAsia="zh-CN"/>
              </w:rPr>
            </w:pPr>
          </w:p>
        </w:tc>
        <w:tc>
          <w:tcPr>
            <w:tcW w:w="1999" w:type="dxa"/>
            <w:tcBorders>
              <w:tl2br w:val="nil"/>
              <w:tr2bl w:val="nil"/>
            </w:tcBorders>
            <w:vAlign w:val="center"/>
          </w:tcPr>
          <w:p w14:paraId="4406268E">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59C5FAFE">
            <w:pPr>
              <w:pageBreakBefore w:val="0"/>
              <w:kinsoku/>
              <w:wordWrap/>
              <w:overflowPunct/>
              <w:topLinePunct w:val="0"/>
              <w:autoSpaceDE/>
              <w:autoSpaceDN/>
              <w:bidi w:val="0"/>
              <w:adjustRightInd/>
              <w:spacing w:beforeAutospacing="0" w:afterAutospacing="0" w:line="24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2431D1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3E11E2E">
            <w:pPr>
              <w:pageBreakBefore w:val="0"/>
              <w:kinsoku/>
              <w:wordWrap/>
              <w:overflowPunct/>
              <w:topLinePunct w:val="0"/>
              <w:autoSpaceDE/>
              <w:autoSpaceDN/>
              <w:bidi w:val="0"/>
              <w:adjustRightInd/>
              <w:spacing w:beforeAutospacing="0" w:afterAutospacing="0" w:line="24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580AC2D6">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57D56863">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64G</w:t>
            </w:r>
          </w:p>
        </w:tc>
      </w:tr>
      <w:tr w14:paraId="53C7A6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28A9082C">
            <w:pPr>
              <w:pageBreakBefore w:val="0"/>
              <w:kinsoku/>
              <w:wordWrap/>
              <w:overflowPunct/>
              <w:topLinePunct w:val="0"/>
              <w:autoSpaceDE/>
              <w:autoSpaceDN/>
              <w:bidi w:val="0"/>
              <w:adjustRightInd/>
              <w:spacing w:beforeAutospacing="0" w:afterAutospacing="0" w:line="24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2B61B2C7">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133A5E81">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3.10.19</w:t>
            </w:r>
          </w:p>
        </w:tc>
      </w:tr>
      <w:tr w14:paraId="639490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5C28E01">
            <w:pPr>
              <w:pageBreakBefore w:val="0"/>
              <w:kinsoku/>
              <w:wordWrap/>
              <w:overflowPunct/>
              <w:topLinePunct w:val="0"/>
              <w:autoSpaceDE/>
              <w:autoSpaceDN/>
              <w:bidi w:val="0"/>
              <w:adjustRightInd/>
              <w:spacing w:beforeAutospacing="0" w:afterAutospacing="0" w:line="240" w:lineRule="auto"/>
              <w:jc w:val="both"/>
              <w:textAlignment w:val="auto"/>
              <w:rPr>
                <w:rFonts w:hint="eastAsia"/>
                <w:vertAlign w:val="baseline"/>
                <w:lang w:val="en-US" w:eastAsia="zh-CN"/>
              </w:rPr>
            </w:pPr>
          </w:p>
        </w:tc>
        <w:tc>
          <w:tcPr>
            <w:tcW w:w="1999" w:type="dxa"/>
            <w:tcBorders>
              <w:tl2br w:val="nil"/>
              <w:tr2bl w:val="nil"/>
            </w:tcBorders>
            <w:vAlign w:val="center"/>
          </w:tcPr>
          <w:p w14:paraId="48F5F7A4">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51D576D7">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2.4.1+cu121</w:t>
            </w:r>
          </w:p>
        </w:tc>
      </w:tr>
      <w:tr w14:paraId="418213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0FFDCA2E">
            <w:pPr>
              <w:pageBreakBefore w:val="0"/>
              <w:kinsoku/>
              <w:wordWrap/>
              <w:overflowPunct/>
              <w:topLinePunct w:val="0"/>
              <w:autoSpaceDE/>
              <w:autoSpaceDN/>
              <w:bidi w:val="0"/>
              <w:adjustRightInd/>
              <w:spacing w:beforeAutospacing="0" w:afterAutospacing="0" w:line="240" w:lineRule="auto"/>
              <w:jc w:val="both"/>
              <w:textAlignment w:val="auto"/>
              <w:rPr>
                <w:rFonts w:hint="eastAsia"/>
                <w:vertAlign w:val="baseline"/>
                <w:lang w:val="en-US" w:eastAsia="zh-CN"/>
              </w:rPr>
            </w:pPr>
          </w:p>
        </w:tc>
        <w:tc>
          <w:tcPr>
            <w:tcW w:w="1999" w:type="dxa"/>
            <w:tcBorders>
              <w:tl2br w:val="nil"/>
              <w:tr2bl w:val="nil"/>
            </w:tcBorders>
            <w:vAlign w:val="center"/>
          </w:tcPr>
          <w:p w14:paraId="72251144">
            <w:pPr>
              <w:pageBreakBefore w:val="0"/>
              <w:kinsoku/>
              <w:wordWrap/>
              <w:overflowPunct/>
              <w:topLinePunct w:val="0"/>
              <w:autoSpaceDE/>
              <w:autoSpaceDN/>
              <w:bidi w:val="0"/>
              <w:adjustRightInd/>
              <w:spacing w:beforeAutospacing="0" w:afterAutospacing="0" w:line="24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591A12FD">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2.7.0</w:t>
            </w:r>
          </w:p>
        </w:tc>
      </w:tr>
      <w:tr w14:paraId="44AD5D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08F6E03">
            <w:pPr>
              <w:pageBreakBefore w:val="0"/>
              <w:kinsoku/>
              <w:wordWrap/>
              <w:overflowPunct/>
              <w:topLinePunct w:val="0"/>
              <w:autoSpaceDE/>
              <w:autoSpaceDN/>
              <w:bidi w:val="0"/>
              <w:adjustRightInd/>
              <w:spacing w:beforeAutospacing="0" w:afterAutospacing="0" w:line="240" w:lineRule="auto"/>
              <w:jc w:val="both"/>
              <w:textAlignment w:val="auto"/>
              <w:rPr>
                <w:rFonts w:hint="eastAsia"/>
                <w:vertAlign w:val="baseline"/>
                <w:lang w:val="en-US" w:eastAsia="zh-CN"/>
              </w:rPr>
            </w:pPr>
          </w:p>
        </w:tc>
        <w:tc>
          <w:tcPr>
            <w:tcW w:w="1999" w:type="dxa"/>
            <w:tcBorders>
              <w:tl2br w:val="nil"/>
              <w:tr2bl w:val="nil"/>
            </w:tcBorders>
            <w:vAlign w:val="center"/>
          </w:tcPr>
          <w:p w14:paraId="52CCCC79">
            <w:pPr>
              <w:pageBreakBefore w:val="0"/>
              <w:kinsoku/>
              <w:wordWrap/>
              <w:overflowPunct/>
              <w:topLinePunct w:val="0"/>
              <w:autoSpaceDE/>
              <w:autoSpaceDN/>
              <w:bidi w:val="0"/>
              <w:adjustRightInd/>
              <w:spacing w:beforeAutospacing="0" w:afterAutospacing="0" w:line="24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4E657FBB">
            <w:pPr>
              <w:pageBreakBefore w:val="0"/>
              <w:kinsoku/>
              <w:wordWrap/>
              <w:overflowPunct/>
              <w:topLinePunct w:val="0"/>
              <w:autoSpaceDE/>
              <w:autoSpaceDN/>
              <w:bidi w:val="0"/>
              <w:adjustRightInd/>
              <w:spacing w:beforeAutospacing="0" w:afterAutospacing="0" w:line="240" w:lineRule="auto"/>
              <w:jc w:val="both"/>
              <w:textAlignment w:val="auto"/>
              <w:rPr>
                <w:rFonts w:hint="default"/>
                <w:vertAlign w:val="baseline"/>
                <w:lang w:val="en-US" w:eastAsia="zh-CN"/>
              </w:rPr>
            </w:pPr>
            <w:r>
              <w:rPr>
                <w:rFonts w:hint="eastAsia"/>
                <w:vertAlign w:val="baseline"/>
                <w:lang w:val="en-US" w:eastAsia="zh-CN"/>
              </w:rPr>
              <w:t>2025.9.3</w:t>
            </w:r>
          </w:p>
        </w:tc>
      </w:tr>
    </w:tbl>
    <w:p w14:paraId="75AAD397">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p>
    <w:p w14:paraId="47DE1387">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4.4 基线模型</w:t>
      </w:r>
    </w:p>
    <w:p w14:paraId="2996DFD7">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5F15383">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68BAC704">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1A536A11">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2AE31B62">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 是一种基于 Transformer 架构的分子表示学习方法，将 SMILES 字符串视为文本序列输入，通过自监督预训练任务（如掩码语言模型）学习分子的上下文语义表示，进而用于分子性质预测等下游任务。</w:t>
      </w:r>
    </w:p>
    <w:p w14:paraId="649B0859">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4413B735">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9FCBCC0">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4.5 对比实验</w:t>
      </w:r>
    </w:p>
    <w:p w14:paraId="3E8A1B5D">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eastAsia"/>
          <w:lang w:val="en-US" w:eastAsia="zh-CN"/>
        </w:rPr>
        <w:t>在 MoleculeNet 上的9个分子性质预测数据集，进行了多维度的实验和评估。所有实验均采用骨架分割的方法，按照8:1:1的比例划分出实验的训练集、验证集和测试集。并且我们使用不同的随机种子做了多组织实验，并记录每次实验的结果，最终各个模型的性能我们取均值以及标准差来作为结果。</w:t>
      </w:r>
    </w:p>
    <w:tbl>
      <w:tblPr>
        <w:tblStyle w:val="17"/>
        <w:tblW w:w="7738"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4DF927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single" w:color="000000" w:sz="12" w:space="0"/>
              <w:left w:val="nil"/>
              <w:bottom w:val="nil"/>
              <w:right w:val="nil"/>
            </w:tcBorders>
            <w:vAlign w:val="top"/>
          </w:tcPr>
          <w:p w14:paraId="57B778E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vAlign w:val="top"/>
          </w:tcPr>
          <w:p w14:paraId="347C61D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top"/>
          </w:tcPr>
          <w:p w14:paraId="2AFAEBB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top"/>
          </w:tcPr>
          <w:p w14:paraId="26249D8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top"/>
          </w:tcPr>
          <w:p w14:paraId="782C3D9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top"/>
          </w:tcPr>
          <w:p w14:paraId="472CC81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top"/>
          </w:tcPr>
          <w:p w14:paraId="1A7A0F8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SIDER</w:t>
            </w:r>
          </w:p>
        </w:tc>
      </w:tr>
      <w:tr w14:paraId="40FAA5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2A59DC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vAlign w:val="top"/>
          </w:tcPr>
          <w:p w14:paraId="192290E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top"/>
          </w:tcPr>
          <w:p w14:paraId="6D7E1F3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top"/>
          </w:tcPr>
          <w:p w14:paraId="60070ED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top"/>
          </w:tcPr>
          <w:p w14:paraId="12A2623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top"/>
          </w:tcPr>
          <w:p w14:paraId="557841B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top"/>
          </w:tcPr>
          <w:p w14:paraId="577A453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1472</w:t>
            </w:r>
          </w:p>
        </w:tc>
      </w:tr>
      <w:tr w14:paraId="22525D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right w:val="nil"/>
            </w:tcBorders>
            <w:vAlign w:val="top"/>
          </w:tcPr>
          <w:p w14:paraId="1D9E2CA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vAlign w:val="top"/>
          </w:tcPr>
          <w:p w14:paraId="49B7676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top"/>
          </w:tcPr>
          <w:p w14:paraId="4AB9308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top"/>
          </w:tcPr>
          <w:p w14:paraId="5120EFCF">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top"/>
          </w:tcPr>
          <w:p w14:paraId="162BBD9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top"/>
          </w:tcPr>
          <w:p w14:paraId="44B438F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top"/>
          </w:tcPr>
          <w:p w14:paraId="23BA084C">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27</w:t>
            </w:r>
          </w:p>
        </w:tc>
      </w:tr>
      <w:tr w14:paraId="464C84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left w:val="nil"/>
              <w:bottom w:val="nil"/>
              <w:right w:val="nil"/>
            </w:tcBorders>
            <w:vAlign w:val="top"/>
          </w:tcPr>
          <w:p w14:paraId="21D35CBC">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AttentiveFP</w:t>
            </w:r>
          </w:p>
        </w:tc>
        <w:tc>
          <w:tcPr>
            <w:tcW w:w="1021" w:type="dxa"/>
            <w:tcBorders>
              <w:left w:val="nil"/>
              <w:bottom w:val="nil"/>
              <w:right w:val="nil"/>
            </w:tcBorders>
            <w:shd w:val="clear"/>
            <w:vAlign w:val="top"/>
          </w:tcPr>
          <w:p w14:paraId="24A4CC4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top"/>
          </w:tcPr>
          <w:p w14:paraId="7F16403C">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top"/>
          </w:tcPr>
          <w:p w14:paraId="4DD81C6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top"/>
          </w:tcPr>
          <w:p w14:paraId="6C974EE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top"/>
          </w:tcPr>
          <w:p w14:paraId="6259621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top"/>
          </w:tcPr>
          <w:p w14:paraId="29D71A0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0.605</w:t>
            </w:r>
          </w:p>
        </w:tc>
      </w:tr>
      <w:tr w14:paraId="0A4519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D308C5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color w:val="E54C5E" w:themeColor="accent6"/>
                <w:vertAlign w:val="baseline"/>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w:t>
            </w:r>
          </w:p>
        </w:tc>
        <w:tc>
          <w:tcPr>
            <w:tcW w:w="1021" w:type="dxa"/>
            <w:tcBorders>
              <w:top w:val="nil"/>
              <w:left w:val="nil"/>
              <w:bottom w:val="nil"/>
              <w:right w:val="nil"/>
            </w:tcBorders>
            <w:shd w:val="clear"/>
            <w:vAlign w:val="top"/>
          </w:tcPr>
          <w:p w14:paraId="0824F62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color w:val="E54C5E" w:themeColor="accent6"/>
                <w:kern w:val="2"/>
                <w:sz w:val="21"/>
                <w:szCs w:val="24"/>
                <w:vertAlign w:val="baseline"/>
                <w:lang w:val="en-US" w:eastAsia="zh-CN" w:bidi="ar-SA"/>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0.849</w:t>
            </w:r>
          </w:p>
        </w:tc>
        <w:tc>
          <w:tcPr>
            <w:tcW w:w="886" w:type="dxa"/>
            <w:tcBorders>
              <w:top w:val="nil"/>
              <w:left w:val="nil"/>
              <w:bottom w:val="nil"/>
              <w:right w:val="nil"/>
            </w:tcBorders>
            <w:vAlign w:val="top"/>
          </w:tcPr>
          <w:p w14:paraId="081F235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0.959</w:t>
            </w:r>
          </w:p>
        </w:tc>
        <w:tc>
          <w:tcPr>
            <w:tcW w:w="1062" w:type="dxa"/>
            <w:tcBorders>
              <w:top w:val="nil"/>
              <w:left w:val="nil"/>
              <w:bottom w:val="nil"/>
              <w:right w:val="nil"/>
            </w:tcBorders>
            <w:vAlign w:val="top"/>
          </w:tcPr>
          <w:p w14:paraId="6B89C65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0.985</w:t>
            </w:r>
          </w:p>
        </w:tc>
        <w:tc>
          <w:tcPr>
            <w:tcW w:w="883" w:type="dxa"/>
            <w:tcBorders>
              <w:top w:val="nil"/>
              <w:left w:val="nil"/>
              <w:bottom w:val="nil"/>
              <w:right w:val="nil"/>
            </w:tcBorders>
            <w:vAlign w:val="top"/>
          </w:tcPr>
          <w:p w14:paraId="3F33735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0.803</w:t>
            </w:r>
          </w:p>
        </w:tc>
        <w:tc>
          <w:tcPr>
            <w:tcW w:w="1073" w:type="dxa"/>
            <w:tcBorders>
              <w:top w:val="nil"/>
              <w:left w:val="nil"/>
              <w:bottom w:val="nil"/>
              <w:right w:val="nil"/>
            </w:tcBorders>
            <w:vAlign w:val="top"/>
          </w:tcPr>
          <w:p w14:paraId="656AAA8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0.655</w:t>
            </w:r>
          </w:p>
        </w:tc>
        <w:tc>
          <w:tcPr>
            <w:tcW w:w="969" w:type="dxa"/>
            <w:tcBorders>
              <w:top w:val="nil"/>
              <w:left w:val="nil"/>
              <w:bottom w:val="nil"/>
              <w:right w:val="nil"/>
            </w:tcBorders>
            <w:vAlign w:val="top"/>
          </w:tcPr>
          <w:p w14:paraId="495098D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0.568</w:t>
            </w:r>
          </w:p>
        </w:tc>
      </w:tr>
      <w:tr w14:paraId="688661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D9224E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Mol2Vec</w:t>
            </w:r>
          </w:p>
        </w:tc>
        <w:tc>
          <w:tcPr>
            <w:tcW w:w="1021" w:type="dxa"/>
            <w:tcBorders>
              <w:top w:val="nil"/>
              <w:left w:val="nil"/>
              <w:bottom w:val="nil"/>
              <w:right w:val="nil"/>
            </w:tcBorders>
            <w:shd w:val="clear"/>
            <w:vAlign w:val="top"/>
          </w:tcPr>
          <w:p w14:paraId="360EE12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top"/>
          </w:tcPr>
          <w:p w14:paraId="7272027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top"/>
          </w:tcPr>
          <w:p w14:paraId="73A7221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top"/>
          </w:tcPr>
          <w:p w14:paraId="7EBBB9C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top"/>
          </w:tcPr>
          <w:p w14:paraId="31BF482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top"/>
          </w:tcPr>
          <w:p w14:paraId="5B74382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0.592</w:t>
            </w:r>
          </w:p>
        </w:tc>
      </w:tr>
      <w:tr w14:paraId="2006BC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2CCBCCE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GROVER-base</w:t>
            </w:r>
          </w:p>
        </w:tc>
        <w:tc>
          <w:tcPr>
            <w:tcW w:w="1021" w:type="dxa"/>
            <w:tcBorders>
              <w:top w:val="nil"/>
              <w:left w:val="nil"/>
              <w:bottom w:val="nil"/>
              <w:right w:val="nil"/>
            </w:tcBorders>
            <w:shd w:val="clear"/>
            <w:vAlign w:val="top"/>
          </w:tcPr>
          <w:p w14:paraId="2C72762C">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top"/>
          </w:tcPr>
          <w:p w14:paraId="0E537DE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top"/>
          </w:tcPr>
          <w:p w14:paraId="4CBDAD3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top"/>
          </w:tcPr>
          <w:p w14:paraId="671F357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top"/>
          </w:tcPr>
          <w:p w14:paraId="7263DD4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top"/>
          </w:tcPr>
          <w:p w14:paraId="65D87D1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0.614</w:t>
            </w:r>
          </w:p>
        </w:tc>
      </w:tr>
      <w:tr w14:paraId="46F6A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33" w:hRule="atLeast"/>
          <w:tblHeader/>
          <w:jc w:val="center"/>
        </w:trPr>
        <w:tc>
          <w:tcPr>
            <w:tcW w:w="1844" w:type="dxa"/>
            <w:tcBorders>
              <w:top w:val="nil"/>
              <w:left w:val="nil"/>
              <w:bottom w:val="nil"/>
              <w:right w:val="nil"/>
            </w:tcBorders>
            <w:vAlign w:val="top"/>
          </w:tcPr>
          <w:p w14:paraId="73555FD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GROVER-large</w:t>
            </w:r>
          </w:p>
        </w:tc>
        <w:tc>
          <w:tcPr>
            <w:tcW w:w="1021" w:type="dxa"/>
            <w:tcBorders>
              <w:top w:val="nil"/>
              <w:left w:val="nil"/>
              <w:bottom w:val="nil"/>
              <w:right w:val="nil"/>
            </w:tcBorders>
            <w:shd w:val="clear"/>
            <w:vAlign w:val="top"/>
          </w:tcPr>
          <w:p w14:paraId="5F221BB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0.826</w:t>
            </w:r>
          </w:p>
        </w:tc>
        <w:tc>
          <w:tcPr>
            <w:tcW w:w="886" w:type="dxa"/>
            <w:tcBorders>
              <w:top w:val="nil"/>
              <w:left w:val="nil"/>
              <w:bottom w:val="nil"/>
              <w:right w:val="nil"/>
            </w:tcBorders>
            <w:vAlign w:val="top"/>
          </w:tcPr>
          <w:p w14:paraId="1AFA832F">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0.702</w:t>
            </w:r>
          </w:p>
        </w:tc>
        <w:tc>
          <w:tcPr>
            <w:tcW w:w="1062" w:type="dxa"/>
            <w:tcBorders>
              <w:top w:val="nil"/>
              <w:left w:val="nil"/>
              <w:bottom w:val="nil"/>
              <w:right w:val="nil"/>
            </w:tcBorders>
            <w:vAlign w:val="top"/>
          </w:tcPr>
          <w:p w14:paraId="5F4E543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0.743</w:t>
            </w:r>
          </w:p>
        </w:tc>
        <w:tc>
          <w:tcPr>
            <w:tcW w:w="883" w:type="dxa"/>
            <w:tcBorders>
              <w:top w:val="nil"/>
              <w:left w:val="nil"/>
              <w:bottom w:val="nil"/>
              <w:right w:val="nil"/>
            </w:tcBorders>
            <w:vAlign w:val="top"/>
          </w:tcPr>
          <w:p w14:paraId="480D002F">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0.654</w:t>
            </w:r>
          </w:p>
        </w:tc>
        <w:tc>
          <w:tcPr>
            <w:tcW w:w="1073" w:type="dxa"/>
            <w:tcBorders>
              <w:top w:val="nil"/>
              <w:left w:val="nil"/>
              <w:bottom w:val="nil"/>
              <w:right w:val="nil"/>
            </w:tcBorders>
            <w:vAlign w:val="top"/>
          </w:tcPr>
          <w:p w14:paraId="27327BA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0.654</w:t>
            </w:r>
          </w:p>
        </w:tc>
        <w:tc>
          <w:tcPr>
            <w:tcW w:w="969" w:type="dxa"/>
            <w:tcBorders>
              <w:top w:val="nil"/>
              <w:left w:val="nil"/>
              <w:bottom w:val="nil"/>
              <w:right w:val="nil"/>
            </w:tcBorders>
            <w:vAlign w:val="top"/>
          </w:tcPr>
          <w:p w14:paraId="4DE7432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0.648</w:t>
            </w:r>
          </w:p>
        </w:tc>
      </w:tr>
      <w:tr w14:paraId="387A88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9E2EF5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GraphMVP</w:t>
            </w:r>
          </w:p>
        </w:tc>
        <w:tc>
          <w:tcPr>
            <w:tcW w:w="1021" w:type="dxa"/>
            <w:tcBorders>
              <w:top w:val="nil"/>
              <w:left w:val="nil"/>
              <w:bottom w:val="nil"/>
              <w:right w:val="nil"/>
            </w:tcBorders>
            <w:shd w:val="clear"/>
            <w:vAlign w:val="top"/>
          </w:tcPr>
          <w:p w14:paraId="012EFDE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top"/>
          </w:tcPr>
          <w:p w14:paraId="2187F74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top"/>
          </w:tcPr>
          <w:p w14:paraId="3F18F38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top"/>
          </w:tcPr>
          <w:p w14:paraId="2EB4081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top"/>
          </w:tcPr>
          <w:p w14:paraId="243B232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top"/>
          </w:tcPr>
          <w:p w14:paraId="7790ED0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0.639</w:t>
            </w:r>
          </w:p>
        </w:tc>
      </w:tr>
      <w:tr w14:paraId="770F21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403504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MPNN</w:t>
            </w:r>
          </w:p>
        </w:tc>
        <w:tc>
          <w:tcPr>
            <w:tcW w:w="1021" w:type="dxa"/>
            <w:tcBorders>
              <w:top w:val="nil"/>
              <w:left w:val="nil"/>
              <w:bottom w:val="nil"/>
              <w:right w:val="nil"/>
            </w:tcBorders>
            <w:shd w:val="clear"/>
            <w:vAlign w:val="top"/>
          </w:tcPr>
          <w:p w14:paraId="1873D037">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top"/>
          </w:tcPr>
          <w:p w14:paraId="1EAF5A2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top"/>
          </w:tcPr>
          <w:p w14:paraId="59AEB4C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top"/>
          </w:tcPr>
          <w:p w14:paraId="6CD6583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top"/>
          </w:tcPr>
          <w:p w14:paraId="5AEB6C97">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top"/>
          </w:tcPr>
          <w:p w14:paraId="149C080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0.595</w:t>
            </w:r>
          </w:p>
        </w:tc>
      </w:tr>
      <w:tr w14:paraId="4B4EA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6A162AA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DMPNN</w:t>
            </w:r>
          </w:p>
        </w:tc>
        <w:tc>
          <w:tcPr>
            <w:tcW w:w="1021" w:type="dxa"/>
            <w:tcBorders>
              <w:top w:val="nil"/>
              <w:left w:val="nil"/>
              <w:bottom w:val="nil"/>
              <w:right w:val="nil"/>
            </w:tcBorders>
            <w:shd w:val="clear"/>
            <w:vAlign w:val="top"/>
          </w:tcPr>
          <w:p w14:paraId="5E14F2EF">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top"/>
          </w:tcPr>
          <w:p w14:paraId="4FD9025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top"/>
          </w:tcPr>
          <w:p w14:paraId="4750FD0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top"/>
          </w:tcPr>
          <w:p w14:paraId="3FD0EED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top"/>
          </w:tcPr>
          <w:p w14:paraId="280F86C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top"/>
          </w:tcPr>
          <w:p w14:paraId="3233633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0.570</w:t>
            </w:r>
          </w:p>
        </w:tc>
      </w:tr>
      <w:tr w14:paraId="04446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5A34846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CMPNN</w:t>
            </w:r>
          </w:p>
        </w:tc>
        <w:tc>
          <w:tcPr>
            <w:tcW w:w="1021" w:type="dxa"/>
            <w:tcBorders>
              <w:top w:val="nil"/>
              <w:left w:val="nil"/>
              <w:bottom w:val="nil"/>
              <w:right w:val="nil"/>
            </w:tcBorders>
            <w:shd w:val="clear"/>
            <w:vAlign w:val="top"/>
          </w:tcPr>
          <w:p w14:paraId="13B35AB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0.869</w:t>
            </w:r>
          </w:p>
        </w:tc>
        <w:tc>
          <w:tcPr>
            <w:tcW w:w="886" w:type="dxa"/>
            <w:tcBorders>
              <w:top w:val="nil"/>
              <w:left w:val="nil"/>
              <w:bottom w:val="nil"/>
              <w:right w:val="nil"/>
            </w:tcBorders>
            <w:vAlign w:val="top"/>
          </w:tcPr>
          <w:p w14:paraId="5504FF9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0.927</w:t>
            </w:r>
          </w:p>
        </w:tc>
        <w:tc>
          <w:tcPr>
            <w:tcW w:w="1062" w:type="dxa"/>
            <w:tcBorders>
              <w:top w:val="nil"/>
              <w:left w:val="nil"/>
              <w:bottom w:val="nil"/>
              <w:right w:val="nil"/>
            </w:tcBorders>
            <w:vAlign w:val="top"/>
          </w:tcPr>
          <w:p w14:paraId="1C447F9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0.901</w:t>
            </w:r>
          </w:p>
        </w:tc>
        <w:tc>
          <w:tcPr>
            <w:tcW w:w="883" w:type="dxa"/>
            <w:tcBorders>
              <w:top w:val="nil"/>
              <w:left w:val="nil"/>
              <w:bottom w:val="nil"/>
              <w:right w:val="nil"/>
            </w:tcBorders>
            <w:vAlign w:val="top"/>
          </w:tcPr>
          <w:p w14:paraId="12D8BBA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0.837</w:t>
            </w:r>
          </w:p>
        </w:tc>
        <w:tc>
          <w:tcPr>
            <w:tcW w:w="1073" w:type="dxa"/>
            <w:tcBorders>
              <w:top w:val="nil"/>
              <w:left w:val="nil"/>
              <w:bottom w:val="nil"/>
              <w:right w:val="nil"/>
            </w:tcBorders>
            <w:vAlign w:val="top"/>
          </w:tcPr>
          <w:p w14:paraId="06087AB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0.709</w:t>
            </w:r>
          </w:p>
        </w:tc>
        <w:tc>
          <w:tcPr>
            <w:tcW w:w="969" w:type="dxa"/>
            <w:tcBorders>
              <w:top w:val="nil"/>
              <w:left w:val="nil"/>
              <w:bottom w:val="nil"/>
              <w:right w:val="nil"/>
            </w:tcBorders>
            <w:vAlign w:val="top"/>
          </w:tcPr>
          <w:p w14:paraId="4918941F">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0.617</w:t>
            </w:r>
          </w:p>
        </w:tc>
      </w:tr>
      <w:tr w14:paraId="08AF9D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5679B48C">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GIN</w:t>
            </w:r>
          </w:p>
        </w:tc>
        <w:tc>
          <w:tcPr>
            <w:tcW w:w="1021" w:type="dxa"/>
            <w:tcBorders>
              <w:top w:val="nil"/>
              <w:left w:val="nil"/>
              <w:bottom w:val="nil"/>
              <w:right w:val="nil"/>
            </w:tcBorders>
            <w:shd w:val="clear"/>
            <w:vAlign w:val="top"/>
          </w:tcPr>
          <w:p w14:paraId="3601303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p>
        </w:tc>
        <w:tc>
          <w:tcPr>
            <w:tcW w:w="886" w:type="dxa"/>
            <w:tcBorders>
              <w:top w:val="nil"/>
              <w:left w:val="nil"/>
              <w:bottom w:val="nil"/>
              <w:right w:val="nil"/>
            </w:tcBorders>
            <w:vAlign w:val="top"/>
          </w:tcPr>
          <w:p w14:paraId="0431128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0.894</w:t>
            </w:r>
          </w:p>
        </w:tc>
        <w:tc>
          <w:tcPr>
            <w:tcW w:w="1062" w:type="dxa"/>
            <w:tcBorders>
              <w:top w:val="nil"/>
              <w:left w:val="nil"/>
              <w:bottom w:val="nil"/>
              <w:right w:val="nil"/>
            </w:tcBorders>
            <w:vAlign w:val="top"/>
          </w:tcPr>
          <w:p w14:paraId="2779EA0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0.869</w:t>
            </w:r>
          </w:p>
        </w:tc>
        <w:tc>
          <w:tcPr>
            <w:tcW w:w="883" w:type="dxa"/>
            <w:tcBorders>
              <w:top w:val="nil"/>
              <w:left w:val="nil"/>
              <w:bottom w:val="nil"/>
              <w:right w:val="nil"/>
            </w:tcBorders>
            <w:vAlign w:val="top"/>
          </w:tcPr>
          <w:p w14:paraId="20EC12F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0.811</w:t>
            </w:r>
          </w:p>
        </w:tc>
        <w:tc>
          <w:tcPr>
            <w:tcW w:w="1073" w:type="dxa"/>
            <w:tcBorders>
              <w:top w:val="nil"/>
              <w:left w:val="nil"/>
              <w:bottom w:val="nil"/>
              <w:right w:val="nil"/>
            </w:tcBorders>
            <w:vAlign w:val="top"/>
          </w:tcPr>
          <w:p w14:paraId="598827C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0.703</w:t>
            </w:r>
          </w:p>
        </w:tc>
        <w:tc>
          <w:tcPr>
            <w:tcW w:w="969" w:type="dxa"/>
            <w:tcBorders>
              <w:top w:val="nil"/>
              <w:left w:val="nil"/>
              <w:bottom w:val="nil"/>
              <w:right w:val="nil"/>
            </w:tcBorders>
            <w:vAlign w:val="top"/>
          </w:tcPr>
          <w:p w14:paraId="639C0A0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0.591</w:t>
            </w:r>
          </w:p>
        </w:tc>
      </w:tr>
      <w:tr w14:paraId="0D62C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1358ACDC">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SchNet</w:t>
            </w:r>
          </w:p>
        </w:tc>
        <w:tc>
          <w:tcPr>
            <w:tcW w:w="1021" w:type="dxa"/>
            <w:tcBorders>
              <w:top w:val="nil"/>
              <w:left w:val="nil"/>
              <w:bottom w:val="nil"/>
              <w:right w:val="nil"/>
            </w:tcBorders>
            <w:shd w:val="clear"/>
            <w:vAlign w:val="top"/>
          </w:tcPr>
          <w:p w14:paraId="46008FE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top"/>
          </w:tcPr>
          <w:p w14:paraId="1420F6D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top"/>
          </w:tcPr>
          <w:p w14:paraId="1FB75F7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top"/>
          </w:tcPr>
          <w:p w14:paraId="29F037C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top"/>
          </w:tcPr>
          <w:p w14:paraId="2F727ED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top"/>
          </w:tcPr>
          <w:p w14:paraId="63A026C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0.545</w:t>
            </w:r>
          </w:p>
        </w:tc>
      </w:tr>
      <w:tr w14:paraId="6469D5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3C5A76E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vAlign w:val="top"/>
          </w:tcPr>
          <w:p w14:paraId="2BCAB3FF">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top"/>
          </w:tcPr>
          <w:p w14:paraId="109C231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top"/>
          </w:tcPr>
          <w:p w14:paraId="168A1DE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top"/>
          </w:tcPr>
          <w:p w14:paraId="0560641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top"/>
          </w:tcPr>
          <w:p w14:paraId="294D884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top"/>
          </w:tcPr>
          <w:p w14:paraId="2E69B92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0.662</w:t>
            </w:r>
          </w:p>
        </w:tc>
      </w:tr>
      <w:tr w14:paraId="46C24C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4693C65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vAlign w:val="top"/>
          </w:tcPr>
          <w:p w14:paraId="5229A7F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top"/>
          </w:tcPr>
          <w:p w14:paraId="5E8640E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top"/>
          </w:tcPr>
          <w:p w14:paraId="6CDBE92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top"/>
          </w:tcPr>
          <w:p w14:paraId="73BAC19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top"/>
          </w:tcPr>
          <w:p w14:paraId="57360AA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top"/>
          </w:tcPr>
          <w:p w14:paraId="059CAD1C">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0.610</w:t>
            </w:r>
          </w:p>
        </w:tc>
      </w:tr>
      <w:tr w14:paraId="38E21A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bottom w:val="nil"/>
              <w:right w:val="nil"/>
            </w:tcBorders>
            <w:vAlign w:val="top"/>
          </w:tcPr>
          <w:p w14:paraId="7134C33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vAlign w:val="top"/>
          </w:tcPr>
          <w:p w14:paraId="4EBCA76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top"/>
          </w:tcPr>
          <w:p w14:paraId="6A0F7BF0">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top"/>
          </w:tcPr>
          <w:p w14:paraId="5507C32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top"/>
          </w:tcPr>
          <w:p w14:paraId="1EFAC84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top"/>
          </w:tcPr>
          <w:p w14:paraId="6AB71DB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top"/>
          </w:tcPr>
          <w:p w14:paraId="73B009E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0.605</w:t>
            </w:r>
          </w:p>
        </w:tc>
      </w:tr>
      <w:tr w14:paraId="41074D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top w:val="nil"/>
              <w:left w:val="nil"/>
              <w:right w:val="nil"/>
            </w:tcBorders>
            <w:vAlign w:val="top"/>
          </w:tcPr>
          <w:p w14:paraId="30369E9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vAlign w:val="top"/>
          </w:tcPr>
          <w:p w14:paraId="25CCAA1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top"/>
          </w:tcPr>
          <w:p w14:paraId="60C9EB3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top"/>
          </w:tcPr>
          <w:p w14:paraId="480E2C7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top"/>
          </w:tcPr>
          <w:p w14:paraId="34E10B3B">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top"/>
          </w:tcPr>
          <w:p w14:paraId="6AC1FEDA">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top"/>
          </w:tcPr>
          <w:p w14:paraId="67F2C89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0.598</w:t>
            </w:r>
          </w:p>
        </w:tc>
      </w:tr>
      <w:tr w14:paraId="063C77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1844" w:type="dxa"/>
            <w:tcBorders>
              <w:left w:val="nil"/>
              <w:bottom w:val="single" w:color="000000" w:sz="12" w:space="0"/>
              <w:right w:val="nil"/>
            </w:tcBorders>
            <w:vAlign w:val="top"/>
          </w:tcPr>
          <w:p w14:paraId="5A0BB546">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vAlign w:val="top"/>
          </w:tcPr>
          <w:p w14:paraId="0528DD8E">
            <w:pPr>
              <w:pageBreakBefore w:val="0"/>
              <w:kinsoku/>
              <w:wordWrap/>
              <w:overflowPunct/>
              <w:topLinePunct w:val="0"/>
              <w:autoSpaceDE/>
              <w:autoSpaceDN/>
              <w:bidi w:val="0"/>
              <w:adjustRightInd/>
              <w:snapToGrid w:val="0"/>
              <w:spacing w:beforeAutospacing="0" w:afterAutospacing="0" w:line="24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p>
        </w:tc>
        <w:tc>
          <w:tcPr>
            <w:tcW w:w="886" w:type="dxa"/>
            <w:tcBorders>
              <w:left w:val="nil"/>
              <w:bottom w:val="single" w:color="000000" w:sz="12" w:space="0"/>
              <w:right w:val="nil"/>
            </w:tcBorders>
            <w:vAlign w:val="top"/>
          </w:tcPr>
          <w:p w14:paraId="3F7582B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default"/>
                <w:vertAlign w:val="baseline"/>
                <w:lang w:val="en-US" w:eastAsia="zh-CN"/>
              </w:rPr>
            </w:pPr>
            <w:r>
              <w:rPr>
                <w:rFonts w:hint="eastAsia"/>
                <w:vertAlign w:val="baseline"/>
                <w:lang w:val="en-US" w:eastAsia="zh-CN"/>
              </w:rPr>
              <w:t>0.</w:t>
            </w:r>
          </w:p>
        </w:tc>
        <w:tc>
          <w:tcPr>
            <w:tcW w:w="1062" w:type="dxa"/>
            <w:tcBorders>
              <w:left w:val="nil"/>
              <w:bottom w:val="single" w:color="000000" w:sz="12" w:space="0"/>
              <w:right w:val="nil"/>
            </w:tcBorders>
            <w:vAlign w:val="top"/>
          </w:tcPr>
          <w:p w14:paraId="0448E00B">
            <w:pPr>
              <w:pageBreakBefore w:val="0"/>
              <w:kinsoku/>
              <w:wordWrap/>
              <w:overflowPunct/>
              <w:topLinePunct w:val="0"/>
              <w:autoSpaceDE/>
              <w:autoSpaceDN/>
              <w:bidi w:val="0"/>
              <w:adjustRightInd/>
              <w:snapToGrid w:val="0"/>
              <w:spacing w:beforeAutospacing="0" w:afterAutospacing="0" w:line="240" w:lineRule="auto"/>
              <w:jc w:val="both"/>
              <w:textAlignment w:val="auto"/>
              <w:rPr>
                <w:rFonts w:hint="eastAsia"/>
                <w:vertAlign w:val="baseline"/>
                <w:lang w:val="en-US" w:eastAsia="zh-CN"/>
              </w:rPr>
            </w:pPr>
          </w:p>
        </w:tc>
        <w:tc>
          <w:tcPr>
            <w:tcW w:w="883" w:type="dxa"/>
            <w:tcBorders>
              <w:left w:val="nil"/>
              <w:bottom w:val="single" w:color="000000" w:sz="12" w:space="0"/>
              <w:right w:val="nil"/>
            </w:tcBorders>
            <w:vAlign w:val="top"/>
          </w:tcPr>
          <w:p w14:paraId="41CF0071">
            <w:pPr>
              <w:pageBreakBefore w:val="0"/>
              <w:kinsoku/>
              <w:wordWrap/>
              <w:overflowPunct/>
              <w:topLinePunct w:val="0"/>
              <w:autoSpaceDE/>
              <w:autoSpaceDN/>
              <w:bidi w:val="0"/>
              <w:adjustRightInd/>
              <w:snapToGrid w:val="0"/>
              <w:spacing w:beforeAutospacing="0" w:afterAutospacing="0" w:line="240" w:lineRule="auto"/>
              <w:jc w:val="both"/>
              <w:textAlignment w:val="auto"/>
              <w:rPr>
                <w:rFonts w:hint="eastAsia"/>
                <w:vertAlign w:val="baseline"/>
                <w:lang w:val="en-US" w:eastAsia="zh-CN"/>
              </w:rPr>
            </w:pPr>
          </w:p>
        </w:tc>
        <w:tc>
          <w:tcPr>
            <w:tcW w:w="1073" w:type="dxa"/>
            <w:tcBorders>
              <w:left w:val="nil"/>
              <w:bottom w:val="single" w:color="000000" w:sz="12" w:space="0"/>
              <w:right w:val="nil"/>
            </w:tcBorders>
            <w:vAlign w:val="top"/>
          </w:tcPr>
          <w:p w14:paraId="06511415">
            <w:pPr>
              <w:pageBreakBefore w:val="0"/>
              <w:kinsoku/>
              <w:wordWrap/>
              <w:overflowPunct/>
              <w:topLinePunct w:val="0"/>
              <w:autoSpaceDE/>
              <w:autoSpaceDN/>
              <w:bidi w:val="0"/>
              <w:adjustRightInd/>
              <w:snapToGrid w:val="0"/>
              <w:spacing w:beforeAutospacing="0" w:afterAutospacing="0" w:line="240" w:lineRule="auto"/>
              <w:jc w:val="both"/>
              <w:textAlignment w:val="auto"/>
              <w:rPr>
                <w:rFonts w:hint="eastAsia"/>
                <w:vertAlign w:val="baseline"/>
                <w:lang w:val="en-US" w:eastAsia="zh-CN"/>
              </w:rPr>
            </w:pPr>
          </w:p>
        </w:tc>
        <w:tc>
          <w:tcPr>
            <w:tcW w:w="969" w:type="dxa"/>
            <w:tcBorders>
              <w:left w:val="nil"/>
              <w:bottom w:val="single" w:color="000000" w:sz="12" w:space="0"/>
              <w:right w:val="nil"/>
            </w:tcBorders>
            <w:vAlign w:val="top"/>
          </w:tcPr>
          <w:p w14:paraId="51AE8268">
            <w:pPr>
              <w:pageBreakBefore w:val="0"/>
              <w:kinsoku/>
              <w:wordWrap/>
              <w:overflowPunct/>
              <w:topLinePunct w:val="0"/>
              <w:autoSpaceDE/>
              <w:autoSpaceDN/>
              <w:bidi w:val="0"/>
              <w:adjustRightInd/>
              <w:snapToGrid w:val="0"/>
              <w:spacing w:beforeAutospacing="0" w:afterAutospacing="0" w:line="240" w:lineRule="auto"/>
              <w:jc w:val="both"/>
              <w:textAlignment w:val="auto"/>
              <w:rPr>
                <w:rFonts w:hint="eastAsia"/>
                <w:vertAlign w:val="baseline"/>
                <w:lang w:val="en-US" w:eastAsia="zh-CN"/>
              </w:rPr>
            </w:pPr>
          </w:p>
        </w:tc>
      </w:tr>
    </w:tbl>
    <w:p w14:paraId="0DC2C216">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31871852">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p>
    <w:p w14:paraId="14E65095">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p>
    <w:p w14:paraId="0D43E1E9">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top"/>
          </w:tcPr>
          <w:p w14:paraId="6F866855">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top"/>
          </w:tcPr>
          <w:p w14:paraId="08D657AE">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right w:val="nil"/>
            </w:tcBorders>
            <w:vAlign w:val="top"/>
          </w:tcPr>
          <w:p w14:paraId="4F4CD5C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right w:val="nil"/>
            </w:tcBorders>
          </w:tcPr>
          <w:p w14:paraId="56ED6B6F">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5F2C0923">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1B3B1C2F">
            <w:pPr>
              <w:pageBreakBefore w:val="0"/>
              <w:kinsoku/>
              <w:wordWrap/>
              <w:overflowPunct/>
              <w:topLinePunct w:val="0"/>
              <w:autoSpaceDE/>
              <w:autoSpaceDN/>
              <w:bidi w:val="0"/>
              <w:adjustRightInd/>
              <w:spacing w:beforeAutospacing="0" w:afterAutospacing="0" w:line="24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D462D5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757C3EFE">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35C9A106">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478CBDE0">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C73AB49">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5886C41B">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25D75DBA">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2AD3D3EE">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E7286A4">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3BAF2F49">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66C42E6A">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67FD7ACC">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195BD77">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5A1527E8">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52616886">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1C5FD0FB">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596969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58A03CBC">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503A21FF">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62A4AF45">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5ADB63F">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17C41AFF">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6B0F08B5">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48476076">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DD842F8">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2C2EAE2C">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7334F077">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0EB28967">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1D00D82">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49DA08BD">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017E1622">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16A322FD">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012F8C3">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2F56875E">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7AB8AF8C">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1E90181B">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0EEEF9D">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61096097">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0D2B4F91">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1F9EB2A4">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F933091">
            <w:pPr>
              <w:pageBreakBefore w:val="0"/>
              <w:kinsoku/>
              <w:wordWrap/>
              <w:overflowPunct/>
              <w:topLinePunct w:val="0"/>
              <w:autoSpaceDE/>
              <w:autoSpaceDN/>
              <w:bidi w:val="0"/>
              <w:adjustRightInd/>
              <w:snapToGrid w:val="0"/>
              <w:spacing w:beforeAutospacing="0" w:afterAutospacing="0" w:line="240" w:lineRule="auto"/>
              <w:ind w:left="0" w:leftChars="0" w:firstLine="0" w:firstLineChars="0"/>
              <w:jc w:val="both"/>
              <w:textAlignment w:val="auto"/>
              <w:rPr>
                <w:rFonts w:hint="eastAsia"/>
                <w:vertAlign w:val="baseline"/>
                <w:lang w:val="en-US" w:eastAsia="zh-CN"/>
              </w:rPr>
            </w:pPr>
          </w:p>
        </w:tc>
        <w:tc>
          <w:tcPr>
            <w:tcW w:w="2130" w:type="dxa"/>
          </w:tcPr>
          <w:p w14:paraId="46CD9C84">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503E6695">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c>
          <w:tcPr>
            <w:tcW w:w="2131" w:type="dxa"/>
          </w:tcPr>
          <w:p w14:paraId="5BD630F5">
            <w:pPr>
              <w:pageBreakBefore w:val="0"/>
              <w:kinsoku/>
              <w:wordWrap/>
              <w:overflowPunct/>
              <w:topLinePunct w:val="0"/>
              <w:autoSpaceDE/>
              <w:autoSpaceDN/>
              <w:bidi w:val="0"/>
              <w:adjustRightInd/>
              <w:spacing w:beforeAutospacing="0" w:afterAutospacing="0" w:line="240" w:lineRule="auto"/>
              <w:textAlignment w:val="auto"/>
              <w:rPr>
                <w:rFonts w:hint="eastAsia"/>
                <w:vertAlign w:val="baseline"/>
                <w:lang w:val="en-US" w:eastAsia="zh-CN"/>
              </w:rPr>
            </w:pPr>
          </w:p>
        </w:tc>
      </w:tr>
    </w:tbl>
    <w:p w14:paraId="6C576F50">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p>
    <w:p w14:paraId="61B45477">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4.6 消融实验</w:t>
      </w:r>
    </w:p>
    <w:p w14:paraId="45A0D2D6">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24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24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24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24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24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24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C663AE3">
      <w:pPr>
        <w:pageBreakBefore w:val="0"/>
        <w:kinsoku/>
        <w:wordWrap/>
        <w:overflowPunct/>
        <w:topLinePunct w:val="0"/>
        <w:autoSpaceDE/>
        <w:autoSpaceDN/>
        <w:bidi w:val="0"/>
        <w:adjustRightInd/>
        <w:spacing w:beforeAutospacing="0" w:afterAutospacing="0" w:line="24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503FED8F">
      <w:pPr>
        <w:pageBreakBefore w:val="0"/>
        <w:kinsoku/>
        <w:wordWrap/>
        <w:overflowPunct/>
        <w:topLinePunct w:val="0"/>
        <w:autoSpaceDE/>
        <w:autoSpaceDN/>
        <w:bidi w:val="0"/>
        <w:adjustRightInd/>
        <w:spacing w:beforeAutospacing="0" w:afterAutospacing="0" w:line="240" w:lineRule="auto"/>
        <w:textAlignment w:val="auto"/>
        <w:rPr>
          <w:rFonts w:hint="eastAsia" w:cs="Times New Roman"/>
          <w:kern w:val="2"/>
          <w:sz w:val="21"/>
          <w:szCs w:val="24"/>
          <w:lang w:val="en-US" w:eastAsia="zh-CN" w:bidi="ar-SA"/>
        </w:rPr>
      </w:pPr>
    </w:p>
    <w:p w14:paraId="1CE6493F">
      <w:pPr>
        <w:pageBreakBefore w:val="0"/>
        <w:kinsoku/>
        <w:wordWrap/>
        <w:overflowPunct/>
        <w:topLinePunct w:val="0"/>
        <w:autoSpaceDE/>
        <w:autoSpaceDN/>
        <w:bidi w:val="0"/>
        <w:adjustRightInd/>
        <w:spacing w:beforeAutospacing="0" w:afterAutospacing="0" w:line="240" w:lineRule="auto"/>
        <w:textAlignment w:val="auto"/>
        <w:rPr>
          <w:rFonts w:hint="default" w:cs="Times New Roman"/>
          <w:kern w:val="2"/>
          <w:sz w:val="21"/>
          <w:szCs w:val="24"/>
          <w:lang w:val="en-US" w:eastAsia="zh-CN" w:bidi="ar-SA"/>
        </w:rPr>
      </w:pPr>
    </w:p>
    <w:p w14:paraId="352A6D67">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ascii="宋体" w:hAnsi="宋体" w:eastAsia="宋体" w:cs="宋体"/>
          <w:sz w:val="24"/>
          <w:szCs w:val="24"/>
        </w:rPr>
      </w:pPr>
    </w:p>
    <w:p w14:paraId="2EB402DF">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eastAsia"/>
          <w:lang w:val="en-US" w:eastAsia="zh-CN"/>
        </w:rPr>
        <w:t>4.7 可视化分析</w:t>
      </w:r>
    </w:p>
    <w:p w14:paraId="448FBC5D">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4147185" cy="1969135"/>
            <wp:effectExtent l="0" t="0" r="13335" b="12065"/>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8"/>
                    <a:stretch>
                      <a:fillRect/>
                    </a:stretch>
                  </pic:blipFill>
                  <pic:spPr>
                    <a:xfrm>
                      <a:off x="0" y="0"/>
                      <a:ext cx="4147185" cy="1969135"/>
                    </a:xfrm>
                    <a:prstGeom prst="rect">
                      <a:avLst/>
                    </a:prstGeom>
                  </pic:spPr>
                </pic:pic>
              </a:graphicData>
            </a:graphic>
          </wp:inline>
        </w:drawing>
      </w:r>
    </w:p>
    <w:p w14:paraId="2C8E9145">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r>
        <w:rPr>
          <w:rFonts w:hint="eastAsia"/>
          <w:lang w:val="en-US" w:eastAsia="zh-CN"/>
        </w:rPr>
        <w:t>4.8 参数敏感实验</w:t>
      </w:r>
    </w:p>
    <w:p w14:paraId="04A733B9">
      <w:pPr>
        <w:pageBreakBefore w:val="0"/>
        <w:kinsoku/>
        <w:wordWrap/>
        <w:overflowPunct/>
        <w:topLinePunct w:val="0"/>
        <w:autoSpaceDE/>
        <w:autoSpaceDN/>
        <w:bidi w:val="0"/>
        <w:adjustRightInd/>
        <w:spacing w:beforeAutospacing="0" w:afterAutospacing="0" w:line="24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24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862267A5"/>
    <w:multiLevelType w:val="multilevel"/>
    <w:tmpl w:val="862267A5"/>
    <w:lvl w:ilvl="0" w:tentative="0">
      <w:start w:val="1"/>
      <w:numFmt w:val="decimal"/>
      <w:pStyle w:val="2"/>
      <w:suff w:val="space"/>
      <w:lvlText w:val="%1"/>
      <w:lvlJc w:val="left"/>
      <w:rPr>
        <w:rFonts w:hint="default"/>
      </w:rPr>
    </w:lvl>
    <w:lvl w:ilvl="1" w:tentative="0">
      <w:start w:val="1"/>
      <w:numFmt w:val="decimal"/>
      <w:isLgl/>
      <w:suff w:val="space"/>
      <w:lvlText w:val="%1.%2"/>
      <w:lvlJc w:val="left"/>
      <w:pPr>
        <w:tabs>
          <w:tab w:val="left" w:pos="0"/>
        </w:tabs>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A86D69E1"/>
    <w:multiLevelType w:val="multilevel"/>
    <w:tmpl w:val="A86D69E1"/>
    <w:lvl w:ilvl="0" w:tentative="0">
      <w:start w:val="1"/>
      <w:numFmt w:val="decimal"/>
      <w:pStyle w:val="4"/>
      <w:suff w:val="space"/>
      <w:lvlText w:val="%1"/>
      <w:lvlJc w:val="left"/>
      <w:rPr>
        <w:rFonts w:hint="default"/>
      </w:rPr>
    </w:lvl>
    <w:lvl w:ilvl="1" w:tentative="0">
      <w:start w:val="1"/>
      <w:numFmt w:val="decimal"/>
      <w:pStyle w:val="3"/>
      <w:isLgl/>
      <w:suff w:val="space"/>
      <w:lvlText w:val="%1.%2"/>
      <w:lvlJc w:val="left"/>
      <w:pPr>
        <w:tabs>
          <w:tab w:val="left" w:pos="0"/>
        </w:tabs>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4">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502B5"/>
    <w:rsid w:val="06510766"/>
    <w:rsid w:val="071E0F8F"/>
    <w:rsid w:val="08155C5D"/>
    <w:rsid w:val="0BD64449"/>
    <w:rsid w:val="0C965756"/>
    <w:rsid w:val="0ED168E7"/>
    <w:rsid w:val="0F503503"/>
    <w:rsid w:val="10D475A4"/>
    <w:rsid w:val="118A0FD0"/>
    <w:rsid w:val="120548F1"/>
    <w:rsid w:val="13741F37"/>
    <w:rsid w:val="13BE388E"/>
    <w:rsid w:val="14E37374"/>
    <w:rsid w:val="1666772B"/>
    <w:rsid w:val="16721235"/>
    <w:rsid w:val="16EE3830"/>
    <w:rsid w:val="1C884062"/>
    <w:rsid w:val="1FCF02AE"/>
    <w:rsid w:val="20F01385"/>
    <w:rsid w:val="214E0CB3"/>
    <w:rsid w:val="222A07C5"/>
    <w:rsid w:val="22F9340A"/>
    <w:rsid w:val="23E876FD"/>
    <w:rsid w:val="25853B30"/>
    <w:rsid w:val="27866B9F"/>
    <w:rsid w:val="27E71EA9"/>
    <w:rsid w:val="29FA6504"/>
    <w:rsid w:val="2C536B29"/>
    <w:rsid w:val="2C5F332D"/>
    <w:rsid w:val="2C906D58"/>
    <w:rsid w:val="2CFE5A0D"/>
    <w:rsid w:val="2DF45CF7"/>
    <w:rsid w:val="2E0F77BA"/>
    <w:rsid w:val="2FBA3380"/>
    <w:rsid w:val="2FBC06DB"/>
    <w:rsid w:val="2FFE2E5D"/>
    <w:rsid w:val="32220E91"/>
    <w:rsid w:val="34B61F58"/>
    <w:rsid w:val="3575596F"/>
    <w:rsid w:val="36794FEB"/>
    <w:rsid w:val="36A75037"/>
    <w:rsid w:val="38F17A02"/>
    <w:rsid w:val="3963760F"/>
    <w:rsid w:val="39B30BBC"/>
    <w:rsid w:val="3BA7755B"/>
    <w:rsid w:val="3D2B25F8"/>
    <w:rsid w:val="3D6119C4"/>
    <w:rsid w:val="3E047E0A"/>
    <w:rsid w:val="3E4800C5"/>
    <w:rsid w:val="3F0F0BE2"/>
    <w:rsid w:val="42694565"/>
    <w:rsid w:val="44444E8A"/>
    <w:rsid w:val="44E80FE1"/>
    <w:rsid w:val="45CB21F7"/>
    <w:rsid w:val="48A77906"/>
    <w:rsid w:val="49217DF9"/>
    <w:rsid w:val="494D47E1"/>
    <w:rsid w:val="4D8B14D9"/>
    <w:rsid w:val="4FA30A16"/>
    <w:rsid w:val="525C3CE7"/>
    <w:rsid w:val="528E3D51"/>
    <w:rsid w:val="55B44A7B"/>
    <w:rsid w:val="5F573763"/>
    <w:rsid w:val="5FC01AAC"/>
    <w:rsid w:val="621C33F7"/>
    <w:rsid w:val="637C5F97"/>
    <w:rsid w:val="6A2373A8"/>
    <w:rsid w:val="6CCA3A1C"/>
    <w:rsid w:val="6E577D47"/>
    <w:rsid w:val="6F170AB2"/>
    <w:rsid w:val="70756248"/>
    <w:rsid w:val="709B2013"/>
    <w:rsid w:val="70AF4C91"/>
    <w:rsid w:val="71267542"/>
    <w:rsid w:val="7248226E"/>
    <w:rsid w:val="72783DCD"/>
    <w:rsid w:val="75A803EA"/>
    <w:rsid w:val="771B020D"/>
    <w:rsid w:val="78407BB7"/>
    <w:rsid w:val="7A220727"/>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autoRedefine/>
    <w:qFormat/>
    <w:uiPriority w:val="0"/>
    <w:pPr>
      <w:keepNext/>
      <w:keepLines/>
      <w:numPr>
        <w:ilvl w:val="0"/>
        <w:numId w:val="1"/>
      </w:numPr>
      <w:spacing w:line="576" w:lineRule="auto"/>
      <w:ind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basedOn w:val="1"/>
    <w:next w:val="1"/>
    <w:link w:val="21"/>
    <w:autoRedefine/>
    <w:unhideWhenUsed/>
    <w:qFormat/>
    <w:uiPriority w:val="0"/>
    <w:pPr>
      <w:numPr>
        <w:ilvl w:val="1"/>
        <w:numId w:val="2"/>
      </w:numPr>
      <w:spacing w:beforeAutospacing="1" w:afterAutospacing="1" w:line="240" w:lineRule="auto"/>
      <w:ind w:left="0" w:firstLine="0" w:firstLineChars="0"/>
      <w:jc w:val="left"/>
      <w:outlineLvl w:val="1"/>
    </w:pPr>
    <w:rPr>
      <w:rFonts w:ascii="宋体" w:hAnsi="宋体" w:eastAsia="宋体" w:cs="宋体"/>
      <w:b/>
      <w:bCs/>
      <w:kern w:val="0"/>
      <w:sz w:val="28"/>
      <w:szCs w:val="36"/>
      <w:lang w:bidi="ar"/>
    </w:rPr>
  </w:style>
  <w:style w:type="paragraph" w:styleId="4">
    <w:name w:val="heading 3"/>
    <w:basedOn w:val="1"/>
    <w:next w:val="1"/>
    <w:unhideWhenUsed/>
    <w:qFormat/>
    <w:uiPriority w:val="0"/>
    <w:pPr>
      <w:numPr>
        <w:ilvl w:val="0"/>
        <w:numId w:val="2"/>
      </w:numPr>
      <w:spacing w:beforeAutospacing="1" w:afterAutospacing="1" w:line="240" w:lineRule="atLeast"/>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3"/>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3"/>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3"/>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3"/>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3"/>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3"/>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4"/>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4"/>
      </w:numPr>
      <w:ind w:firstLine="0" w:firstLineChars="0"/>
    </w:pPr>
  </w:style>
  <w:style w:type="paragraph" w:customStyle="1" w:styleId="26">
    <w:name w:val="中期三级标题"/>
    <w:basedOn w:val="1"/>
    <w:qFormat/>
    <w:uiPriority w:val="0"/>
    <w:pPr>
      <w:numPr>
        <w:ilvl w:val="2"/>
        <w:numId w:val="4"/>
      </w:numPr>
      <w:ind w:firstLine="0" w:firstLineChars="0"/>
    </w:pPr>
  </w:style>
  <w:style w:type="paragraph" w:customStyle="1" w:styleId="27">
    <w:name w:val="中期四级标题"/>
    <w:basedOn w:val="1"/>
    <w:qFormat/>
    <w:uiPriority w:val="0"/>
    <w:pPr>
      <w:numPr>
        <w:ilvl w:val="3"/>
        <w:numId w:val="4"/>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3902</Words>
  <Characters>4733</Characters>
  <Lines>0</Lines>
  <Paragraphs>0</Paragraphs>
  <TotalTime>4</TotalTime>
  <ScaleCrop>false</ScaleCrop>
  <LinksUpToDate>false</LinksUpToDate>
  <CharactersWithSpaces>4831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2026-02-01T15:12:37Z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